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233A95" w:rsidP="00233A95">
      <w:pPr>
        <w:pStyle w:val="Chapter"/>
        <w:ind w:left="907" w:hanging="907"/>
      </w:pPr>
      <w:bookmarkStart w:id="0" w:name="_AppendixNotByChapter"/>
      <w:bookmarkStart w:id="1" w:name="ChapterNumber"/>
      <w:bookmarkStart w:id="2" w:name="_GoBack"/>
      <w:bookmarkEnd w:id="0"/>
      <w:bookmarkEnd w:id="2"/>
      <w:r>
        <w:t>B</w:t>
      </w:r>
      <w:bookmarkEnd w:id="1"/>
      <w:r>
        <w:tab/>
      </w:r>
      <w:bookmarkStart w:id="3" w:name="ChapterTitle"/>
      <w:r>
        <w:t>Types of intellectual property</w:t>
      </w:r>
      <w:bookmarkEnd w:id="3"/>
    </w:p>
    <w:p w:rsidR="00A5090A" w:rsidRDefault="00330AB3" w:rsidP="00120072">
      <w:pPr>
        <w:pStyle w:val="BodyText"/>
      </w:pPr>
      <w:bookmarkStart w:id="4" w:name="begin"/>
      <w:bookmarkEnd w:id="4"/>
      <w:r>
        <w:t xml:space="preserve">This appendix provides supporting detail to chapter 4. </w:t>
      </w:r>
    </w:p>
    <w:p w:rsidR="00DB26D2" w:rsidRDefault="00A5090A" w:rsidP="00A5090A">
      <w:pPr>
        <w:pStyle w:val="ListBullet"/>
      </w:pPr>
      <w:r>
        <w:t xml:space="preserve">Table </w:t>
      </w:r>
      <w:proofErr w:type="spellStart"/>
      <w:r>
        <w:t>B.1</w:t>
      </w:r>
      <w:proofErr w:type="spellEnd"/>
      <w:r>
        <w:t xml:space="preserve"> </w:t>
      </w:r>
      <w:r w:rsidR="004F5E33">
        <w:t xml:space="preserve">lists </w:t>
      </w:r>
      <w:r>
        <w:t xml:space="preserve">types of intellectual property, </w:t>
      </w:r>
      <w:r w:rsidR="004F5E33">
        <w:t xml:space="preserve">the subject matter and features protected, the maximum life of </w:t>
      </w:r>
      <w:r>
        <w:t xml:space="preserve">the </w:t>
      </w:r>
      <w:r w:rsidR="004F5E33">
        <w:t xml:space="preserve">IP rights, the relevant acts of the Australian Parliament, major relevant international agreements applying and current </w:t>
      </w:r>
      <w:r>
        <w:t xml:space="preserve">government </w:t>
      </w:r>
      <w:r w:rsidR="004F5E33">
        <w:t xml:space="preserve">responsibility for the administration of each measure. </w:t>
      </w:r>
    </w:p>
    <w:p w:rsidR="00A5090A" w:rsidRDefault="00A5090A" w:rsidP="00A5090A">
      <w:pPr>
        <w:pStyle w:val="ListBullet"/>
      </w:pPr>
      <w:r>
        <w:t xml:space="preserve">Table </w:t>
      </w:r>
      <w:proofErr w:type="spellStart"/>
      <w:r>
        <w:t>B.2</w:t>
      </w:r>
      <w:proofErr w:type="spellEnd"/>
      <w:r>
        <w:t xml:space="preserve"> lists some </w:t>
      </w:r>
      <w:r w:rsidR="00F34D0F">
        <w:t>IP</w:t>
      </w:r>
      <w:r w:rsidR="003640F5">
        <w:t>-</w:t>
      </w:r>
      <w:r w:rsidR="00F34D0F">
        <w:t>related arrangements.</w:t>
      </w:r>
    </w:p>
    <w:p w:rsidR="008E1A61" w:rsidRDefault="008E1A61" w:rsidP="008E1A61">
      <w:pPr>
        <w:pStyle w:val="ListBullet"/>
        <w:numPr>
          <w:ilvl w:val="0"/>
          <w:numId w:val="0"/>
        </w:numPr>
        <w:ind w:left="340" w:hanging="340"/>
      </w:pPr>
    </w:p>
    <w:p w:rsidR="008E1A61" w:rsidRDefault="008E1A61" w:rsidP="008E1A61">
      <w:pPr>
        <w:pStyle w:val="ListBullet"/>
        <w:numPr>
          <w:ilvl w:val="0"/>
          <w:numId w:val="0"/>
        </w:numPr>
        <w:ind w:left="340" w:hanging="340"/>
      </w:pPr>
    </w:p>
    <w:p w:rsidR="001718CE" w:rsidRDefault="001718CE" w:rsidP="00120072">
      <w:pPr>
        <w:pStyle w:val="BodyText"/>
      </w:pPr>
    </w:p>
    <w:p w:rsidR="001718CE" w:rsidRDefault="001718CE">
      <w:pPr>
        <w:pStyle w:val="BodyText"/>
        <w:sectPr w:rsidR="001718CE" w:rsidSect="008E1A61">
          <w:headerReference w:type="even" r:id="rId9"/>
          <w:headerReference w:type="default" r:id="rId10"/>
          <w:footerReference w:type="even" r:id="rId11"/>
          <w:footerReference w:type="default" r:id="rId12"/>
          <w:pgSz w:w="11907" w:h="16840" w:code="9"/>
          <w:pgMar w:top="1985" w:right="1304" w:bottom="1418" w:left="1814" w:header="1701" w:footer="567" w:gutter="0"/>
          <w:pgNumType w:start="173" w:chapStyle="1" w:chapSep="period"/>
          <w:cols w:space="720"/>
        </w:sectPr>
      </w:pPr>
    </w:p>
    <w:p w:rsidR="001718CE" w:rsidRPr="001718CE" w:rsidRDefault="001718CE" w:rsidP="001718CE">
      <w:pPr>
        <w:pStyle w:val="TableTitle"/>
        <w:rPr>
          <w:rFonts w:ascii="Times New Roman" w:hAnsi="Times New Roman"/>
          <w:sz w:val="26"/>
        </w:rPr>
      </w:pPr>
      <w:r w:rsidRPr="00233A95">
        <w:rPr>
          <w:b w:val="0"/>
        </w:rPr>
        <w:lastRenderedPageBreak/>
        <w:t xml:space="preserve">Table </w:t>
      </w:r>
      <w:r w:rsidR="008E1A61" w:rsidRPr="00233A95">
        <w:rPr>
          <w:b w:val="0"/>
        </w:rPr>
        <w:fldChar w:fldCharType="begin"/>
      </w:r>
      <w:r w:rsidR="008E1A61" w:rsidRPr="00233A95">
        <w:rPr>
          <w:b w:val="0"/>
        </w:rPr>
        <w:instrText xml:space="preserve"> COMMENTS  \* MERGEFORMAT </w:instrText>
      </w:r>
      <w:r w:rsidR="008E1A61" w:rsidRPr="00233A95">
        <w:rPr>
          <w:b w:val="0"/>
        </w:rPr>
        <w:fldChar w:fldCharType="separate"/>
      </w:r>
      <w:proofErr w:type="spellStart"/>
      <w:r w:rsidR="00233A95" w:rsidRPr="00233A95">
        <w:rPr>
          <w:b w:val="0"/>
        </w:rPr>
        <w:t>B.</w:t>
      </w:r>
      <w:r w:rsidR="008E1A61" w:rsidRPr="00233A95">
        <w:rPr>
          <w:b w:val="0"/>
        </w:rPr>
        <w:fldChar w:fldCharType="end"/>
      </w:r>
      <w:r w:rsidR="008E1A61" w:rsidRPr="00233A95">
        <w:rPr>
          <w:b w:val="0"/>
        </w:rPr>
        <w:fldChar w:fldCharType="begin"/>
      </w:r>
      <w:r w:rsidR="008E1A61" w:rsidRPr="00233A95">
        <w:rPr>
          <w:b w:val="0"/>
        </w:rPr>
        <w:instrText xml:space="preserve"> SEQ Table \* ARABIC </w:instrText>
      </w:r>
      <w:r w:rsidR="008E1A61" w:rsidRPr="00233A95">
        <w:rPr>
          <w:b w:val="0"/>
        </w:rPr>
        <w:fldChar w:fldCharType="separate"/>
      </w:r>
      <w:r w:rsidR="00F75D71">
        <w:rPr>
          <w:b w:val="0"/>
          <w:noProof/>
        </w:rPr>
        <w:t>1</w:t>
      </w:r>
      <w:proofErr w:type="spellEnd"/>
      <w:r w:rsidR="008E1A61" w:rsidRPr="00233A95">
        <w:rPr>
          <w:b w:val="0"/>
        </w:rPr>
        <w:fldChar w:fldCharType="end"/>
      </w:r>
      <w:r>
        <w:tab/>
        <w:t>Types of intellectual property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7"/>
        <w:gridCol w:w="3116"/>
        <w:gridCol w:w="2695"/>
        <w:gridCol w:w="2126"/>
        <w:gridCol w:w="2126"/>
        <w:gridCol w:w="1387"/>
      </w:tblGrid>
      <w:tr w:rsidR="001718CE" w:rsidTr="00DE77FF">
        <w:tc>
          <w:tcPr>
            <w:tcW w:w="7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1718CE" w:rsidRDefault="001718CE" w:rsidP="001718CE">
            <w:pPr>
              <w:pStyle w:val="TableColumnHeading"/>
              <w:jc w:val="left"/>
            </w:pPr>
            <w:r>
              <w:t>Types of protection</w:t>
            </w:r>
          </w:p>
        </w:tc>
        <w:tc>
          <w:tcPr>
            <w:tcW w:w="1159" w:type="pct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1718CE" w:rsidRDefault="001718CE" w:rsidP="001718CE">
            <w:pPr>
              <w:pStyle w:val="TableColumnHeading"/>
              <w:jc w:val="left"/>
            </w:pPr>
            <w:r>
              <w:t>Subject matter and features protected</w:t>
            </w:r>
          </w:p>
        </w:tc>
        <w:tc>
          <w:tcPr>
            <w:tcW w:w="1003" w:type="pct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1718CE" w:rsidRDefault="001718CE" w:rsidP="001718CE">
            <w:pPr>
              <w:pStyle w:val="TableColumnHeading"/>
              <w:jc w:val="left"/>
            </w:pPr>
            <w:r>
              <w:t>Maximum life of IP right</w:t>
            </w:r>
          </w:p>
        </w:tc>
        <w:tc>
          <w:tcPr>
            <w:tcW w:w="79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1718CE" w:rsidRPr="00837BE6" w:rsidRDefault="001718CE" w:rsidP="001718CE">
            <w:pPr>
              <w:pStyle w:val="TableColumnHeading"/>
              <w:jc w:val="left"/>
            </w:pPr>
            <w:r w:rsidRPr="00837BE6">
              <w:t>Australian Acts</w:t>
            </w:r>
          </w:p>
        </w:tc>
        <w:tc>
          <w:tcPr>
            <w:tcW w:w="79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1718CE" w:rsidRDefault="001718CE" w:rsidP="001718CE">
            <w:pPr>
              <w:pStyle w:val="TableColumnHeading"/>
              <w:ind w:right="28"/>
              <w:jc w:val="left"/>
            </w:pPr>
            <w:r>
              <w:t>Major international agreements</w:t>
            </w:r>
          </w:p>
        </w:tc>
        <w:tc>
          <w:tcPr>
            <w:tcW w:w="516" w:type="pct"/>
            <w:tcBorders>
              <w:top w:val="single" w:sz="6" w:space="0" w:color="auto"/>
              <w:bottom w:val="single" w:sz="6" w:space="0" w:color="auto"/>
            </w:tcBorders>
          </w:tcPr>
          <w:p w:rsidR="001718CE" w:rsidRDefault="007C54D1" w:rsidP="007C54D1">
            <w:pPr>
              <w:pStyle w:val="TableColumnHeading"/>
              <w:ind w:right="28"/>
              <w:jc w:val="left"/>
            </w:pPr>
            <w:r>
              <w:t xml:space="preserve">Government </w:t>
            </w:r>
            <w:r w:rsidR="001718CE">
              <w:t>responsibility</w:t>
            </w:r>
          </w:p>
        </w:tc>
      </w:tr>
      <w:tr w:rsidR="001718CE" w:rsidTr="00DE77FF">
        <w:tc>
          <w:tcPr>
            <w:tcW w:w="739" w:type="pct"/>
            <w:tcBorders>
              <w:bottom w:val="single" w:sz="4" w:space="0" w:color="auto"/>
            </w:tcBorders>
          </w:tcPr>
          <w:p w:rsidR="001718CE" w:rsidRDefault="001718CE" w:rsidP="001718CE">
            <w:pPr>
              <w:pStyle w:val="TableUnitsRow"/>
              <w:spacing w:before="0" w:after="0" w:line="240" w:lineRule="auto"/>
              <w:jc w:val="left"/>
            </w:pPr>
            <w:r>
              <w:rPr>
                <w:rFonts w:cs="Arial"/>
              </w:rPr>
              <w:t>Standard patents</w:t>
            </w:r>
            <w:r>
              <w:rPr>
                <w:rFonts w:cs="Arial"/>
              </w:rPr>
              <w:br/>
            </w:r>
            <w:r>
              <w:rPr>
                <w:rFonts w:cs="Arial"/>
                <w:i/>
              </w:rPr>
              <w:br/>
              <w:t>- By application and examination</w:t>
            </w:r>
          </w:p>
        </w:tc>
        <w:tc>
          <w:tcPr>
            <w:tcW w:w="1159" w:type="pct"/>
            <w:tcBorders>
              <w:bottom w:val="single" w:sz="4" w:space="0" w:color="auto"/>
            </w:tcBorders>
          </w:tcPr>
          <w:p w:rsidR="001718CE" w:rsidRDefault="001718CE" w:rsidP="001718CE">
            <w:pPr>
              <w:pStyle w:val="TableBodyText"/>
              <w:jc w:val="left"/>
            </w:pPr>
            <w:r>
              <w:rPr>
                <w:rFonts w:cs="Arial"/>
              </w:rPr>
              <w:t>Device, substance, composition, method or process that are new, inventive and useful. Excluded: human beings and methods for their generation.</w:t>
            </w:r>
          </w:p>
        </w:tc>
        <w:tc>
          <w:tcPr>
            <w:tcW w:w="1003" w:type="pct"/>
            <w:tcBorders>
              <w:bottom w:val="single" w:sz="4" w:space="0" w:color="auto"/>
            </w:tcBorders>
          </w:tcPr>
          <w:p w:rsidR="001718CE" w:rsidRDefault="001718CE" w:rsidP="00CA70D1">
            <w:pPr>
              <w:pStyle w:val="TableUnitsRow"/>
              <w:spacing w:before="0" w:after="0" w:line="240" w:lineRule="auto"/>
              <w:jc w:val="left"/>
            </w:pPr>
            <w:r>
              <w:rPr>
                <w:rFonts w:cs="Arial"/>
              </w:rPr>
              <w:t>20 years</w:t>
            </w:r>
            <w:r w:rsidR="00CA70D1">
              <w:rPr>
                <w:rFonts w:cs="Arial"/>
              </w:rPr>
              <w:br/>
            </w:r>
            <w:r>
              <w:rPr>
                <w:rFonts w:cs="Arial"/>
              </w:rPr>
              <w:t>25 years (pharmaceuticals)</w:t>
            </w:r>
            <w:r w:rsidR="00A22B35">
              <w:rPr>
                <w:rFonts w:cs="Arial"/>
              </w:rPr>
              <w:t>.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1718CE" w:rsidRPr="00837BE6" w:rsidRDefault="001718CE" w:rsidP="001718CE">
            <w:pPr>
              <w:pStyle w:val="TableBodyText"/>
              <w:jc w:val="left"/>
              <w:rPr>
                <w:i/>
              </w:rPr>
            </w:pPr>
            <w:r w:rsidRPr="00837BE6">
              <w:rPr>
                <w:rFonts w:cs="Arial"/>
                <w:i/>
              </w:rPr>
              <w:t>Patents Act 1990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1718CE" w:rsidRDefault="001718CE" w:rsidP="00837BE6">
            <w:pPr>
              <w:pStyle w:val="TableBodyText"/>
              <w:ind w:right="28"/>
              <w:jc w:val="left"/>
            </w:pPr>
            <w:r>
              <w:rPr>
                <w:rFonts w:cs="Arial"/>
              </w:rPr>
              <w:t>Paris Convention; Patent Cooperation Treaty; Budapest Treaty; Strasbourg Agreement; TRIPS</w:t>
            </w:r>
            <w:r w:rsidR="00F53AF5">
              <w:rPr>
                <w:rFonts w:cs="Arial"/>
              </w:rPr>
              <w:t xml:space="preserve"> (articles 27-34)</w:t>
            </w:r>
            <w:r>
              <w:rPr>
                <w:rFonts w:cs="Arial"/>
              </w:rPr>
              <w:t xml:space="preserve">; Patent Law Treaty, </w:t>
            </w:r>
            <w:proofErr w:type="spellStart"/>
            <w:r>
              <w:rPr>
                <w:rFonts w:cs="Arial"/>
              </w:rPr>
              <w:t>AUSFTA</w:t>
            </w:r>
            <w:proofErr w:type="spellEnd"/>
            <w:r>
              <w:rPr>
                <w:rFonts w:cs="Arial"/>
              </w:rPr>
              <w:t xml:space="preserve">, </w:t>
            </w:r>
            <w:proofErr w:type="spellStart"/>
            <w:r>
              <w:rPr>
                <w:rFonts w:cs="Arial"/>
              </w:rPr>
              <w:t>ACI-FTA</w:t>
            </w:r>
            <w:proofErr w:type="spellEnd"/>
            <w:r w:rsidR="00F20E1B">
              <w:rPr>
                <w:rFonts w:cs="Arial"/>
              </w:rPr>
              <w:t xml:space="preserve"> </w:t>
            </w:r>
          </w:p>
        </w:tc>
        <w:tc>
          <w:tcPr>
            <w:tcW w:w="516" w:type="pct"/>
            <w:tcBorders>
              <w:bottom w:val="single" w:sz="4" w:space="0" w:color="auto"/>
            </w:tcBorders>
          </w:tcPr>
          <w:p w:rsidR="001718CE" w:rsidRDefault="002E2A60" w:rsidP="002E2A60">
            <w:pPr>
              <w:pStyle w:val="TableBodyText"/>
              <w:ind w:right="28"/>
              <w:jc w:val="left"/>
              <w:rPr>
                <w:rFonts w:cs="Arial"/>
              </w:rPr>
            </w:pPr>
            <w:r>
              <w:rPr>
                <w:rFonts w:cs="Arial"/>
              </w:rPr>
              <w:t>IP Australia</w:t>
            </w:r>
          </w:p>
        </w:tc>
      </w:tr>
      <w:tr w:rsidR="001718CE" w:rsidTr="00DE77FF">
        <w:tc>
          <w:tcPr>
            <w:tcW w:w="739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Default="001718CE" w:rsidP="001718CE">
            <w:pPr>
              <w:pStyle w:val="TableUnitsRow"/>
              <w:spacing w:before="0" w:after="0" w:line="240" w:lineRule="auto"/>
              <w:jc w:val="left"/>
            </w:pPr>
            <w:r>
              <w:rPr>
                <w:rFonts w:cs="Arial"/>
              </w:rPr>
              <w:t>Innovation patents</w:t>
            </w:r>
            <w:r>
              <w:rPr>
                <w:rFonts w:cs="Arial"/>
              </w:rPr>
              <w:br/>
            </w:r>
            <w:r>
              <w:rPr>
                <w:rFonts w:cs="Arial"/>
                <w:i/>
              </w:rPr>
              <w:br/>
              <w:t>- By application, and certification (if requested)</w:t>
            </w:r>
          </w:p>
        </w:tc>
        <w:tc>
          <w:tcPr>
            <w:tcW w:w="1159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Default="002E2A60" w:rsidP="002E2A60">
            <w:pPr>
              <w:pStyle w:val="TableBodyText"/>
              <w:jc w:val="left"/>
            </w:pPr>
            <w:r>
              <w:t>As above, except inventions only need to be different from what is known before and the difference makes a substantial contribution to the working of the invention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Default="001718CE" w:rsidP="001718CE">
            <w:pPr>
              <w:pStyle w:val="TableBodyText"/>
              <w:jc w:val="left"/>
            </w:pPr>
            <w:r>
              <w:t>8 years</w:t>
            </w:r>
            <w:r w:rsidR="00A22B35">
              <w:t>.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837BE6" w:rsidRDefault="001718CE" w:rsidP="001718CE">
            <w:pPr>
              <w:pStyle w:val="TableBodyText"/>
              <w:jc w:val="left"/>
              <w:rPr>
                <w:i/>
              </w:rPr>
            </w:pPr>
            <w:r w:rsidRPr="00837BE6">
              <w:rPr>
                <w:rFonts w:cs="Arial"/>
                <w:i/>
              </w:rPr>
              <w:t>Patents Act 1990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Default="001718CE" w:rsidP="001718CE">
            <w:pPr>
              <w:pStyle w:val="TableBodyText"/>
              <w:ind w:right="28"/>
              <w:jc w:val="left"/>
            </w:pPr>
            <w:r>
              <w:rPr>
                <w:rFonts w:cs="Arial"/>
              </w:rPr>
              <w:t>Paris Convention; Budapest Treaty; Strasbourg Agreement</w:t>
            </w:r>
            <w:r w:rsidR="00F20E1B">
              <w:rPr>
                <w:rFonts w:cs="Arial"/>
              </w:rPr>
              <w:t xml:space="preserve"> 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Default="002E2A60" w:rsidP="002E2A60">
            <w:pPr>
              <w:pStyle w:val="TableBodyText"/>
              <w:ind w:right="28"/>
              <w:jc w:val="left"/>
              <w:rPr>
                <w:rFonts w:cs="Arial"/>
              </w:rPr>
            </w:pPr>
            <w:r>
              <w:rPr>
                <w:rFonts w:cs="Arial"/>
              </w:rPr>
              <w:t>IP Australia</w:t>
            </w:r>
          </w:p>
        </w:tc>
      </w:tr>
      <w:tr w:rsidR="001718CE" w:rsidTr="00DE77FF">
        <w:tc>
          <w:tcPr>
            <w:tcW w:w="739" w:type="pct"/>
          </w:tcPr>
          <w:p w:rsidR="001718CE" w:rsidRDefault="001718CE" w:rsidP="001718CE">
            <w:pPr>
              <w:pStyle w:val="TableBodyText"/>
              <w:spacing w:after="0" w:line="240" w:lineRule="auto"/>
              <w:jc w:val="left"/>
            </w:pPr>
            <w:r>
              <w:rPr>
                <w:rFonts w:cs="Arial"/>
              </w:rPr>
              <w:t>Industrial designs</w:t>
            </w:r>
            <w:r>
              <w:rPr>
                <w:rFonts w:cs="Arial"/>
              </w:rPr>
              <w:br/>
            </w:r>
            <w:r>
              <w:rPr>
                <w:rFonts w:cs="Arial"/>
                <w:i/>
              </w:rPr>
              <w:br/>
              <w:t>- Registered by examination</w:t>
            </w:r>
          </w:p>
        </w:tc>
        <w:tc>
          <w:tcPr>
            <w:tcW w:w="1159" w:type="pct"/>
            <w:tcBorders>
              <w:bottom w:val="single" w:sz="4" w:space="0" w:color="auto"/>
            </w:tcBorders>
          </w:tcPr>
          <w:p w:rsidR="001718CE" w:rsidRDefault="001718CE" w:rsidP="001718CE">
            <w:pPr>
              <w:pStyle w:val="TableBodyText"/>
              <w:jc w:val="left"/>
            </w:pPr>
            <w:r>
              <w:rPr>
                <w:rFonts w:cs="Arial"/>
              </w:rPr>
              <w:t>New and distinctive features of shape, configuration, pattern, or ornamentation.</w:t>
            </w:r>
          </w:p>
        </w:tc>
        <w:tc>
          <w:tcPr>
            <w:tcW w:w="1003" w:type="pct"/>
            <w:tcBorders>
              <w:bottom w:val="single" w:sz="4" w:space="0" w:color="auto"/>
            </w:tcBorders>
          </w:tcPr>
          <w:p w:rsidR="001718CE" w:rsidRDefault="001718CE" w:rsidP="00A22B35">
            <w:pPr>
              <w:pStyle w:val="TableBodyText"/>
              <w:jc w:val="left"/>
            </w:pPr>
            <w:r>
              <w:rPr>
                <w:rFonts w:cs="Arial"/>
              </w:rPr>
              <w:t>10 years</w:t>
            </w:r>
            <w:r w:rsidR="00A22B35">
              <w:rPr>
                <w:rFonts w:cs="Arial"/>
              </w:rPr>
              <w:t>.</w:t>
            </w:r>
            <w:r w:rsidR="00A22B35">
              <w:rPr>
                <w:rFonts w:cs="Arial"/>
              </w:rPr>
              <w:br/>
            </w:r>
            <w:r>
              <w:rPr>
                <w:rFonts w:cs="Arial"/>
              </w:rPr>
              <w:t>(</w:t>
            </w:r>
            <w:r w:rsidR="00A22B35">
              <w:rPr>
                <w:rFonts w:cs="Arial"/>
              </w:rPr>
              <w:t>I</w:t>
            </w:r>
            <w:r>
              <w:rPr>
                <w:rFonts w:cs="Arial"/>
              </w:rPr>
              <w:t>nitial 5 years plus renewable for 5 years)</w:t>
            </w:r>
            <w:r w:rsidR="00A515C2">
              <w:rPr>
                <w:rFonts w:cs="Arial"/>
              </w:rPr>
              <w:t>.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1718CE" w:rsidRPr="00837BE6" w:rsidRDefault="001718CE" w:rsidP="001718CE">
            <w:pPr>
              <w:pStyle w:val="TableBodyText"/>
              <w:jc w:val="left"/>
              <w:rPr>
                <w:i/>
              </w:rPr>
            </w:pPr>
            <w:r w:rsidRPr="00837BE6">
              <w:rPr>
                <w:rFonts w:cs="Arial"/>
                <w:i/>
              </w:rPr>
              <w:t>Designs Act 2003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1718CE" w:rsidRDefault="001718CE" w:rsidP="00F34D0F">
            <w:pPr>
              <w:pStyle w:val="TableBodyText"/>
              <w:jc w:val="left"/>
            </w:pPr>
            <w:r>
              <w:t>Paris Convention; Hague Agreement</w:t>
            </w:r>
            <w:r w:rsidR="00837BE6">
              <w:t xml:space="preserve"> </w:t>
            </w:r>
            <w:r w:rsidRPr="008E77FE">
              <w:rPr>
                <w:rStyle w:val="NoteLabel"/>
              </w:rPr>
              <w:t>a</w:t>
            </w:r>
            <w:r>
              <w:t>; Locarno Agreement</w:t>
            </w:r>
            <w:r w:rsidR="00837BE6">
              <w:t xml:space="preserve"> </w:t>
            </w:r>
            <w:r w:rsidRPr="008E77FE">
              <w:rPr>
                <w:rStyle w:val="NoteLabel"/>
              </w:rPr>
              <w:t xml:space="preserve">a </w:t>
            </w:r>
            <w:r>
              <w:t>TRIPS</w:t>
            </w:r>
            <w:r w:rsidR="00F53AF5">
              <w:t xml:space="preserve"> </w:t>
            </w:r>
            <w:r w:rsidR="00F53AF5">
              <w:rPr>
                <w:rFonts w:cs="Arial"/>
              </w:rPr>
              <w:t>(articles 25</w:t>
            </w:r>
            <w:r w:rsidR="00F34D0F">
              <w:rPr>
                <w:rFonts w:cs="Arial"/>
              </w:rPr>
              <w:t xml:space="preserve"> &amp; 26)</w:t>
            </w:r>
            <w:r>
              <w:t xml:space="preserve">; </w:t>
            </w:r>
            <w:proofErr w:type="spellStart"/>
            <w:r>
              <w:t>AUSFTA</w:t>
            </w:r>
            <w:proofErr w:type="spellEnd"/>
            <w:r w:rsidR="00F20E1B">
              <w:t xml:space="preserve"> </w:t>
            </w:r>
          </w:p>
        </w:tc>
        <w:tc>
          <w:tcPr>
            <w:tcW w:w="516" w:type="pct"/>
            <w:tcBorders>
              <w:bottom w:val="single" w:sz="4" w:space="0" w:color="auto"/>
            </w:tcBorders>
          </w:tcPr>
          <w:p w:rsidR="001718CE" w:rsidRDefault="002E2A60" w:rsidP="002E2A60">
            <w:pPr>
              <w:pStyle w:val="TableBodyText"/>
              <w:jc w:val="left"/>
            </w:pPr>
            <w:r>
              <w:rPr>
                <w:rFonts w:cs="Arial"/>
              </w:rPr>
              <w:t>IP Australia</w:t>
            </w:r>
          </w:p>
        </w:tc>
      </w:tr>
      <w:tr w:rsidR="001718CE" w:rsidTr="00DE77FF">
        <w:tc>
          <w:tcPr>
            <w:tcW w:w="739" w:type="pct"/>
            <w:tcBorders>
              <w:top w:val="single" w:sz="4" w:space="0" w:color="auto"/>
            </w:tcBorders>
          </w:tcPr>
          <w:p w:rsidR="001718CE" w:rsidRDefault="001718CE" w:rsidP="001718CE">
            <w:pPr>
              <w:pStyle w:val="TableBodyText"/>
              <w:spacing w:after="0" w:line="240" w:lineRule="auto"/>
              <w:jc w:val="left"/>
            </w:pPr>
            <w:r>
              <w:rPr>
                <w:rFonts w:cs="Arial"/>
              </w:rPr>
              <w:t>Trade marks</w:t>
            </w:r>
            <w:r>
              <w:rPr>
                <w:rFonts w:cs="Arial"/>
              </w:rPr>
              <w:br/>
            </w:r>
            <w:r>
              <w:rPr>
                <w:rFonts w:cs="Arial"/>
                <w:i/>
              </w:rPr>
              <w:br/>
              <w:t>- Registered by examination</w:t>
            </w:r>
            <w:r>
              <w:rPr>
                <w:rFonts w:cs="Arial"/>
                <w:i/>
              </w:rPr>
              <w:br/>
              <w:t>- Unregistered have Common Law standing</w:t>
            </w:r>
          </w:p>
        </w:tc>
        <w:tc>
          <w:tcPr>
            <w:tcW w:w="1159" w:type="pct"/>
            <w:tcBorders>
              <w:top w:val="single" w:sz="4" w:space="0" w:color="auto"/>
            </w:tcBorders>
          </w:tcPr>
          <w:p w:rsidR="001718CE" w:rsidRDefault="001718CE" w:rsidP="001718CE">
            <w:pPr>
              <w:pStyle w:val="TableBodyText"/>
              <w:jc w:val="left"/>
            </w:pPr>
            <w:r>
              <w:rPr>
                <w:rFonts w:cs="Arial"/>
              </w:rPr>
              <w:t>Distinguish the goods and/or services of the trader: letter, number, word, phrase, sound, smell, shape, logo, picture and/or aspect of packaging</w:t>
            </w:r>
            <w:r w:rsidR="00F20E1B">
              <w:rPr>
                <w:rFonts w:cs="Arial"/>
              </w:rPr>
              <w:t xml:space="preserve">. </w:t>
            </w:r>
          </w:p>
        </w:tc>
        <w:tc>
          <w:tcPr>
            <w:tcW w:w="1003" w:type="pct"/>
            <w:tcBorders>
              <w:top w:val="single" w:sz="4" w:space="0" w:color="auto"/>
            </w:tcBorders>
          </w:tcPr>
          <w:p w:rsidR="001718CE" w:rsidRDefault="001718CE" w:rsidP="00A22B35">
            <w:pPr>
              <w:pStyle w:val="TableBodyText"/>
              <w:jc w:val="left"/>
            </w:pPr>
            <w:r>
              <w:rPr>
                <w:rFonts w:cs="Arial"/>
              </w:rPr>
              <w:t>Indefinite</w:t>
            </w:r>
            <w:r w:rsidR="00A22B35">
              <w:rPr>
                <w:rFonts w:cs="Arial"/>
              </w:rPr>
              <w:t>.</w:t>
            </w:r>
            <w:r w:rsidR="00A22B35">
              <w:rPr>
                <w:rFonts w:cs="Arial"/>
              </w:rPr>
              <w:br/>
            </w:r>
            <w:r>
              <w:rPr>
                <w:rFonts w:cs="Arial"/>
              </w:rPr>
              <w:t>(</w:t>
            </w:r>
            <w:r w:rsidR="00A22B35">
              <w:rPr>
                <w:rFonts w:cs="Arial"/>
              </w:rPr>
              <w:t>I</w:t>
            </w:r>
            <w:r>
              <w:rPr>
                <w:rFonts w:cs="Arial"/>
              </w:rPr>
              <w:t>nitial 10 years plus further renewals 10 years at a time)</w:t>
            </w:r>
            <w:r w:rsidR="00A515C2">
              <w:rPr>
                <w:rFonts w:cs="Arial"/>
              </w:rPr>
              <w:t>.</w:t>
            </w:r>
          </w:p>
        </w:tc>
        <w:tc>
          <w:tcPr>
            <w:tcW w:w="791" w:type="pct"/>
            <w:tcBorders>
              <w:top w:val="single" w:sz="4" w:space="0" w:color="auto"/>
            </w:tcBorders>
          </w:tcPr>
          <w:p w:rsidR="001718CE" w:rsidRPr="00837BE6" w:rsidRDefault="001718CE" w:rsidP="001718CE">
            <w:pPr>
              <w:pStyle w:val="TableBodyText"/>
              <w:jc w:val="left"/>
              <w:rPr>
                <w:i/>
              </w:rPr>
            </w:pPr>
            <w:r w:rsidRPr="00837BE6">
              <w:rPr>
                <w:rFonts w:cs="Arial"/>
                <w:i/>
              </w:rPr>
              <w:t>Trade Marks Act 1995</w:t>
            </w:r>
          </w:p>
        </w:tc>
        <w:tc>
          <w:tcPr>
            <w:tcW w:w="791" w:type="pct"/>
            <w:tcBorders>
              <w:top w:val="single" w:sz="4" w:space="0" w:color="auto"/>
            </w:tcBorders>
          </w:tcPr>
          <w:p w:rsidR="001718CE" w:rsidRDefault="001718CE" w:rsidP="00837BE6">
            <w:pPr>
              <w:pStyle w:val="TableBodyText"/>
              <w:ind w:right="28"/>
              <w:jc w:val="left"/>
            </w:pPr>
            <w:r>
              <w:rPr>
                <w:rFonts w:cs="Arial"/>
              </w:rPr>
              <w:t>Madrid Protocol</w:t>
            </w:r>
            <w:r w:rsidRPr="008E77FE">
              <w:rPr>
                <w:rStyle w:val="NoteLabel"/>
              </w:rPr>
              <w:t xml:space="preserve"> a</w:t>
            </w:r>
            <w:r>
              <w:rPr>
                <w:rFonts w:cs="Arial"/>
              </w:rPr>
              <w:t>; Paris Convention; Nice Agreement; Trademark Law Treaty; TRIPS</w:t>
            </w:r>
            <w:r w:rsidR="00F53AF5">
              <w:rPr>
                <w:rFonts w:cs="Arial"/>
              </w:rPr>
              <w:t xml:space="preserve"> (articles 15-21)</w:t>
            </w:r>
            <w:r>
              <w:rPr>
                <w:rFonts w:cs="Arial"/>
              </w:rPr>
              <w:t xml:space="preserve">; Singapore Treaty, </w:t>
            </w:r>
            <w:proofErr w:type="spellStart"/>
            <w:r>
              <w:rPr>
                <w:rFonts w:cs="Arial"/>
              </w:rPr>
              <w:t>AUSFTA</w:t>
            </w:r>
            <w:proofErr w:type="spellEnd"/>
            <w:r>
              <w:rPr>
                <w:rFonts w:cs="Arial"/>
              </w:rPr>
              <w:t xml:space="preserve">, </w:t>
            </w:r>
            <w:proofErr w:type="spellStart"/>
            <w:r>
              <w:rPr>
                <w:rFonts w:cs="Arial"/>
              </w:rPr>
              <w:t>AANZFTA</w:t>
            </w:r>
            <w:proofErr w:type="spellEnd"/>
            <w:r>
              <w:rPr>
                <w:rFonts w:cs="Arial"/>
              </w:rPr>
              <w:t xml:space="preserve">, </w:t>
            </w:r>
            <w:proofErr w:type="spellStart"/>
            <w:r>
              <w:rPr>
                <w:rFonts w:cs="Arial"/>
              </w:rPr>
              <w:t>ACI-FTA</w:t>
            </w:r>
            <w:proofErr w:type="spellEnd"/>
          </w:p>
        </w:tc>
        <w:tc>
          <w:tcPr>
            <w:tcW w:w="516" w:type="pct"/>
            <w:tcBorders>
              <w:top w:val="single" w:sz="4" w:space="0" w:color="auto"/>
            </w:tcBorders>
          </w:tcPr>
          <w:p w:rsidR="001718CE" w:rsidRDefault="002E2A60" w:rsidP="002E2A60">
            <w:pPr>
              <w:pStyle w:val="TableBodyText"/>
              <w:ind w:right="28"/>
              <w:jc w:val="left"/>
              <w:rPr>
                <w:rFonts w:cs="Arial"/>
              </w:rPr>
            </w:pPr>
            <w:r>
              <w:rPr>
                <w:rFonts w:cs="Arial"/>
              </w:rPr>
              <w:t>IP Australia</w:t>
            </w:r>
          </w:p>
        </w:tc>
      </w:tr>
      <w:tr w:rsidR="001718CE" w:rsidTr="00DE77FF">
        <w:tc>
          <w:tcPr>
            <w:tcW w:w="739" w:type="pct"/>
            <w:tcBorders>
              <w:bottom w:val="single" w:sz="4" w:space="0" w:color="auto"/>
            </w:tcBorders>
          </w:tcPr>
          <w:p w:rsidR="001718CE" w:rsidRDefault="001718CE" w:rsidP="001718CE">
            <w:pPr>
              <w:pStyle w:val="TableBodyText"/>
              <w:jc w:val="left"/>
            </w:pPr>
          </w:p>
        </w:tc>
        <w:tc>
          <w:tcPr>
            <w:tcW w:w="1159" w:type="pct"/>
            <w:tcBorders>
              <w:bottom w:val="single" w:sz="4" w:space="0" w:color="auto"/>
            </w:tcBorders>
          </w:tcPr>
          <w:p w:rsidR="001718CE" w:rsidRPr="008263F5" w:rsidRDefault="001718CE" w:rsidP="001718CE">
            <w:pPr>
              <w:pStyle w:val="TableBodyText"/>
              <w:jc w:val="left"/>
            </w:pPr>
            <w:r w:rsidRPr="008263F5">
              <w:rPr>
                <w:rFonts w:cs="Arial"/>
              </w:rPr>
              <w:t>Certification trademarks showing goods or services certified as meeting particular standards</w:t>
            </w:r>
            <w:r>
              <w:rPr>
                <w:rFonts w:cs="Arial"/>
              </w:rPr>
              <w:t>.</w:t>
            </w:r>
          </w:p>
        </w:tc>
        <w:tc>
          <w:tcPr>
            <w:tcW w:w="1003" w:type="pct"/>
            <w:tcBorders>
              <w:bottom w:val="single" w:sz="4" w:space="0" w:color="auto"/>
            </w:tcBorders>
          </w:tcPr>
          <w:p w:rsidR="001718CE" w:rsidRPr="008263F5" w:rsidRDefault="001718CE" w:rsidP="001718CE">
            <w:pPr>
              <w:pStyle w:val="TableBodyText"/>
              <w:jc w:val="left"/>
            </w:pP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1718CE" w:rsidRPr="00837BE6" w:rsidRDefault="001718CE" w:rsidP="001718CE">
            <w:pPr>
              <w:pStyle w:val="TableBodyText"/>
              <w:rPr>
                <w:i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1718CE" w:rsidRPr="00AA68F8" w:rsidRDefault="001718CE" w:rsidP="001718CE">
            <w:pPr>
              <w:pStyle w:val="TableBodyText"/>
              <w:ind w:right="28"/>
              <w:jc w:val="left"/>
            </w:pPr>
            <w:proofErr w:type="spellStart"/>
            <w:r w:rsidRPr="00AA68F8">
              <w:rPr>
                <w:rFonts w:cs="Arial"/>
              </w:rPr>
              <w:t>AUSFTA</w:t>
            </w:r>
            <w:proofErr w:type="spellEnd"/>
            <w:r w:rsidRPr="00AA68F8">
              <w:rPr>
                <w:rFonts w:cs="Arial"/>
              </w:rPr>
              <w:t xml:space="preserve">, </w:t>
            </w:r>
            <w:proofErr w:type="spellStart"/>
            <w:r w:rsidRPr="00AA68F8">
              <w:rPr>
                <w:rFonts w:cs="Arial"/>
              </w:rPr>
              <w:t>ACI-FTA</w:t>
            </w:r>
            <w:proofErr w:type="spellEnd"/>
          </w:p>
        </w:tc>
        <w:tc>
          <w:tcPr>
            <w:tcW w:w="516" w:type="pct"/>
            <w:tcBorders>
              <w:bottom w:val="single" w:sz="4" w:space="0" w:color="auto"/>
            </w:tcBorders>
          </w:tcPr>
          <w:p w:rsidR="001718CE" w:rsidRPr="00AA68F8" w:rsidRDefault="001718CE" w:rsidP="002E2A60">
            <w:pPr>
              <w:pStyle w:val="TableBodyText"/>
              <w:ind w:right="28"/>
              <w:jc w:val="left"/>
              <w:rPr>
                <w:rFonts w:cs="Arial"/>
              </w:rPr>
            </w:pPr>
          </w:p>
        </w:tc>
      </w:tr>
    </w:tbl>
    <w:p w:rsidR="00DE77FF" w:rsidRDefault="00DE77FF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7"/>
        <w:gridCol w:w="3116"/>
        <w:gridCol w:w="2695"/>
        <w:gridCol w:w="2126"/>
        <w:gridCol w:w="2126"/>
        <w:gridCol w:w="1387"/>
      </w:tblGrid>
      <w:tr w:rsidR="001718CE" w:rsidTr="00DE77FF">
        <w:tc>
          <w:tcPr>
            <w:tcW w:w="739" w:type="pct"/>
            <w:tcBorders>
              <w:top w:val="single" w:sz="4" w:space="0" w:color="auto"/>
            </w:tcBorders>
          </w:tcPr>
          <w:p w:rsidR="001718CE" w:rsidRDefault="001718CE" w:rsidP="00B7686B">
            <w:pPr>
              <w:pStyle w:val="TableBodyText"/>
              <w:jc w:val="left"/>
            </w:pPr>
            <w:r>
              <w:rPr>
                <w:rFonts w:cs="Arial"/>
              </w:rPr>
              <w:lastRenderedPageBreak/>
              <w:t>Geographical Indications</w:t>
            </w:r>
            <w:r w:rsidR="00B7686B">
              <w:rPr>
                <w:rFonts w:cs="Arial"/>
              </w:rPr>
              <w:br/>
            </w:r>
            <w:r w:rsidR="00B7686B">
              <w:rPr>
                <w:rFonts w:cs="Arial"/>
              </w:rPr>
              <w:br/>
              <w:t xml:space="preserve">- </w:t>
            </w:r>
            <w:r w:rsidR="00315141">
              <w:rPr>
                <w:rFonts w:cs="Arial"/>
              </w:rPr>
              <w:t xml:space="preserve">as a </w:t>
            </w:r>
            <w:r w:rsidR="00B7686B">
              <w:rPr>
                <w:rFonts w:cs="Arial"/>
              </w:rPr>
              <w:t>Certification trade mark</w:t>
            </w:r>
          </w:p>
        </w:tc>
        <w:tc>
          <w:tcPr>
            <w:tcW w:w="1159" w:type="pct"/>
            <w:tcBorders>
              <w:top w:val="single" w:sz="4" w:space="0" w:color="auto"/>
            </w:tcBorders>
          </w:tcPr>
          <w:p w:rsidR="001718CE" w:rsidRDefault="001718CE" w:rsidP="001718CE">
            <w:pPr>
              <w:pStyle w:val="TableBodyText"/>
              <w:jc w:val="left"/>
            </w:pPr>
            <w:r>
              <w:rPr>
                <w:rFonts w:cs="Arial"/>
              </w:rPr>
              <w:t>Goods originating from a specific territory, region or locality with a particular quality, reputation or characteristic.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Default="00CA70D1" w:rsidP="00A22B35">
            <w:pPr>
              <w:pStyle w:val="TableBodyText"/>
              <w:jc w:val="left"/>
            </w:pPr>
            <w:r>
              <w:rPr>
                <w:rFonts w:cs="Arial"/>
              </w:rPr>
              <w:t>Indefinite</w:t>
            </w:r>
            <w:r w:rsidR="00A22B35">
              <w:rPr>
                <w:rFonts w:cs="Arial"/>
              </w:rPr>
              <w:t>.</w:t>
            </w:r>
            <w:r w:rsidR="00A22B35">
              <w:rPr>
                <w:rFonts w:cs="Arial"/>
              </w:rPr>
              <w:br/>
            </w:r>
            <w:r>
              <w:rPr>
                <w:rFonts w:cs="Arial"/>
              </w:rPr>
              <w:t>(I</w:t>
            </w:r>
            <w:r w:rsidR="001718CE">
              <w:rPr>
                <w:rFonts w:cs="Arial"/>
              </w:rPr>
              <w:t>nitial 10 years plus further renewals 10 years at a time, as per trademarks)</w:t>
            </w:r>
            <w:r w:rsidR="00A515C2">
              <w:rPr>
                <w:rFonts w:cs="Arial"/>
              </w:rPr>
              <w:t>.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837BE6" w:rsidRDefault="001718CE" w:rsidP="001718CE">
            <w:pPr>
              <w:pStyle w:val="TableBodyText"/>
              <w:jc w:val="left"/>
              <w:rPr>
                <w:i/>
              </w:rPr>
            </w:pPr>
            <w:r w:rsidRPr="00837BE6">
              <w:rPr>
                <w:rFonts w:cs="Arial"/>
                <w:i/>
              </w:rPr>
              <w:t>Trade Marks Act 1995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Default="001718CE" w:rsidP="00837BE6">
            <w:pPr>
              <w:pStyle w:val="TableBodyText"/>
              <w:ind w:right="28"/>
              <w:jc w:val="left"/>
            </w:pPr>
            <w:r>
              <w:rPr>
                <w:rFonts w:cs="Arial"/>
              </w:rPr>
              <w:t>Paris Convention; Lisbon Agreement</w:t>
            </w:r>
            <w:r w:rsidRPr="008E77FE">
              <w:rPr>
                <w:rStyle w:val="NoteLabel"/>
              </w:rPr>
              <w:t>a</w:t>
            </w:r>
            <w:r>
              <w:rPr>
                <w:rFonts w:cs="Arial"/>
              </w:rPr>
              <w:t>;TRIPS</w:t>
            </w:r>
            <w:r w:rsidR="00F53AF5">
              <w:rPr>
                <w:rFonts w:cs="Arial"/>
              </w:rPr>
              <w:t xml:space="preserve"> (articles 22-24)</w:t>
            </w:r>
            <w:r>
              <w:rPr>
                <w:rFonts w:cs="Arial"/>
              </w:rPr>
              <w:t xml:space="preserve">; </w:t>
            </w:r>
            <w:proofErr w:type="spellStart"/>
            <w:r>
              <w:rPr>
                <w:rFonts w:cs="Arial"/>
              </w:rPr>
              <w:t>AUSFTA</w:t>
            </w:r>
            <w:proofErr w:type="spellEnd"/>
            <w:r>
              <w:rPr>
                <w:rFonts w:cs="Arial"/>
              </w:rPr>
              <w:t xml:space="preserve">, </w:t>
            </w:r>
            <w:proofErr w:type="spellStart"/>
            <w:r>
              <w:rPr>
                <w:rFonts w:cs="Arial"/>
              </w:rPr>
              <w:t>AANZFTA</w:t>
            </w:r>
            <w:proofErr w:type="spellEnd"/>
            <w:r>
              <w:rPr>
                <w:rFonts w:cs="Arial"/>
              </w:rPr>
              <w:t xml:space="preserve">, </w:t>
            </w:r>
            <w:proofErr w:type="spellStart"/>
            <w:r>
              <w:rPr>
                <w:rFonts w:cs="Arial"/>
              </w:rPr>
              <w:t>ACI-FTA</w:t>
            </w:r>
            <w:proofErr w:type="spellEnd"/>
            <w:r w:rsidR="00F20E1B">
              <w:rPr>
                <w:rFonts w:cs="Arial"/>
              </w:rPr>
              <w:t xml:space="preserve"> 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Default="002E2A60" w:rsidP="002E2A60">
            <w:pPr>
              <w:pStyle w:val="TableBodyText"/>
              <w:ind w:right="28"/>
              <w:jc w:val="left"/>
              <w:rPr>
                <w:rFonts w:cs="Arial"/>
              </w:rPr>
            </w:pPr>
            <w:r>
              <w:rPr>
                <w:rFonts w:cs="Arial"/>
              </w:rPr>
              <w:t>IP Australia</w:t>
            </w:r>
          </w:p>
        </w:tc>
      </w:tr>
      <w:tr w:rsidR="001718CE" w:rsidTr="00DE77FF">
        <w:tc>
          <w:tcPr>
            <w:tcW w:w="739" w:type="pct"/>
            <w:tcBorders>
              <w:bottom w:val="single" w:sz="4" w:space="0" w:color="auto"/>
            </w:tcBorders>
          </w:tcPr>
          <w:p w:rsidR="001718CE" w:rsidRDefault="00315141" w:rsidP="00E356BA">
            <w:pPr>
              <w:pStyle w:val="TableBodyText"/>
              <w:jc w:val="left"/>
              <w:rPr>
                <w:i/>
              </w:rPr>
            </w:pPr>
            <w:r>
              <w:t>- on the wine GI register</w:t>
            </w:r>
          </w:p>
        </w:tc>
        <w:tc>
          <w:tcPr>
            <w:tcW w:w="1159" w:type="pct"/>
            <w:tcBorders>
              <w:bottom w:val="single" w:sz="4" w:space="0" w:color="auto"/>
            </w:tcBorders>
          </w:tcPr>
          <w:p w:rsidR="001718CE" w:rsidRDefault="00B7686B" w:rsidP="00B7686B">
            <w:pPr>
              <w:pStyle w:val="TableBodyText"/>
              <w:jc w:val="left"/>
            </w:pPr>
            <w:r>
              <w:t>Wine</w:t>
            </w:r>
            <w:r w:rsidR="00B71BA7">
              <w:t xml:space="preserve"> region</w:t>
            </w:r>
            <w:r w:rsidR="00315141">
              <w:t>s, foreign and domestic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Default="00315141" w:rsidP="00E356BA">
            <w:pPr>
              <w:pStyle w:val="TableBodyText"/>
              <w:jc w:val="left"/>
              <w:rPr>
                <w:i/>
              </w:rPr>
            </w:pPr>
            <w:r>
              <w:t>Indefinite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837BE6" w:rsidRDefault="001718CE" w:rsidP="00B71BA7">
            <w:pPr>
              <w:pStyle w:val="TableBodyText"/>
              <w:jc w:val="left"/>
              <w:rPr>
                <w:i/>
              </w:rPr>
            </w:pPr>
            <w:r w:rsidRPr="00837BE6">
              <w:rPr>
                <w:i/>
              </w:rPr>
              <w:t xml:space="preserve">Wine </w:t>
            </w:r>
            <w:r w:rsidR="00B71BA7">
              <w:rPr>
                <w:i/>
              </w:rPr>
              <w:t>Australia Corporation Act 1980</w:t>
            </w:r>
            <w:r w:rsidR="00F20E1B" w:rsidRPr="00837BE6">
              <w:rPr>
                <w:i/>
              </w:rPr>
              <w:t xml:space="preserve"> 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Default="00B71BA7" w:rsidP="00B71BA7">
            <w:pPr>
              <w:pStyle w:val="TableBodyText"/>
              <w:ind w:right="28"/>
              <w:jc w:val="left"/>
            </w:pPr>
            <w:r>
              <w:t>EU-Australia Wine Agreement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Default="002E2A60" w:rsidP="00837BE6">
            <w:pPr>
              <w:pStyle w:val="TableBodyText"/>
              <w:ind w:right="28"/>
              <w:jc w:val="left"/>
            </w:pPr>
            <w:r>
              <w:t>Agriculture, Fisheries and Forestry</w:t>
            </w:r>
          </w:p>
        </w:tc>
      </w:tr>
      <w:tr w:rsidR="001718CE" w:rsidTr="00DE77FF">
        <w:tc>
          <w:tcPr>
            <w:tcW w:w="739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Default="001718CE" w:rsidP="00315141">
            <w:pPr>
              <w:pStyle w:val="TableColumnHeading"/>
              <w:spacing w:before="0" w:after="0" w:line="240" w:lineRule="auto"/>
              <w:jc w:val="left"/>
            </w:pPr>
            <w:r>
              <w:rPr>
                <w:rFonts w:cs="Arial"/>
                <w:i w:val="0"/>
              </w:rPr>
              <w:t>Plant Breeder’s Rights</w:t>
            </w:r>
            <w:r>
              <w:rPr>
                <w:rFonts w:cs="Arial"/>
                <w:i w:val="0"/>
              </w:rPr>
              <w:br/>
            </w:r>
            <w:r>
              <w:rPr>
                <w:rFonts w:cs="Arial"/>
                <w:i w:val="0"/>
              </w:rPr>
              <w:br/>
            </w:r>
            <w:r w:rsidRPr="008263F5">
              <w:rPr>
                <w:rFonts w:cs="Arial"/>
              </w:rPr>
              <w:t>- Registered by examination</w:t>
            </w:r>
            <w:r w:rsidR="00315141">
              <w:rPr>
                <w:rFonts w:cs="Arial"/>
              </w:rPr>
              <w:br/>
            </w:r>
          </w:p>
        </w:tc>
        <w:tc>
          <w:tcPr>
            <w:tcW w:w="1159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8263F5" w:rsidRDefault="001718CE" w:rsidP="001718CE">
            <w:pPr>
              <w:pStyle w:val="TableBodyText"/>
              <w:jc w:val="left"/>
            </w:pPr>
            <w:r w:rsidRPr="008263F5">
              <w:rPr>
                <w:rFonts w:cs="Arial"/>
              </w:rPr>
              <w:t>New plant varieties that are distinguishable, uniform and stable. Also protects registered name and synonym</w:t>
            </w:r>
            <w:r>
              <w:rPr>
                <w:rFonts w:cs="Arial"/>
              </w:rPr>
              <w:t>.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8263F5" w:rsidRDefault="001718CE" w:rsidP="00CA70D1">
            <w:pPr>
              <w:pStyle w:val="TableColumnHeading"/>
              <w:spacing w:before="0" w:after="0" w:line="240" w:lineRule="auto"/>
              <w:jc w:val="left"/>
              <w:rPr>
                <w:i w:val="0"/>
              </w:rPr>
            </w:pPr>
            <w:r w:rsidRPr="008263F5">
              <w:rPr>
                <w:rFonts w:cs="Arial"/>
                <w:i w:val="0"/>
              </w:rPr>
              <w:t>20 years</w:t>
            </w:r>
            <w:r w:rsidR="00CA70D1">
              <w:rPr>
                <w:rFonts w:cs="Arial"/>
                <w:i w:val="0"/>
              </w:rPr>
              <w:br/>
            </w:r>
            <w:r w:rsidRPr="008263F5">
              <w:rPr>
                <w:rFonts w:cs="Arial"/>
                <w:i w:val="0"/>
              </w:rPr>
              <w:t>25 years (trees or grape vines)</w:t>
            </w:r>
            <w:r w:rsidR="00A22B35">
              <w:rPr>
                <w:rFonts w:cs="Arial"/>
                <w:i w:val="0"/>
              </w:rPr>
              <w:t>.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837BE6" w:rsidRDefault="001718CE" w:rsidP="001718CE">
            <w:pPr>
              <w:pStyle w:val="TableBodyText"/>
              <w:jc w:val="left"/>
              <w:rPr>
                <w:i/>
              </w:rPr>
            </w:pPr>
            <w:r w:rsidRPr="00837BE6">
              <w:rPr>
                <w:rFonts w:cs="Arial"/>
                <w:i/>
              </w:rPr>
              <w:t>Plant Breeder’s Rights Act 1994</w:t>
            </w:r>
            <w:r w:rsidR="00F20E1B" w:rsidRPr="00837BE6">
              <w:rPr>
                <w:rFonts w:cs="Arial"/>
                <w:i/>
              </w:rPr>
              <w:t xml:space="preserve"> 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8263F5" w:rsidRDefault="001718CE" w:rsidP="00F34D0F">
            <w:pPr>
              <w:pStyle w:val="TableBodyText"/>
              <w:ind w:right="28"/>
              <w:jc w:val="left"/>
            </w:pPr>
            <w:proofErr w:type="spellStart"/>
            <w:r w:rsidRPr="008263F5">
              <w:rPr>
                <w:rFonts w:cs="Arial"/>
              </w:rPr>
              <w:t>UPOV</w:t>
            </w:r>
            <w:proofErr w:type="spellEnd"/>
            <w:r w:rsidRPr="008263F5">
              <w:rPr>
                <w:rFonts w:cs="Arial"/>
              </w:rPr>
              <w:t xml:space="preserve">; </w:t>
            </w:r>
            <w:r w:rsidR="00837BE6">
              <w:rPr>
                <w:rFonts w:cs="Arial"/>
              </w:rPr>
              <w:br/>
            </w:r>
            <w:r w:rsidRPr="008263F5">
              <w:rPr>
                <w:rFonts w:cs="Arial"/>
              </w:rPr>
              <w:t>TRIPS</w:t>
            </w:r>
            <w:r w:rsidR="00213006">
              <w:rPr>
                <w:rFonts w:cs="Arial"/>
              </w:rPr>
              <w:t xml:space="preserve"> (article 27)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8263F5" w:rsidRDefault="002E2A60" w:rsidP="002E2A60">
            <w:pPr>
              <w:pStyle w:val="TableBodyText"/>
              <w:ind w:right="28"/>
              <w:jc w:val="left"/>
              <w:rPr>
                <w:rFonts w:cs="Arial"/>
              </w:rPr>
            </w:pPr>
            <w:r>
              <w:rPr>
                <w:rFonts w:cs="Arial"/>
              </w:rPr>
              <w:t>IP Australia</w:t>
            </w:r>
          </w:p>
        </w:tc>
      </w:tr>
      <w:tr w:rsidR="001718CE" w:rsidTr="00DE77FF">
        <w:tc>
          <w:tcPr>
            <w:tcW w:w="739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Default="001718CE" w:rsidP="001718CE">
            <w:pPr>
              <w:pStyle w:val="TableBodyText"/>
              <w:jc w:val="left"/>
            </w:pPr>
            <w:r w:rsidRPr="00D7354D">
              <w:t>Copyrights</w:t>
            </w:r>
            <w:r>
              <w:br/>
            </w:r>
            <w:r>
              <w:br/>
            </w:r>
            <w:r w:rsidRPr="00D7354D">
              <w:t>- Gratis and automatic</w:t>
            </w:r>
          </w:p>
        </w:tc>
        <w:tc>
          <w:tcPr>
            <w:tcW w:w="1159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D7354D" w:rsidRDefault="001718CE" w:rsidP="001718CE">
            <w:pPr>
              <w:pStyle w:val="TableBodyText"/>
              <w:jc w:val="left"/>
            </w:pPr>
            <w:r w:rsidRPr="00D7354D">
              <w:t>Original works of authorship: literary, musical, artistic</w:t>
            </w:r>
            <w:r>
              <w:t>,</w:t>
            </w:r>
            <w:r w:rsidRPr="00D7354D">
              <w:t xml:space="preserve"> dramatic works</w:t>
            </w:r>
            <w:r>
              <w:t>,</w:t>
            </w:r>
            <w:r w:rsidRPr="00D7354D">
              <w:t xml:space="preserve"> films, recording, broadcasting, performances. 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Default="001718CE" w:rsidP="001718CE">
            <w:pPr>
              <w:pStyle w:val="TableBodyText"/>
              <w:jc w:val="left"/>
            </w:pPr>
            <w:r>
              <w:t>Generally, 70 years from death of author if published, or from publication of films and sound recordings. For broadcasts, 50 years from date of broadcast.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837BE6" w:rsidRDefault="001718CE" w:rsidP="001718CE">
            <w:pPr>
              <w:pStyle w:val="TableBodyText"/>
              <w:jc w:val="left"/>
              <w:rPr>
                <w:i/>
              </w:rPr>
            </w:pPr>
            <w:r w:rsidRPr="00837BE6">
              <w:rPr>
                <w:i/>
              </w:rPr>
              <w:t>Copyright Act 1968</w:t>
            </w:r>
            <w:r w:rsidR="00F20E1B" w:rsidRPr="00837BE6">
              <w:rPr>
                <w:i/>
              </w:rPr>
              <w:t xml:space="preserve"> 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D7354D" w:rsidRDefault="001718CE" w:rsidP="004545B5">
            <w:pPr>
              <w:pStyle w:val="TableBodyText"/>
              <w:jc w:val="left"/>
            </w:pPr>
            <w:r w:rsidRPr="00D7354D">
              <w:t xml:space="preserve">Berne Convention; Rome Convention;  </w:t>
            </w:r>
            <w:proofErr w:type="spellStart"/>
            <w:r w:rsidRPr="00D7354D">
              <w:t>WIPO</w:t>
            </w:r>
            <w:proofErr w:type="spellEnd"/>
            <w:r w:rsidRPr="00D7354D">
              <w:t xml:space="preserve"> Copyright Treaty; </w:t>
            </w:r>
            <w:proofErr w:type="spellStart"/>
            <w:r w:rsidRPr="00D7354D">
              <w:t>WIPO</w:t>
            </w:r>
            <w:proofErr w:type="spellEnd"/>
            <w:r w:rsidRPr="00D7354D">
              <w:t xml:space="preserve"> Performances and Phonograms Treaty; TRIPS</w:t>
            </w:r>
            <w:r w:rsidR="00213006">
              <w:t xml:space="preserve"> </w:t>
            </w:r>
            <w:r w:rsidR="00213006">
              <w:rPr>
                <w:rFonts w:cs="Arial"/>
              </w:rPr>
              <w:t>(articles 9-14)</w:t>
            </w:r>
            <w:r>
              <w:t>;</w:t>
            </w:r>
            <w:r w:rsidRPr="00D7354D">
              <w:t xml:space="preserve"> </w:t>
            </w:r>
            <w:proofErr w:type="spellStart"/>
            <w:r w:rsidRPr="00D7354D">
              <w:t>AUSFTA</w:t>
            </w:r>
            <w:proofErr w:type="spellEnd"/>
            <w:r w:rsidRPr="00D7354D">
              <w:t>; Beijing Tr</w:t>
            </w:r>
            <w:r>
              <w:t xml:space="preserve">eaty on </w:t>
            </w:r>
            <w:proofErr w:type="spellStart"/>
            <w:r>
              <w:t>Audiovisual</w:t>
            </w:r>
            <w:proofErr w:type="spellEnd"/>
            <w:r>
              <w:t xml:space="preserve"> Performance</w:t>
            </w:r>
            <w:r w:rsidRPr="008E77FE">
              <w:rPr>
                <w:rStyle w:val="NoteLabel"/>
              </w:rPr>
              <w:t xml:space="preserve"> a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D7354D" w:rsidRDefault="002E2A60" w:rsidP="002E2A60">
            <w:pPr>
              <w:pStyle w:val="TableBodyText"/>
              <w:jc w:val="left"/>
            </w:pPr>
            <w:r>
              <w:rPr>
                <w:rFonts w:cs="Arial"/>
              </w:rPr>
              <w:t>Attorney-General</w:t>
            </w:r>
            <w:r w:rsidR="00B92B32">
              <w:rPr>
                <w:rFonts w:cs="Arial"/>
              </w:rPr>
              <w:t>’</w:t>
            </w:r>
            <w:r>
              <w:rPr>
                <w:rFonts w:cs="Arial"/>
              </w:rPr>
              <w:t>s</w:t>
            </w:r>
          </w:p>
        </w:tc>
      </w:tr>
      <w:tr w:rsidR="001718CE" w:rsidRPr="00D7354D" w:rsidTr="00DE77FF">
        <w:tc>
          <w:tcPr>
            <w:tcW w:w="739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D7354D" w:rsidRDefault="001718CE" w:rsidP="001718CE">
            <w:pPr>
              <w:pStyle w:val="TableBodyText"/>
              <w:jc w:val="left"/>
            </w:pPr>
            <w:r w:rsidRPr="00D7354D">
              <w:t>Moral Rights</w:t>
            </w:r>
            <w:r w:rsidRPr="00D7354D">
              <w:br/>
            </w:r>
            <w:r w:rsidRPr="00D7354D">
              <w:br/>
              <w:t>- Gratis and automatic</w:t>
            </w:r>
          </w:p>
        </w:tc>
        <w:tc>
          <w:tcPr>
            <w:tcW w:w="1159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D7354D" w:rsidRDefault="001718CE" w:rsidP="001718CE">
            <w:pPr>
              <w:pStyle w:val="TableBodyText"/>
              <w:jc w:val="left"/>
            </w:pPr>
            <w:r w:rsidRPr="00D7354D">
              <w:t>Right of attribution; right against false attribution and right of integrity</w:t>
            </w:r>
            <w:r>
              <w:t>.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D7354D" w:rsidRDefault="001718CE" w:rsidP="004545B5">
            <w:pPr>
              <w:pStyle w:val="TableBodyText"/>
              <w:jc w:val="left"/>
            </w:pPr>
            <w:r w:rsidRPr="00D7354D">
              <w:t>Generally the same as copyright term of protection</w:t>
            </w:r>
            <w:r>
              <w:t>.</w:t>
            </w:r>
            <w:r w:rsidR="004545B5">
              <w:br/>
              <w:t>(Except for film creators where the right of integrity is only for the creator’s lifetime).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837BE6" w:rsidRDefault="001718CE" w:rsidP="001718CE">
            <w:pPr>
              <w:pStyle w:val="TableBodyText"/>
              <w:jc w:val="left"/>
              <w:rPr>
                <w:i/>
              </w:rPr>
            </w:pPr>
            <w:r w:rsidRPr="00837BE6">
              <w:rPr>
                <w:i/>
              </w:rPr>
              <w:t>Copyright Act 1968 (Part IX)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D7354D" w:rsidRDefault="001718CE" w:rsidP="00F53AF5">
            <w:pPr>
              <w:pStyle w:val="TableBodyText"/>
              <w:jc w:val="left"/>
            </w:pPr>
            <w:r w:rsidRPr="00D7354D">
              <w:t xml:space="preserve">Berne Convention; </w:t>
            </w:r>
            <w:proofErr w:type="spellStart"/>
            <w:r w:rsidRPr="00D7354D">
              <w:t>WIPO</w:t>
            </w:r>
            <w:proofErr w:type="spellEnd"/>
            <w:r w:rsidRPr="00D7354D">
              <w:t xml:space="preserve"> Performances and Phonograms Treaty; Beijing Treaty on </w:t>
            </w:r>
            <w:proofErr w:type="spellStart"/>
            <w:r w:rsidRPr="00D7354D">
              <w:t>Audiovisual</w:t>
            </w:r>
            <w:proofErr w:type="spellEnd"/>
            <w:r w:rsidRPr="00D7354D">
              <w:t xml:space="preserve"> Performance</w:t>
            </w:r>
            <w:r w:rsidRPr="008E77FE">
              <w:rPr>
                <w:rStyle w:val="NoteLabel"/>
              </w:rPr>
              <w:t>a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D7354D" w:rsidRDefault="002E2A60" w:rsidP="002E2A60">
            <w:pPr>
              <w:pStyle w:val="TableBodyText"/>
              <w:jc w:val="left"/>
            </w:pPr>
            <w:r>
              <w:rPr>
                <w:rFonts w:cs="Arial"/>
              </w:rPr>
              <w:t>Attorney-General</w:t>
            </w:r>
            <w:r w:rsidR="00B92B32">
              <w:rPr>
                <w:rFonts w:cs="Arial"/>
              </w:rPr>
              <w:t>’</w:t>
            </w:r>
            <w:r>
              <w:rPr>
                <w:rFonts w:cs="Arial"/>
              </w:rPr>
              <w:t>s</w:t>
            </w:r>
          </w:p>
        </w:tc>
      </w:tr>
      <w:tr w:rsidR="001718CE" w:rsidTr="00DE77FF">
        <w:tc>
          <w:tcPr>
            <w:tcW w:w="739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Default="001718CE" w:rsidP="001718CE">
            <w:pPr>
              <w:pStyle w:val="TableBodyText"/>
              <w:jc w:val="left"/>
            </w:pPr>
            <w:r>
              <w:t>Resale Royalty Right  for Visual Artists</w:t>
            </w:r>
          </w:p>
        </w:tc>
        <w:tc>
          <w:tcPr>
            <w:tcW w:w="1159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Default="001718CE" w:rsidP="001718CE">
            <w:pPr>
              <w:pStyle w:val="TableBodyText"/>
              <w:jc w:val="left"/>
            </w:pPr>
            <w:r>
              <w:t>Artists eligible to 5 per cent of the sale price when their original works are resold through the art market for $1000 or more.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Default="001718CE" w:rsidP="007C54D1">
            <w:pPr>
              <w:pStyle w:val="TableBodyText"/>
              <w:jc w:val="left"/>
            </w:pPr>
            <w:r>
              <w:t>Life of artist plus 70 years after death.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837BE6" w:rsidRDefault="001718CE" w:rsidP="001718CE">
            <w:pPr>
              <w:pStyle w:val="TableBodyText"/>
              <w:jc w:val="left"/>
              <w:rPr>
                <w:i/>
              </w:rPr>
            </w:pPr>
            <w:r w:rsidRPr="00837BE6">
              <w:rPr>
                <w:i/>
              </w:rPr>
              <w:t xml:space="preserve">Resale Royalty Right for Visual Artists Act 2009.  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Default="00340073" w:rsidP="00E356BA">
            <w:pPr>
              <w:pStyle w:val="TableBodyText"/>
              <w:ind w:right="28"/>
              <w:jc w:val="left"/>
              <w:rPr>
                <w:i/>
              </w:rPr>
            </w:pPr>
            <w: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Default="004545B5" w:rsidP="004545B5">
            <w:pPr>
              <w:pStyle w:val="TableBodyText"/>
              <w:ind w:right="28"/>
              <w:jc w:val="left"/>
            </w:pPr>
            <w:r>
              <w:rPr>
                <w:rFonts w:cs="Arial"/>
              </w:rPr>
              <w:t>Office for the Arts</w:t>
            </w:r>
          </w:p>
        </w:tc>
      </w:tr>
    </w:tbl>
    <w:p w:rsidR="00DE77FF" w:rsidRDefault="00DE77FF"/>
    <w:p w:rsidR="00686322" w:rsidRPr="001718CE" w:rsidRDefault="00686322" w:rsidP="00686322">
      <w:pPr>
        <w:pStyle w:val="TableTitle"/>
        <w:rPr>
          <w:rFonts w:ascii="Times New Roman" w:hAnsi="Times New Roman"/>
          <w:sz w:val="26"/>
        </w:rPr>
      </w:pPr>
      <w:r w:rsidRPr="00686322">
        <w:rPr>
          <w:b w:val="0"/>
        </w:rPr>
        <w:lastRenderedPageBreak/>
        <w:t xml:space="preserve">Table </w:t>
      </w:r>
      <w:proofErr w:type="spellStart"/>
      <w:r w:rsidRPr="00686322">
        <w:rPr>
          <w:b w:val="0"/>
        </w:rPr>
        <w:t>B.</w:t>
      </w:r>
      <w:r w:rsidRPr="00686322">
        <w:rPr>
          <w:b w:val="0"/>
          <w:noProof/>
        </w:rPr>
        <w:t>1</w:t>
      </w:r>
      <w:proofErr w:type="spellEnd"/>
      <w:r>
        <w:tab/>
      </w:r>
      <w:r w:rsidRPr="00686322">
        <w:rPr>
          <w:sz w:val="20"/>
        </w:rPr>
        <w:t>(continued)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7"/>
        <w:gridCol w:w="3116"/>
        <w:gridCol w:w="2695"/>
        <w:gridCol w:w="2126"/>
        <w:gridCol w:w="2126"/>
        <w:gridCol w:w="1387"/>
      </w:tblGrid>
      <w:tr w:rsidR="00686322" w:rsidTr="00A34665">
        <w:tc>
          <w:tcPr>
            <w:tcW w:w="7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686322" w:rsidRDefault="00686322" w:rsidP="00A34665">
            <w:pPr>
              <w:pStyle w:val="TableColumnHeading"/>
              <w:jc w:val="left"/>
            </w:pPr>
            <w:r>
              <w:t>Types of protection</w:t>
            </w:r>
          </w:p>
        </w:tc>
        <w:tc>
          <w:tcPr>
            <w:tcW w:w="1159" w:type="pct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86322" w:rsidRDefault="00686322" w:rsidP="00A34665">
            <w:pPr>
              <w:pStyle w:val="TableColumnHeading"/>
              <w:jc w:val="left"/>
            </w:pPr>
            <w:r>
              <w:t>Subject matter and features protected</w:t>
            </w:r>
          </w:p>
        </w:tc>
        <w:tc>
          <w:tcPr>
            <w:tcW w:w="1003" w:type="pct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86322" w:rsidRDefault="00686322" w:rsidP="00A34665">
            <w:pPr>
              <w:pStyle w:val="TableColumnHeading"/>
              <w:jc w:val="left"/>
            </w:pPr>
            <w:r>
              <w:t>Maximum life of IP right</w:t>
            </w:r>
          </w:p>
        </w:tc>
        <w:tc>
          <w:tcPr>
            <w:tcW w:w="79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686322" w:rsidRPr="00837BE6" w:rsidRDefault="00686322" w:rsidP="00A34665">
            <w:pPr>
              <w:pStyle w:val="TableColumnHeading"/>
              <w:jc w:val="left"/>
            </w:pPr>
            <w:r w:rsidRPr="00837BE6">
              <w:t>Australian Acts</w:t>
            </w:r>
          </w:p>
        </w:tc>
        <w:tc>
          <w:tcPr>
            <w:tcW w:w="79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686322" w:rsidRDefault="00686322" w:rsidP="00A34665">
            <w:pPr>
              <w:pStyle w:val="TableColumnHeading"/>
              <w:ind w:right="28"/>
              <w:jc w:val="left"/>
            </w:pPr>
            <w:r>
              <w:t>Major international agreements</w:t>
            </w:r>
          </w:p>
        </w:tc>
        <w:tc>
          <w:tcPr>
            <w:tcW w:w="516" w:type="pct"/>
            <w:tcBorders>
              <w:top w:val="single" w:sz="6" w:space="0" w:color="auto"/>
              <w:bottom w:val="single" w:sz="6" w:space="0" w:color="auto"/>
            </w:tcBorders>
          </w:tcPr>
          <w:p w:rsidR="00686322" w:rsidRDefault="00686322" w:rsidP="00A34665">
            <w:pPr>
              <w:pStyle w:val="TableColumnHeading"/>
              <w:ind w:right="28"/>
              <w:jc w:val="left"/>
            </w:pPr>
            <w:r>
              <w:t>Government responsibility</w:t>
            </w:r>
          </w:p>
        </w:tc>
      </w:tr>
      <w:tr w:rsidR="001718CE" w:rsidRPr="00805A36" w:rsidTr="00DE77FF">
        <w:tc>
          <w:tcPr>
            <w:tcW w:w="739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805A36" w:rsidRDefault="001718CE" w:rsidP="001718CE">
            <w:pPr>
              <w:pStyle w:val="TableBodyText"/>
              <w:jc w:val="left"/>
            </w:pPr>
            <w:r w:rsidRPr="00805A36">
              <w:t>Circuit layout rights</w:t>
            </w:r>
          </w:p>
        </w:tc>
        <w:tc>
          <w:tcPr>
            <w:tcW w:w="1159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805A36" w:rsidRDefault="001718CE" w:rsidP="001718CE">
            <w:pPr>
              <w:pStyle w:val="TableBodyText"/>
              <w:jc w:val="left"/>
            </w:pPr>
            <w:r w:rsidRPr="00805A36">
              <w:t>Layout design of semiconductor chips</w:t>
            </w:r>
            <w:r>
              <w:t>.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805A36" w:rsidRDefault="001718CE" w:rsidP="00A22B35">
            <w:pPr>
              <w:pStyle w:val="TableBodyText"/>
              <w:jc w:val="left"/>
            </w:pPr>
            <w:r w:rsidRPr="00805A36">
              <w:t>20 years</w:t>
            </w:r>
            <w:r w:rsidR="00A22B35">
              <w:t>.</w:t>
            </w:r>
            <w:r w:rsidR="00A22B35">
              <w:br/>
            </w:r>
            <w:r w:rsidRPr="00805A36">
              <w:t>(10 years from first commercial exploitation; must first use within 10 y</w:t>
            </w:r>
            <w:r w:rsidR="00F20E1B">
              <w:t>ea</w:t>
            </w:r>
            <w:r w:rsidRPr="00805A36">
              <w:t>rs creation)</w:t>
            </w:r>
            <w:r w:rsidR="00A515C2">
              <w:t>.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837BE6" w:rsidRDefault="001718CE" w:rsidP="001718CE">
            <w:pPr>
              <w:pStyle w:val="TableBodyText"/>
              <w:jc w:val="left"/>
              <w:rPr>
                <w:i/>
              </w:rPr>
            </w:pPr>
            <w:r w:rsidRPr="00837BE6">
              <w:rPr>
                <w:i/>
              </w:rPr>
              <w:t>Circuit Layouts Act 1989</w:t>
            </w:r>
            <w:r w:rsidR="00F20E1B" w:rsidRPr="00837BE6">
              <w:rPr>
                <w:i/>
              </w:rPr>
              <w:t xml:space="preserve"> 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805A36" w:rsidRDefault="001718CE" w:rsidP="00CA70D1">
            <w:pPr>
              <w:pStyle w:val="TableBodyText"/>
              <w:jc w:val="left"/>
            </w:pPr>
            <w:r w:rsidRPr="00805A36">
              <w:t>Washington Treaty</w:t>
            </w:r>
            <w:r w:rsidRPr="008E77FE">
              <w:rPr>
                <w:rStyle w:val="NoteLabel"/>
              </w:rPr>
              <w:t>a</w:t>
            </w:r>
            <w:r>
              <w:t>; TRIPS</w:t>
            </w:r>
            <w:r w:rsidR="00213006">
              <w:t xml:space="preserve"> </w:t>
            </w:r>
            <w:r w:rsidR="00213006">
              <w:rPr>
                <w:rFonts w:cs="Arial"/>
              </w:rPr>
              <w:t>(articles 35-38)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</w:tcPr>
          <w:p w:rsidR="001718CE" w:rsidRPr="00805A36" w:rsidRDefault="002E2A60" w:rsidP="002E2A60">
            <w:pPr>
              <w:pStyle w:val="TableBodyText"/>
              <w:jc w:val="left"/>
            </w:pPr>
            <w:r>
              <w:rPr>
                <w:rFonts w:cs="Arial"/>
              </w:rPr>
              <w:t>Attorney-General</w:t>
            </w:r>
            <w:r w:rsidR="00B92B32">
              <w:rPr>
                <w:rFonts w:cs="Arial"/>
              </w:rPr>
              <w:t>’</w:t>
            </w:r>
            <w:r>
              <w:rPr>
                <w:rFonts w:cs="Arial"/>
              </w:rPr>
              <w:t>s</w:t>
            </w:r>
          </w:p>
        </w:tc>
      </w:tr>
      <w:tr w:rsidR="002E2A60" w:rsidRPr="00805A36" w:rsidTr="00DE77FF">
        <w:tc>
          <w:tcPr>
            <w:tcW w:w="739" w:type="pct"/>
            <w:tcBorders>
              <w:top w:val="single" w:sz="4" w:space="0" w:color="auto"/>
              <w:bottom w:val="single" w:sz="4" w:space="0" w:color="auto"/>
            </w:tcBorders>
          </w:tcPr>
          <w:p w:rsidR="002E2A60" w:rsidRPr="00805A36" w:rsidRDefault="002E2A60" w:rsidP="001718CE">
            <w:pPr>
              <w:pStyle w:val="TableBodyText"/>
              <w:jc w:val="left"/>
            </w:pPr>
            <w:r w:rsidRPr="00805A36">
              <w:t>Confidential information and trade secrets</w:t>
            </w:r>
          </w:p>
        </w:tc>
        <w:tc>
          <w:tcPr>
            <w:tcW w:w="1159" w:type="pct"/>
            <w:tcBorders>
              <w:top w:val="single" w:sz="4" w:space="0" w:color="auto"/>
              <w:bottom w:val="single" w:sz="4" w:space="0" w:color="auto"/>
            </w:tcBorders>
          </w:tcPr>
          <w:p w:rsidR="002E2A60" w:rsidRPr="00805A36" w:rsidRDefault="002E2A60" w:rsidP="001718CE">
            <w:pPr>
              <w:pStyle w:val="TableBodyText"/>
              <w:jc w:val="left"/>
            </w:pPr>
            <w:r w:rsidRPr="00805A36">
              <w:t>Secret business information</w:t>
            </w:r>
            <w:r w:rsidR="00A515C2">
              <w:t>.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:rsidR="002E2A60" w:rsidRPr="00805A36" w:rsidRDefault="002E2A60" w:rsidP="001718CE">
            <w:pPr>
              <w:pStyle w:val="TableBodyText"/>
              <w:jc w:val="left"/>
            </w:pPr>
            <w:r w:rsidRPr="00805A36">
              <w:t>Indefinite</w:t>
            </w:r>
            <w:r w:rsidR="00A22B35">
              <w:t>.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2E2A60" w:rsidRPr="00837BE6" w:rsidRDefault="002E2A60" w:rsidP="001718CE">
            <w:pPr>
              <w:pStyle w:val="TableBodyText"/>
              <w:jc w:val="left"/>
              <w:rPr>
                <w:i/>
              </w:rPr>
            </w:pPr>
            <w:r w:rsidRPr="00837BE6">
              <w:rPr>
                <w:i/>
              </w:rPr>
              <w:t>Competition and Consumer Act 2010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2E2A60" w:rsidRPr="00805A36" w:rsidRDefault="002E2A60" w:rsidP="007C54D1">
            <w:pPr>
              <w:pStyle w:val="TableBodyText"/>
              <w:jc w:val="left"/>
            </w:pPr>
            <w:r w:rsidRPr="00805A36">
              <w:t>TRIPS</w:t>
            </w:r>
            <w:r w:rsidR="00F20E1B">
              <w:t xml:space="preserve"> </w:t>
            </w:r>
            <w:r w:rsidR="00F20E1B">
              <w:rPr>
                <w:rFonts w:cs="Arial"/>
              </w:rPr>
              <w:t>( article</w:t>
            </w:r>
            <w:r w:rsidR="007C54D1">
              <w:rPr>
                <w:rFonts w:cs="Arial"/>
              </w:rPr>
              <w:t>s 39</w:t>
            </w:r>
            <w:r w:rsidR="007434EC">
              <w:rPr>
                <w:rFonts w:cs="Arial"/>
              </w:rPr>
              <w:t xml:space="preserve"> </w:t>
            </w:r>
            <w:r w:rsidR="007C54D1">
              <w:rPr>
                <w:rFonts w:cs="Arial"/>
              </w:rPr>
              <w:t>&amp;</w:t>
            </w:r>
            <w:r w:rsidR="007434EC">
              <w:rPr>
                <w:rFonts w:cs="Arial"/>
              </w:rPr>
              <w:t xml:space="preserve"> </w:t>
            </w:r>
            <w:r w:rsidR="00F20E1B">
              <w:rPr>
                <w:rFonts w:cs="Arial"/>
              </w:rPr>
              <w:t>40)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</w:tcPr>
          <w:p w:rsidR="002E2A60" w:rsidRPr="00805A36" w:rsidRDefault="004D6160" w:rsidP="004D6160">
            <w:pPr>
              <w:pStyle w:val="TableBodyText"/>
              <w:jc w:val="left"/>
            </w:pPr>
            <w:r>
              <w:t>Australian Competition and Consumer Commission</w:t>
            </w:r>
          </w:p>
        </w:tc>
      </w:tr>
      <w:tr w:rsidR="002E2A60" w:rsidTr="00DE77FF">
        <w:trPr>
          <w:trHeight w:val="847"/>
        </w:trPr>
        <w:tc>
          <w:tcPr>
            <w:tcW w:w="739" w:type="pct"/>
            <w:tcBorders>
              <w:top w:val="single" w:sz="4" w:space="0" w:color="auto"/>
              <w:bottom w:val="single" w:sz="4" w:space="0" w:color="auto"/>
            </w:tcBorders>
          </w:tcPr>
          <w:p w:rsidR="002E2A60" w:rsidRDefault="009F3915" w:rsidP="009F3915">
            <w:pPr>
              <w:pStyle w:val="TableBodyText"/>
              <w:jc w:val="left"/>
            </w:pPr>
            <w:r>
              <w:t>Test data submitted for regulatory approval</w:t>
            </w:r>
          </w:p>
        </w:tc>
        <w:tc>
          <w:tcPr>
            <w:tcW w:w="1159" w:type="pct"/>
            <w:tcBorders>
              <w:top w:val="single" w:sz="4" w:space="0" w:color="auto"/>
              <w:bottom w:val="single" w:sz="4" w:space="0" w:color="auto"/>
            </w:tcBorders>
          </w:tcPr>
          <w:p w:rsidR="002E2A60" w:rsidRDefault="009F3915" w:rsidP="007C54D1">
            <w:pPr>
              <w:pStyle w:val="TableBodyText"/>
              <w:jc w:val="left"/>
            </w:pPr>
            <w:r>
              <w:t>M</w:t>
            </w:r>
            <w:r w:rsidR="002E2A60">
              <w:t>edicines and pharmaceuticals</w:t>
            </w:r>
            <w:r w:rsidR="00A515C2">
              <w:t>.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:rsidR="002E2A60" w:rsidRDefault="007434EC" w:rsidP="001718CE">
            <w:pPr>
              <w:pStyle w:val="TableBodyText"/>
              <w:jc w:val="left"/>
            </w:pPr>
            <w:r>
              <w:t>5 years</w:t>
            </w:r>
            <w:r w:rsidR="00A22B35">
              <w:t>.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2E2A60" w:rsidRPr="00837BE6" w:rsidRDefault="002E2A60" w:rsidP="007434EC">
            <w:pPr>
              <w:pStyle w:val="TableBodyText"/>
              <w:jc w:val="left"/>
              <w:rPr>
                <w:i/>
              </w:rPr>
            </w:pPr>
            <w:r w:rsidRPr="00837BE6">
              <w:rPr>
                <w:i/>
              </w:rPr>
              <w:t>Therapeutic Goods Act 19</w:t>
            </w:r>
            <w:r w:rsidR="007434EC" w:rsidRPr="00837BE6">
              <w:rPr>
                <w:i/>
              </w:rPr>
              <w:t xml:space="preserve">98 (section </w:t>
            </w:r>
            <w:proofErr w:type="spellStart"/>
            <w:r w:rsidR="007434EC" w:rsidRPr="00837BE6">
              <w:rPr>
                <w:i/>
              </w:rPr>
              <w:t>25A</w:t>
            </w:r>
            <w:proofErr w:type="spellEnd"/>
            <w:r w:rsidR="007434EC" w:rsidRPr="00837BE6">
              <w:rPr>
                <w:i/>
              </w:rPr>
              <w:t>)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2E2A60" w:rsidRDefault="007C54D1" w:rsidP="001718CE">
            <w:pPr>
              <w:pStyle w:val="TableBodyText"/>
              <w:ind w:right="28"/>
              <w:jc w:val="left"/>
            </w:pPr>
            <w:r>
              <w:t>TRIPS (article 39.3)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</w:tcPr>
          <w:p w:rsidR="002E2A60" w:rsidRDefault="007C54D1" w:rsidP="001718CE">
            <w:pPr>
              <w:pStyle w:val="TableBodyText"/>
              <w:ind w:right="28"/>
              <w:jc w:val="left"/>
            </w:pPr>
            <w:r>
              <w:t>Therapeutic Goods Administration</w:t>
            </w:r>
          </w:p>
        </w:tc>
      </w:tr>
      <w:tr w:rsidR="002E2A60" w:rsidTr="00DE77FF">
        <w:tc>
          <w:tcPr>
            <w:tcW w:w="739" w:type="pct"/>
            <w:tcBorders>
              <w:top w:val="single" w:sz="4" w:space="0" w:color="auto"/>
              <w:bottom w:val="single" w:sz="4" w:space="0" w:color="auto"/>
            </w:tcBorders>
          </w:tcPr>
          <w:p w:rsidR="002E2A60" w:rsidRDefault="002E2A60" w:rsidP="001718CE">
            <w:pPr>
              <w:pStyle w:val="TableBodyText"/>
              <w:jc w:val="left"/>
            </w:pPr>
          </w:p>
        </w:tc>
        <w:tc>
          <w:tcPr>
            <w:tcW w:w="1159" w:type="pct"/>
            <w:tcBorders>
              <w:top w:val="single" w:sz="4" w:space="0" w:color="auto"/>
              <w:bottom w:val="single" w:sz="4" w:space="0" w:color="auto"/>
            </w:tcBorders>
          </w:tcPr>
          <w:p w:rsidR="002E2A60" w:rsidRDefault="009F3915" w:rsidP="002E2A60">
            <w:pPr>
              <w:pStyle w:val="TableBodyText"/>
              <w:jc w:val="left"/>
            </w:pPr>
            <w:r>
              <w:t>A</w:t>
            </w:r>
            <w:r w:rsidR="002E2A60">
              <w:t xml:space="preserve">gricultural </w:t>
            </w:r>
            <w:r>
              <w:t xml:space="preserve">and veterinary </w:t>
            </w:r>
            <w:r w:rsidR="002E2A60">
              <w:t>chemicals</w:t>
            </w:r>
            <w:r>
              <w:t>.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:rsidR="002E2A60" w:rsidRDefault="009F3915" w:rsidP="00933E76">
            <w:pPr>
              <w:pStyle w:val="TableBodyText"/>
              <w:jc w:val="left"/>
            </w:pPr>
            <w:r>
              <w:t>3 to 10 years (depending on type of application)</w:t>
            </w:r>
            <w:r w:rsidR="00A22B35">
              <w:t>.</w:t>
            </w:r>
            <w:r w:rsidR="007434EC">
              <w:t xml:space="preserve"> 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2E2A60" w:rsidRPr="00837BE6" w:rsidRDefault="009F3915" w:rsidP="001718CE">
            <w:pPr>
              <w:pStyle w:val="TableBodyText"/>
              <w:jc w:val="left"/>
              <w:rPr>
                <w:i/>
              </w:rPr>
            </w:pPr>
            <w:r w:rsidRPr="00837BE6">
              <w:rPr>
                <w:i/>
              </w:rPr>
              <w:t>Agricultural and Veterinary Chemicals Code Act 1994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2E2A60" w:rsidRDefault="007434EC" w:rsidP="007434EC">
            <w:pPr>
              <w:pStyle w:val="TableBodyText"/>
              <w:ind w:right="28"/>
              <w:jc w:val="left"/>
            </w:pPr>
            <w:r>
              <w:t xml:space="preserve">TRIPS; </w:t>
            </w:r>
            <w:proofErr w:type="spellStart"/>
            <w:r>
              <w:t>AUSFTA</w:t>
            </w:r>
            <w:proofErr w:type="spellEnd"/>
            <w:r>
              <w:t xml:space="preserve"> 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</w:tcPr>
          <w:p w:rsidR="002E2A60" w:rsidRDefault="007C54D1" w:rsidP="00A515C2">
            <w:pPr>
              <w:pStyle w:val="TableBodyText"/>
              <w:ind w:right="28"/>
              <w:jc w:val="left"/>
            </w:pPr>
            <w:r>
              <w:t xml:space="preserve">Australian Pesticides and Veterinary Medicines Authority </w:t>
            </w:r>
          </w:p>
        </w:tc>
      </w:tr>
    </w:tbl>
    <w:p w:rsidR="001718CE" w:rsidRDefault="001718CE" w:rsidP="001718CE">
      <w:pPr>
        <w:pStyle w:val="Note"/>
      </w:pPr>
      <w:r w:rsidRPr="008E77FE">
        <w:rPr>
          <w:rStyle w:val="NoteLabel"/>
        </w:rPr>
        <w:t>a</w:t>
      </w:r>
      <w:r>
        <w:t xml:space="preserve"> Australia is not a party: it has either not been signed, or signed but not ratified.</w:t>
      </w:r>
    </w:p>
    <w:p w:rsidR="00654047" w:rsidRPr="00654047" w:rsidRDefault="00654047" w:rsidP="00654047">
      <w:pPr>
        <w:pStyle w:val="BodyText"/>
      </w:pPr>
    </w:p>
    <w:p w:rsidR="00933E76" w:rsidRDefault="00933E76">
      <w:pPr>
        <w:pStyle w:val="TableTitle"/>
      </w:pPr>
      <w:r>
        <w:rPr>
          <w:b w:val="0"/>
        </w:rPr>
        <w:lastRenderedPageBreak/>
        <w:t xml:space="preserve">Table </w:t>
      </w:r>
      <w:r>
        <w:rPr>
          <w:b w:val="0"/>
        </w:rPr>
        <w:fldChar w:fldCharType="begin"/>
      </w:r>
      <w:r>
        <w:rPr>
          <w:b w:val="0"/>
        </w:rPr>
        <w:instrText xml:space="preserve"> COMMENTS  \* MERGEFORMAT </w:instrText>
      </w:r>
      <w:r>
        <w:rPr>
          <w:b w:val="0"/>
        </w:rPr>
        <w:fldChar w:fldCharType="separate"/>
      </w:r>
      <w:proofErr w:type="spellStart"/>
      <w:r w:rsidR="00233A95">
        <w:rPr>
          <w:b w:val="0"/>
        </w:rPr>
        <w:t>B.</w:t>
      </w:r>
      <w:r>
        <w:rPr>
          <w:b w:val="0"/>
        </w:rPr>
        <w:fldChar w:fldCharType="end"/>
      </w:r>
      <w:r>
        <w:rPr>
          <w:b w:val="0"/>
        </w:rPr>
        <w:fldChar w:fldCharType="begin"/>
      </w:r>
      <w:r>
        <w:rPr>
          <w:b w:val="0"/>
        </w:rPr>
        <w:instrText xml:space="preserve"> SEQ Table \* ARABIC </w:instrText>
      </w:r>
      <w:r>
        <w:rPr>
          <w:b w:val="0"/>
        </w:rPr>
        <w:fldChar w:fldCharType="separate"/>
      </w:r>
      <w:r w:rsidR="00F75D71">
        <w:rPr>
          <w:b w:val="0"/>
          <w:noProof/>
        </w:rPr>
        <w:t>2</w:t>
      </w:r>
      <w:proofErr w:type="spellEnd"/>
      <w:r>
        <w:rPr>
          <w:b w:val="0"/>
        </w:rPr>
        <w:fldChar w:fldCharType="end"/>
      </w:r>
      <w:r>
        <w:tab/>
      </w:r>
      <w:r w:rsidR="00F34D0F">
        <w:t xml:space="preserve">Some IP-related arrangements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8"/>
        <w:gridCol w:w="3478"/>
        <w:gridCol w:w="3656"/>
        <w:gridCol w:w="2499"/>
        <w:gridCol w:w="1626"/>
      </w:tblGrid>
      <w:tr w:rsidR="00945BED" w:rsidTr="00E356BA">
        <w:trPr>
          <w:tblHeader/>
        </w:trPr>
        <w:tc>
          <w:tcPr>
            <w:tcW w:w="81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945BED" w:rsidRDefault="000F6D07" w:rsidP="000F6D07">
            <w:pPr>
              <w:pStyle w:val="TableColumnHeading"/>
              <w:jc w:val="left"/>
            </w:pPr>
            <w:r>
              <w:t>Area</w:t>
            </w:r>
          </w:p>
        </w:tc>
        <w:tc>
          <w:tcPr>
            <w:tcW w:w="1294" w:type="pct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945BED" w:rsidRDefault="00945BED" w:rsidP="00933E76">
            <w:pPr>
              <w:pStyle w:val="TableColumnHeading"/>
              <w:jc w:val="left"/>
            </w:pPr>
            <w:r>
              <w:t>Subject matter and features protected</w:t>
            </w:r>
          </w:p>
        </w:tc>
        <w:tc>
          <w:tcPr>
            <w:tcW w:w="1360" w:type="pct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945BED" w:rsidRDefault="00945BED" w:rsidP="00933E76">
            <w:pPr>
              <w:pStyle w:val="TableColumnHeading"/>
              <w:jc w:val="left"/>
            </w:pPr>
            <w:r>
              <w:t>Maximum life of protection</w:t>
            </w:r>
          </w:p>
        </w:tc>
        <w:tc>
          <w:tcPr>
            <w:tcW w:w="93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945BED" w:rsidRDefault="00945BED" w:rsidP="00BC11D4">
            <w:pPr>
              <w:pStyle w:val="TableColumnHeading"/>
              <w:jc w:val="left"/>
            </w:pPr>
            <w:r>
              <w:t>Australian legislation</w:t>
            </w:r>
          </w:p>
        </w:tc>
        <w:tc>
          <w:tcPr>
            <w:tcW w:w="605" w:type="pct"/>
            <w:tcBorders>
              <w:top w:val="single" w:sz="6" w:space="0" w:color="auto"/>
              <w:bottom w:val="single" w:sz="6" w:space="0" w:color="auto"/>
            </w:tcBorders>
          </w:tcPr>
          <w:p w:rsidR="00945BED" w:rsidRDefault="00945BED" w:rsidP="00933E76">
            <w:pPr>
              <w:pStyle w:val="TableColumnHeading"/>
              <w:ind w:right="28"/>
              <w:jc w:val="left"/>
            </w:pPr>
            <w:r>
              <w:t>Responsibility</w:t>
            </w:r>
          </w:p>
        </w:tc>
      </w:tr>
      <w:tr w:rsidR="00F34D0F" w:rsidTr="00E356BA">
        <w:tc>
          <w:tcPr>
            <w:tcW w:w="810" w:type="pct"/>
          </w:tcPr>
          <w:p w:rsidR="00F34D0F" w:rsidRDefault="00F34D0F" w:rsidP="00F34D0F">
            <w:pPr>
              <w:pStyle w:val="TableBodyText"/>
              <w:jc w:val="left"/>
            </w:pPr>
            <w:r>
              <w:t>Olympics</w:t>
            </w:r>
          </w:p>
        </w:tc>
        <w:tc>
          <w:tcPr>
            <w:tcW w:w="1294" w:type="pct"/>
            <w:tcBorders>
              <w:bottom w:val="single" w:sz="4" w:space="0" w:color="auto"/>
            </w:tcBorders>
          </w:tcPr>
          <w:p w:rsidR="00F34D0F" w:rsidRPr="009D65EA" w:rsidRDefault="00F34D0F" w:rsidP="00F34D0F">
            <w:pPr>
              <w:pStyle w:val="TableBodyText"/>
              <w:jc w:val="left"/>
            </w:pPr>
            <w:r w:rsidRPr="009D65EA">
              <w:t>Artistic works incorporating the Olympic symbol</w:t>
            </w:r>
            <w:r>
              <w:t xml:space="preserve">, or </w:t>
            </w:r>
            <w:r w:rsidRPr="009D65EA">
              <w:t>Olympic torch and flame</w:t>
            </w:r>
            <w:r>
              <w:t>.</w:t>
            </w:r>
          </w:p>
        </w:tc>
        <w:tc>
          <w:tcPr>
            <w:tcW w:w="1360" w:type="pct"/>
            <w:tcBorders>
              <w:bottom w:val="single" w:sz="4" w:space="0" w:color="auto"/>
            </w:tcBorders>
          </w:tcPr>
          <w:p w:rsidR="00F34D0F" w:rsidRDefault="00F34D0F" w:rsidP="00F34D0F">
            <w:pPr>
              <w:pStyle w:val="TableBodyText"/>
              <w:jc w:val="left"/>
            </w:pPr>
            <w:r>
              <w:t>Indefinite.</w:t>
            </w:r>
            <w:r>
              <w:br/>
              <w:t>(Initial 12 years plus further renewals 12 years at a time); 4 years (Olympic torch and flame designs).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:rsidR="00F34D0F" w:rsidRPr="00837BE6" w:rsidRDefault="00F34D0F" w:rsidP="00F34D0F">
            <w:pPr>
              <w:pStyle w:val="TableBodyText"/>
              <w:jc w:val="left"/>
              <w:rPr>
                <w:i/>
              </w:rPr>
            </w:pPr>
            <w:r w:rsidRPr="00837BE6">
              <w:rPr>
                <w:i/>
              </w:rPr>
              <w:t>Olympic Insignia Protection Act 1987</w:t>
            </w:r>
          </w:p>
          <w:p w:rsidR="00F34D0F" w:rsidRDefault="00F34D0F" w:rsidP="00F34D0F">
            <w:pPr>
              <w:pStyle w:val="TableBodyText"/>
              <w:ind w:right="28"/>
              <w:jc w:val="left"/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:rsidR="00F34D0F" w:rsidRDefault="00F34D0F" w:rsidP="00F34D0F">
            <w:pPr>
              <w:pStyle w:val="TableBodyText"/>
              <w:ind w:right="28"/>
              <w:jc w:val="left"/>
            </w:pPr>
            <w:r>
              <w:rPr>
                <w:rFonts w:cs="Arial"/>
              </w:rPr>
              <w:t>IP Australia</w:t>
            </w:r>
          </w:p>
        </w:tc>
      </w:tr>
      <w:tr w:rsidR="00945BED" w:rsidTr="00E356BA">
        <w:trPr>
          <w:tblHeader/>
        </w:trPr>
        <w:tc>
          <w:tcPr>
            <w:tcW w:w="81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45BED" w:rsidRPr="00933E76" w:rsidRDefault="00945BED" w:rsidP="00B92B32">
            <w:pPr>
              <w:pStyle w:val="TableColumnHeading"/>
              <w:jc w:val="left"/>
              <w:rPr>
                <w:i w:val="0"/>
              </w:rPr>
            </w:pPr>
            <w:r w:rsidRPr="00933E76">
              <w:rPr>
                <w:i w:val="0"/>
              </w:rPr>
              <w:t xml:space="preserve">Scout Association </w:t>
            </w:r>
          </w:p>
        </w:tc>
        <w:tc>
          <w:tcPr>
            <w:tcW w:w="1294" w:type="pct"/>
            <w:tcBorders>
              <w:top w:val="single" w:sz="6" w:space="0" w:color="auto"/>
              <w:bottom w:val="single" w:sz="6" w:space="0" w:color="auto"/>
            </w:tcBorders>
          </w:tcPr>
          <w:p w:rsidR="00945BED" w:rsidRPr="00933E76" w:rsidRDefault="00945BED" w:rsidP="00E356BA">
            <w:pPr>
              <w:pStyle w:val="TableColumnHeading"/>
              <w:jc w:val="left"/>
              <w:rPr>
                <w:i w:val="0"/>
              </w:rPr>
            </w:pPr>
            <w:r w:rsidRPr="00933E76">
              <w:rPr>
                <w:i w:val="0"/>
              </w:rPr>
              <w:t>Name</w:t>
            </w:r>
            <w:r>
              <w:rPr>
                <w:i w:val="0"/>
              </w:rPr>
              <w:t xml:space="preserve">, </w:t>
            </w:r>
            <w:r w:rsidRPr="00933E76">
              <w:rPr>
                <w:i w:val="0"/>
              </w:rPr>
              <w:t>uniforms</w:t>
            </w:r>
            <w:r>
              <w:rPr>
                <w:i w:val="0"/>
              </w:rPr>
              <w:t>, badges etc.</w:t>
            </w:r>
            <w:r w:rsidRPr="00933E76">
              <w:rPr>
                <w:i w:val="0"/>
              </w:rPr>
              <w:t>.</w:t>
            </w:r>
          </w:p>
        </w:tc>
        <w:tc>
          <w:tcPr>
            <w:tcW w:w="1360" w:type="pct"/>
            <w:tcBorders>
              <w:top w:val="single" w:sz="6" w:space="0" w:color="auto"/>
              <w:bottom w:val="single" w:sz="6" w:space="0" w:color="auto"/>
            </w:tcBorders>
          </w:tcPr>
          <w:p w:rsidR="00945BED" w:rsidRPr="00933E76" w:rsidRDefault="00945BED" w:rsidP="00E356BA">
            <w:pPr>
              <w:pStyle w:val="TableColumnHeading"/>
              <w:jc w:val="left"/>
              <w:rPr>
                <w:i w:val="0"/>
              </w:rPr>
            </w:pPr>
            <w:r w:rsidRPr="00933E76">
              <w:rPr>
                <w:i w:val="0"/>
              </w:rPr>
              <w:t>Indefinite</w:t>
            </w:r>
          </w:p>
        </w:tc>
        <w:tc>
          <w:tcPr>
            <w:tcW w:w="93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45BED" w:rsidRPr="00933E76" w:rsidRDefault="00945BED" w:rsidP="00E356BA">
            <w:pPr>
              <w:pStyle w:val="TableColumnHeading"/>
              <w:jc w:val="left"/>
              <w:rPr>
                <w:i w:val="0"/>
              </w:rPr>
            </w:pPr>
            <w:r w:rsidRPr="00933E76">
              <w:t xml:space="preserve">Scout Association Act </w:t>
            </w:r>
            <w:r>
              <w:t>1924</w:t>
            </w:r>
          </w:p>
        </w:tc>
        <w:tc>
          <w:tcPr>
            <w:tcW w:w="605" w:type="pct"/>
            <w:tcBorders>
              <w:top w:val="single" w:sz="6" w:space="0" w:color="auto"/>
              <w:bottom w:val="single" w:sz="6" w:space="0" w:color="auto"/>
            </w:tcBorders>
          </w:tcPr>
          <w:p w:rsidR="00945BED" w:rsidRPr="00933E76" w:rsidRDefault="00A5090A" w:rsidP="00E356BA">
            <w:pPr>
              <w:pStyle w:val="TableColumnHeading"/>
              <w:jc w:val="left"/>
              <w:rPr>
                <w:i w:val="0"/>
              </w:rPr>
            </w:pPr>
            <w:r>
              <w:rPr>
                <w:i w:val="0"/>
              </w:rPr>
              <w:t>Education, Employment and Workplace Relations</w:t>
            </w:r>
          </w:p>
        </w:tc>
      </w:tr>
      <w:tr w:rsidR="00945BED" w:rsidTr="00E356BA">
        <w:trPr>
          <w:tblHeader/>
        </w:trPr>
        <w:tc>
          <w:tcPr>
            <w:tcW w:w="81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45BED" w:rsidRPr="00933E76" w:rsidRDefault="00945BED" w:rsidP="00B92B32">
            <w:pPr>
              <w:pStyle w:val="TableColumnHeading"/>
              <w:jc w:val="left"/>
              <w:rPr>
                <w:i w:val="0"/>
              </w:rPr>
            </w:pPr>
            <w:r>
              <w:rPr>
                <w:i w:val="0"/>
              </w:rPr>
              <w:t>ANZAC</w:t>
            </w:r>
          </w:p>
        </w:tc>
        <w:tc>
          <w:tcPr>
            <w:tcW w:w="1294" w:type="pct"/>
            <w:tcBorders>
              <w:top w:val="single" w:sz="6" w:space="0" w:color="auto"/>
              <w:bottom w:val="single" w:sz="6" w:space="0" w:color="auto"/>
            </w:tcBorders>
          </w:tcPr>
          <w:p w:rsidR="00945BED" w:rsidRPr="00933E76" w:rsidRDefault="00945BED" w:rsidP="00E356BA">
            <w:pPr>
              <w:pStyle w:val="TableColumnHeading"/>
              <w:jc w:val="left"/>
              <w:rPr>
                <w:i w:val="0"/>
              </w:rPr>
            </w:pPr>
            <w:r>
              <w:rPr>
                <w:i w:val="0"/>
              </w:rPr>
              <w:t>The word ‘ANZAC’ and prohibited importation of ANZAC goods.</w:t>
            </w:r>
          </w:p>
        </w:tc>
        <w:tc>
          <w:tcPr>
            <w:tcW w:w="1360" w:type="pct"/>
            <w:tcBorders>
              <w:top w:val="single" w:sz="6" w:space="0" w:color="auto"/>
              <w:bottom w:val="single" w:sz="6" w:space="0" w:color="auto"/>
            </w:tcBorders>
          </w:tcPr>
          <w:p w:rsidR="00945BED" w:rsidRPr="00933E76" w:rsidRDefault="00945BED" w:rsidP="00E356BA">
            <w:pPr>
              <w:pStyle w:val="TableColumnHeading"/>
              <w:jc w:val="left"/>
              <w:rPr>
                <w:i w:val="0"/>
              </w:rPr>
            </w:pPr>
            <w:r>
              <w:rPr>
                <w:i w:val="0"/>
              </w:rPr>
              <w:t>Indefinite</w:t>
            </w:r>
          </w:p>
        </w:tc>
        <w:tc>
          <w:tcPr>
            <w:tcW w:w="93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45BED" w:rsidRPr="00933E76" w:rsidRDefault="00945BED" w:rsidP="00E356BA">
            <w:pPr>
              <w:pStyle w:val="TableColumnHeading"/>
              <w:jc w:val="left"/>
              <w:rPr>
                <w:i w:val="0"/>
              </w:rPr>
            </w:pPr>
            <w:r>
              <w:t>Protection of Word ‘ANZAC’ Regulations 1921; Customs (</w:t>
            </w:r>
            <w:r w:rsidR="00340073">
              <w:t xml:space="preserve">Prohibited </w:t>
            </w:r>
            <w:r>
              <w:t>Imports) Regulations 1956.</w:t>
            </w:r>
          </w:p>
        </w:tc>
        <w:tc>
          <w:tcPr>
            <w:tcW w:w="605" w:type="pct"/>
            <w:tcBorders>
              <w:top w:val="single" w:sz="6" w:space="0" w:color="auto"/>
              <w:bottom w:val="single" w:sz="6" w:space="0" w:color="auto"/>
            </w:tcBorders>
          </w:tcPr>
          <w:p w:rsidR="00945BED" w:rsidRPr="00933E76" w:rsidRDefault="00945BED" w:rsidP="00E356BA">
            <w:pPr>
              <w:pStyle w:val="TableColumnHeading"/>
              <w:jc w:val="left"/>
              <w:rPr>
                <w:i w:val="0"/>
              </w:rPr>
            </w:pPr>
            <w:r>
              <w:rPr>
                <w:i w:val="0"/>
              </w:rPr>
              <w:t>Veterans’ Affairs</w:t>
            </w:r>
          </w:p>
        </w:tc>
      </w:tr>
      <w:tr w:rsidR="00945BED" w:rsidTr="00E356BA">
        <w:trPr>
          <w:tblHeader/>
        </w:trPr>
        <w:tc>
          <w:tcPr>
            <w:tcW w:w="81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45BED" w:rsidRPr="00933E76" w:rsidRDefault="00945BED" w:rsidP="00B92B32">
            <w:pPr>
              <w:pStyle w:val="TableColumnHeading"/>
              <w:jc w:val="left"/>
              <w:rPr>
                <w:i w:val="0"/>
              </w:rPr>
            </w:pPr>
            <w:r>
              <w:rPr>
                <w:i w:val="0"/>
              </w:rPr>
              <w:t>Sir Donald Bradman</w:t>
            </w:r>
          </w:p>
        </w:tc>
        <w:tc>
          <w:tcPr>
            <w:tcW w:w="1294" w:type="pct"/>
            <w:tcBorders>
              <w:top w:val="single" w:sz="6" w:space="0" w:color="auto"/>
              <w:bottom w:val="single" w:sz="6" w:space="0" w:color="auto"/>
            </w:tcBorders>
          </w:tcPr>
          <w:p w:rsidR="00945BED" w:rsidRPr="00933E76" w:rsidRDefault="00945BED" w:rsidP="00E356BA">
            <w:pPr>
              <w:pStyle w:val="TableColumnHeading"/>
              <w:jc w:val="left"/>
              <w:rPr>
                <w:i w:val="0"/>
              </w:rPr>
            </w:pPr>
            <w:r>
              <w:rPr>
                <w:i w:val="0"/>
              </w:rPr>
              <w:t>Unauthorised use of the name. (This is separate from the BRADMAN trademarks).</w:t>
            </w:r>
          </w:p>
        </w:tc>
        <w:tc>
          <w:tcPr>
            <w:tcW w:w="1360" w:type="pct"/>
            <w:tcBorders>
              <w:top w:val="single" w:sz="6" w:space="0" w:color="auto"/>
              <w:bottom w:val="single" w:sz="6" w:space="0" w:color="auto"/>
            </w:tcBorders>
          </w:tcPr>
          <w:p w:rsidR="00945BED" w:rsidRPr="00933E76" w:rsidRDefault="00945BED" w:rsidP="00E356BA">
            <w:pPr>
              <w:pStyle w:val="TableColumnHeading"/>
              <w:jc w:val="left"/>
              <w:rPr>
                <w:i w:val="0"/>
              </w:rPr>
            </w:pPr>
            <w:r>
              <w:rPr>
                <w:i w:val="0"/>
              </w:rPr>
              <w:t>Indefinite</w:t>
            </w:r>
          </w:p>
        </w:tc>
        <w:tc>
          <w:tcPr>
            <w:tcW w:w="93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45BED" w:rsidRPr="00933E76" w:rsidRDefault="00945BED" w:rsidP="00E356BA">
            <w:pPr>
              <w:pStyle w:val="TableColumnHeading"/>
              <w:jc w:val="left"/>
              <w:rPr>
                <w:i w:val="0"/>
              </w:rPr>
            </w:pPr>
            <w:r>
              <w:t>Corporations Amendment Regulations 2000 (No 8) No. 282</w:t>
            </w:r>
          </w:p>
        </w:tc>
        <w:tc>
          <w:tcPr>
            <w:tcW w:w="605" w:type="pct"/>
            <w:tcBorders>
              <w:top w:val="single" w:sz="6" w:space="0" w:color="auto"/>
              <w:bottom w:val="single" w:sz="6" w:space="0" w:color="auto"/>
            </w:tcBorders>
          </w:tcPr>
          <w:p w:rsidR="00945BED" w:rsidRPr="00933E76" w:rsidRDefault="00945BED">
            <w:pPr>
              <w:pStyle w:val="TableColumnHeading"/>
              <w:jc w:val="left"/>
              <w:rPr>
                <w:i w:val="0"/>
              </w:rPr>
            </w:pPr>
          </w:p>
        </w:tc>
      </w:tr>
      <w:tr w:rsidR="00945BED" w:rsidTr="00E356BA">
        <w:trPr>
          <w:tblHeader/>
        </w:trPr>
        <w:tc>
          <w:tcPr>
            <w:tcW w:w="81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45BED" w:rsidRPr="00933E76" w:rsidRDefault="00945BED" w:rsidP="00B92B32">
            <w:pPr>
              <w:pStyle w:val="TableColumnHeading"/>
              <w:jc w:val="left"/>
              <w:rPr>
                <w:i w:val="0"/>
              </w:rPr>
            </w:pPr>
            <w:r>
              <w:rPr>
                <w:i w:val="0"/>
              </w:rPr>
              <w:t xml:space="preserve">Mary </w:t>
            </w:r>
            <w:proofErr w:type="spellStart"/>
            <w:r>
              <w:rPr>
                <w:i w:val="0"/>
              </w:rPr>
              <w:t>MacKillop</w:t>
            </w:r>
            <w:proofErr w:type="spellEnd"/>
          </w:p>
        </w:tc>
        <w:tc>
          <w:tcPr>
            <w:tcW w:w="1294" w:type="pct"/>
            <w:tcBorders>
              <w:top w:val="single" w:sz="6" w:space="0" w:color="auto"/>
              <w:bottom w:val="single" w:sz="6" w:space="0" w:color="auto"/>
            </w:tcBorders>
          </w:tcPr>
          <w:p w:rsidR="00945BED" w:rsidRPr="00933E76" w:rsidRDefault="00945BED" w:rsidP="00E356BA">
            <w:pPr>
              <w:pStyle w:val="TableColumnHeading"/>
              <w:jc w:val="left"/>
              <w:rPr>
                <w:i w:val="0"/>
              </w:rPr>
            </w:pPr>
            <w:r>
              <w:rPr>
                <w:i w:val="0"/>
              </w:rPr>
              <w:t xml:space="preserve">Unauthorised use of the name. </w:t>
            </w:r>
          </w:p>
        </w:tc>
        <w:tc>
          <w:tcPr>
            <w:tcW w:w="1360" w:type="pct"/>
            <w:tcBorders>
              <w:top w:val="single" w:sz="6" w:space="0" w:color="auto"/>
              <w:bottom w:val="single" w:sz="6" w:space="0" w:color="auto"/>
            </w:tcBorders>
          </w:tcPr>
          <w:p w:rsidR="00945BED" w:rsidRPr="00933E76" w:rsidRDefault="00945BED" w:rsidP="00E356BA">
            <w:pPr>
              <w:pStyle w:val="TableColumnHeading"/>
              <w:jc w:val="left"/>
              <w:rPr>
                <w:i w:val="0"/>
              </w:rPr>
            </w:pPr>
            <w:r>
              <w:rPr>
                <w:i w:val="0"/>
              </w:rPr>
              <w:t>Indefinite</w:t>
            </w:r>
          </w:p>
        </w:tc>
        <w:tc>
          <w:tcPr>
            <w:tcW w:w="93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45BED" w:rsidRPr="00933E76" w:rsidRDefault="00945BED" w:rsidP="00E356BA">
            <w:pPr>
              <w:pStyle w:val="TableColumnHeading"/>
              <w:jc w:val="left"/>
              <w:rPr>
                <w:i w:val="0"/>
              </w:rPr>
            </w:pPr>
            <w:r>
              <w:t>Corporations Amendment Regulations 2010 (</w:t>
            </w:r>
            <w:proofErr w:type="spellStart"/>
            <w:r>
              <w:t>No.8</w:t>
            </w:r>
            <w:proofErr w:type="spellEnd"/>
            <w:r>
              <w:t>) No. 272</w:t>
            </w:r>
          </w:p>
        </w:tc>
        <w:tc>
          <w:tcPr>
            <w:tcW w:w="605" w:type="pct"/>
            <w:tcBorders>
              <w:top w:val="single" w:sz="6" w:space="0" w:color="auto"/>
              <w:bottom w:val="single" w:sz="6" w:space="0" w:color="auto"/>
            </w:tcBorders>
          </w:tcPr>
          <w:p w:rsidR="00945BED" w:rsidRPr="00933E76" w:rsidRDefault="00945BED">
            <w:pPr>
              <w:pStyle w:val="TableColumnHeading"/>
              <w:jc w:val="left"/>
              <w:rPr>
                <w:i w:val="0"/>
              </w:rPr>
            </w:pPr>
          </w:p>
        </w:tc>
      </w:tr>
      <w:tr w:rsidR="00945BED" w:rsidTr="00E356BA">
        <w:trPr>
          <w:tblHeader/>
        </w:trPr>
        <w:tc>
          <w:tcPr>
            <w:tcW w:w="81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45BED" w:rsidRPr="00933E76" w:rsidRDefault="00945BED" w:rsidP="00B92B32">
            <w:pPr>
              <w:pStyle w:val="TableColumnHeading"/>
              <w:jc w:val="left"/>
              <w:rPr>
                <w:i w:val="0"/>
              </w:rPr>
            </w:pPr>
            <w:r w:rsidRPr="00933E76">
              <w:rPr>
                <w:i w:val="0"/>
              </w:rPr>
              <w:t>Internet domain names in .au space</w:t>
            </w:r>
          </w:p>
        </w:tc>
        <w:tc>
          <w:tcPr>
            <w:tcW w:w="1294" w:type="pct"/>
            <w:tcBorders>
              <w:top w:val="single" w:sz="6" w:space="0" w:color="auto"/>
              <w:bottom w:val="single" w:sz="6" w:space="0" w:color="auto"/>
            </w:tcBorders>
          </w:tcPr>
          <w:p w:rsidR="00945BED" w:rsidRPr="00933E76" w:rsidRDefault="00945BED" w:rsidP="00E356BA">
            <w:pPr>
              <w:pStyle w:val="TableColumnHeading"/>
              <w:jc w:val="left"/>
              <w:rPr>
                <w:i w:val="0"/>
              </w:rPr>
            </w:pPr>
            <w:r w:rsidRPr="00933E76">
              <w:rPr>
                <w:i w:val="0"/>
              </w:rPr>
              <w:t>Administration of the .au domain space.</w:t>
            </w:r>
          </w:p>
        </w:tc>
        <w:tc>
          <w:tcPr>
            <w:tcW w:w="1360" w:type="pct"/>
            <w:tcBorders>
              <w:top w:val="single" w:sz="6" w:space="0" w:color="auto"/>
              <w:bottom w:val="single" w:sz="6" w:space="0" w:color="auto"/>
            </w:tcBorders>
          </w:tcPr>
          <w:p w:rsidR="00945BED" w:rsidRPr="00933E76" w:rsidRDefault="00945BED" w:rsidP="00E356BA">
            <w:pPr>
              <w:pStyle w:val="TableColumnHeading"/>
              <w:jc w:val="left"/>
              <w:rPr>
                <w:i w:val="0"/>
              </w:rPr>
            </w:pPr>
            <w:r>
              <w:rPr>
                <w:i w:val="0"/>
              </w:rPr>
              <w:t>Licensed for a two-year period</w:t>
            </w:r>
          </w:p>
        </w:tc>
        <w:tc>
          <w:tcPr>
            <w:tcW w:w="93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45BED" w:rsidRPr="00933E76" w:rsidRDefault="00945BED" w:rsidP="00E356BA">
            <w:pPr>
              <w:pStyle w:val="TableColumnHeading"/>
              <w:jc w:val="left"/>
              <w:rPr>
                <w:i w:val="0"/>
              </w:rPr>
            </w:pPr>
            <w:r w:rsidRPr="00933E76">
              <w:t>Telecommunications Act 1997</w:t>
            </w:r>
          </w:p>
        </w:tc>
        <w:tc>
          <w:tcPr>
            <w:tcW w:w="605" w:type="pct"/>
            <w:tcBorders>
              <w:top w:val="single" w:sz="6" w:space="0" w:color="auto"/>
              <w:bottom w:val="single" w:sz="6" w:space="0" w:color="auto"/>
            </w:tcBorders>
          </w:tcPr>
          <w:p w:rsidR="00945BED" w:rsidRPr="00933E76" w:rsidRDefault="00945BED" w:rsidP="00E356BA">
            <w:pPr>
              <w:pStyle w:val="TableColumnHeading"/>
              <w:jc w:val="left"/>
              <w:rPr>
                <w:i w:val="0"/>
              </w:rPr>
            </w:pPr>
            <w:r w:rsidRPr="00933E76">
              <w:rPr>
                <w:i w:val="0"/>
              </w:rPr>
              <w:t>.au Domain Administration Ltd</w:t>
            </w:r>
          </w:p>
        </w:tc>
      </w:tr>
      <w:tr w:rsidR="00945BED" w:rsidTr="00E356BA">
        <w:trPr>
          <w:tblHeader/>
        </w:trPr>
        <w:tc>
          <w:tcPr>
            <w:tcW w:w="81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45BED" w:rsidRPr="00933E76" w:rsidRDefault="00945BED" w:rsidP="00B92B32">
            <w:pPr>
              <w:pStyle w:val="TableColumnHeading"/>
              <w:jc w:val="left"/>
              <w:rPr>
                <w:i w:val="0"/>
              </w:rPr>
            </w:pPr>
            <w:r w:rsidRPr="00933E76">
              <w:rPr>
                <w:i w:val="0"/>
              </w:rPr>
              <w:t>Business names</w:t>
            </w:r>
            <w:r>
              <w:rPr>
                <w:i w:val="0"/>
              </w:rPr>
              <w:t xml:space="preserve"> registration</w:t>
            </w:r>
          </w:p>
        </w:tc>
        <w:tc>
          <w:tcPr>
            <w:tcW w:w="1294" w:type="pct"/>
            <w:tcBorders>
              <w:top w:val="single" w:sz="6" w:space="0" w:color="auto"/>
              <w:bottom w:val="single" w:sz="6" w:space="0" w:color="auto"/>
            </w:tcBorders>
          </w:tcPr>
          <w:p w:rsidR="00945BED" w:rsidRPr="00933E76" w:rsidRDefault="00945BED" w:rsidP="00E356BA">
            <w:pPr>
              <w:pStyle w:val="TableColumnHeading"/>
              <w:jc w:val="left"/>
              <w:rPr>
                <w:i w:val="0"/>
              </w:rPr>
            </w:pPr>
            <w:r>
              <w:rPr>
                <w:i w:val="0"/>
              </w:rPr>
              <w:t xml:space="preserve">A </w:t>
            </w:r>
            <w:r w:rsidR="00621D7C">
              <w:rPr>
                <w:i w:val="0"/>
              </w:rPr>
              <w:t xml:space="preserve">registered </w:t>
            </w:r>
            <w:r>
              <w:rPr>
                <w:i w:val="0"/>
              </w:rPr>
              <w:t>Business name is</w:t>
            </w:r>
            <w:r w:rsidR="00621D7C">
              <w:rPr>
                <w:i w:val="0"/>
              </w:rPr>
              <w:t xml:space="preserve"> compulsory. It is the </w:t>
            </w:r>
            <w:r w:rsidR="00340073" w:rsidRPr="00E356BA">
              <w:t>t</w:t>
            </w:r>
            <w:r w:rsidRPr="00E356BA">
              <w:t>rading</w:t>
            </w:r>
            <w:r>
              <w:rPr>
                <w:i w:val="0"/>
              </w:rPr>
              <w:t xml:space="preserve"> name. It can be different from the </w:t>
            </w:r>
            <w:r w:rsidR="00621D7C">
              <w:rPr>
                <w:i w:val="0"/>
              </w:rPr>
              <w:t xml:space="preserve">registered </w:t>
            </w:r>
            <w:r w:rsidR="00340073" w:rsidRPr="00E356BA">
              <w:t>company</w:t>
            </w:r>
            <w:r w:rsidR="00340073">
              <w:rPr>
                <w:i w:val="0"/>
              </w:rPr>
              <w:t xml:space="preserve"> </w:t>
            </w:r>
            <w:r>
              <w:rPr>
                <w:i w:val="0"/>
              </w:rPr>
              <w:t>name.</w:t>
            </w:r>
          </w:p>
        </w:tc>
        <w:tc>
          <w:tcPr>
            <w:tcW w:w="1360" w:type="pct"/>
            <w:tcBorders>
              <w:top w:val="single" w:sz="6" w:space="0" w:color="auto"/>
              <w:bottom w:val="single" w:sz="6" w:space="0" w:color="auto"/>
            </w:tcBorders>
          </w:tcPr>
          <w:p w:rsidR="00945BED" w:rsidRPr="00933E76" w:rsidRDefault="00945BED" w:rsidP="00E356BA">
            <w:pPr>
              <w:pStyle w:val="TableColumnHeading"/>
              <w:jc w:val="left"/>
              <w:rPr>
                <w:i w:val="0"/>
              </w:rPr>
            </w:pPr>
            <w:r>
              <w:rPr>
                <w:i w:val="0"/>
              </w:rPr>
              <w:t xml:space="preserve">No legal right over the </w:t>
            </w:r>
            <w:r w:rsidR="00621D7C">
              <w:rPr>
                <w:i w:val="0"/>
              </w:rPr>
              <w:t xml:space="preserve">Business </w:t>
            </w:r>
            <w:r>
              <w:rPr>
                <w:i w:val="0"/>
              </w:rPr>
              <w:t>name. (May be able to be registered as a trademark, if it qualifies). Businesses with identical names can operate across Australia</w:t>
            </w:r>
            <w:r w:rsidR="00621D7C">
              <w:rPr>
                <w:i w:val="0"/>
              </w:rPr>
              <w:t>. But Company names are unique.</w:t>
            </w:r>
          </w:p>
        </w:tc>
        <w:tc>
          <w:tcPr>
            <w:tcW w:w="93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45BED" w:rsidRPr="00E356BA" w:rsidRDefault="00621D7C" w:rsidP="00E356BA">
            <w:pPr>
              <w:pStyle w:val="TableColumnHeading"/>
              <w:jc w:val="left"/>
            </w:pPr>
            <w:r w:rsidRPr="00E356BA">
              <w:t>Business Names Registration Act 2011</w:t>
            </w:r>
          </w:p>
        </w:tc>
        <w:tc>
          <w:tcPr>
            <w:tcW w:w="605" w:type="pct"/>
            <w:tcBorders>
              <w:top w:val="single" w:sz="6" w:space="0" w:color="auto"/>
              <w:bottom w:val="single" w:sz="6" w:space="0" w:color="auto"/>
            </w:tcBorders>
          </w:tcPr>
          <w:p w:rsidR="00945BED" w:rsidRPr="00933E76" w:rsidRDefault="00945BED" w:rsidP="00E356BA">
            <w:pPr>
              <w:pStyle w:val="TableColumnHeading"/>
              <w:jc w:val="left"/>
              <w:rPr>
                <w:i w:val="0"/>
              </w:rPr>
            </w:pPr>
            <w:r>
              <w:rPr>
                <w:i w:val="0"/>
              </w:rPr>
              <w:t>Australian Securities and Investments Commission</w:t>
            </w:r>
          </w:p>
        </w:tc>
      </w:tr>
    </w:tbl>
    <w:p w:rsidR="00024BD9" w:rsidRDefault="00024BD9" w:rsidP="00233A95">
      <w:pPr>
        <w:pStyle w:val="BodyText"/>
      </w:pPr>
    </w:p>
    <w:sectPr w:rsidR="00024BD9" w:rsidSect="00233A9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40" w:h="11907" w:orient="landscape" w:code="9"/>
      <w:pgMar w:top="1758" w:right="1985" w:bottom="1304" w:left="1418" w:header="1701" w:footer="567" w:gutter="0"/>
      <w:pgNumType w:chapSep="period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7FF" w:rsidRDefault="00DE77FF">
      <w:r>
        <w:separator/>
      </w:r>
    </w:p>
  </w:endnote>
  <w:endnote w:type="continuationSeparator" w:id="0">
    <w:p w:rsidR="00DE77FF" w:rsidRDefault="00DE7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DE77FF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DE77FF" w:rsidRDefault="00DE77FF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 \* MERGEFORMAT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0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0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DE77FF" w:rsidRDefault="00527916">
          <w:pPr>
            <w:pStyle w:val="Footer"/>
          </w:pPr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F75D71">
            <w:t>trade &amp; assistance review 2011-12</w:t>
          </w:r>
          <w:r>
            <w:fldChar w:fldCharType="end"/>
          </w:r>
        </w:p>
      </w:tc>
      <w:tc>
        <w:tcPr>
          <w:tcW w:w="6634" w:type="dxa"/>
        </w:tcPr>
        <w:p w:rsidR="00DE77FF" w:rsidRDefault="00DE77FF">
          <w:pPr>
            <w:pStyle w:val="Footer"/>
          </w:pPr>
        </w:p>
      </w:tc>
    </w:tr>
  </w:tbl>
  <w:p w:rsidR="00DE77FF" w:rsidRDefault="00DE77FF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DE77FF">
      <w:trPr>
        <w:trHeight w:hRule="exact" w:val="740"/>
      </w:trPr>
      <w:tc>
        <w:tcPr>
          <w:tcW w:w="6634" w:type="dxa"/>
        </w:tcPr>
        <w:p w:rsidR="00DE77FF" w:rsidRDefault="00DE77FF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DE77FF" w:rsidRDefault="00527916">
          <w:pPr>
            <w:pStyle w:val="Footer"/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F75D71">
            <w:t>Types of intellectual property</w:t>
          </w:r>
          <w:r>
            <w:fldChar w:fldCharType="end"/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DE77FF" w:rsidRDefault="00DE77FF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527916">
            <w:rPr>
              <w:rStyle w:val="PageNumber"/>
              <w:noProof/>
            </w:rPr>
            <w:t>173</w:t>
          </w:r>
          <w:r>
            <w:rPr>
              <w:rStyle w:val="PageNumber"/>
            </w:rPr>
            <w:fldChar w:fldCharType="end"/>
          </w:r>
        </w:p>
      </w:tc>
    </w:tr>
  </w:tbl>
  <w:p w:rsidR="00DE77FF" w:rsidRDefault="00DE77FF">
    <w:pPr>
      <w:pStyle w:val="FooterEn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7FF" w:rsidRDefault="00DE77FF" w:rsidP="0019293B">
    <w:pPr>
      <w:pStyle w:val="FooterEn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7FF" w:rsidRPr="009B3C5D" w:rsidRDefault="00DE77FF" w:rsidP="009B3C5D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7FF" w:rsidRDefault="00DE77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7FF" w:rsidRDefault="00DE77FF">
      <w:r>
        <w:separator/>
      </w:r>
    </w:p>
  </w:footnote>
  <w:footnote w:type="continuationSeparator" w:id="0">
    <w:p w:rsidR="00DE77FF" w:rsidRDefault="00DE77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DE77FF">
      <w:tc>
        <w:tcPr>
          <w:tcW w:w="2155" w:type="dxa"/>
          <w:tcBorders>
            <w:top w:val="single" w:sz="24" w:space="0" w:color="auto"/>
          </w:tcBorders>
        </w:tcPr>
        <w:p w:rsidR="00DE77FF" w:rsidRDefault="00DE77FF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DE77FF" w:rsidRDefault="00DE77FF">
          <w:pPr>
            <w:pStyle w:val="HeaderEven"/>
          </w:pPr>
        </w:p>
      </w:tc>
    </w:tr>
  </w:tbl>
  <w:p w:rsidR="00DE77FF" w:rsidRDefault="00DE77FF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DE77FF">
      <w:tc>
        <w:tcPr>
          <w:tcW w:w="6634" w:type="dxa"/>
          <w:tcBorders>
            <w:top w:val="single" w:sz="6" w:space="0" w:color="auto"/>
          </w:tcBorders>
        </w:tcPr>
        <w:p w:rsidR="00DE77FF" w:rsidRDefault="00DE77FF" w:rsidP="00577F36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DE77FF" w:rsidRDefault="00DE77FF">
          <w:pPr>
            <w:pStyle w:val="HeaderOdd"/>
          </w:pPr>
        </w:p>
      </w:tc>
    </w:tr>
  </w:tbl>
  <w:p w:rsidR="00DE77FF" w:rsidRDefault="00DE77FF">
    <w:pPr>
      <w:pStyle w:val="HeaderEn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7FF" w:rsidRDefault="00DE77FF" w:rsidP="0019293B">
    <w:pPr>
      <w:pStyle w:val="HeaderEn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7FF" w:rsidRDefault="00DE77FF" w:rsidP="00E669E2">
    <w:pPr>
      <w:pStyle w:val="HeaderEnd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7FF" w:rsidRDefault="00DE77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4F511540"/>
    <w:multiLevelType w:val="hybridMultilevel"/>
    <w:tmpl w:val="E2A09E64"/>
    <w:lvl w:ilvl="0" w:tplc="1914600A">
      <w:start w:val="2"/>
      <w:numFmt w:val="bullet"/>
      <w:lvlText w:val="-"/>
      <w:lvlJc w:val="left"/>
      <w:pPr>
        <w:ind w:left="366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5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6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7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8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9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30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1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3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6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7">
    <w:nsid w:val="61954A40"/>
    <w:multiLevelType w:val="hybridMultilevel"/>
    <w:tmpl w:val="A574F240"/>
    <w:lvl w:ilvl="0" w:tplc="D32CD90E">
      <w:start w:val="2"/>
      <w:numFmt w:val="bullet"/>
      <w:lvlText w:val="-"/>
      <w:lvlJc w:val="left"/>
      <w:pPr>
        <w:ind w:left="366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38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40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1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2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4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5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6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0"/>
  </w:num>
  <w:num w:numId="3">
    <w:abstractNumId w:val="44"/>
  </w:num>
  <w:num w:numId="4">
    <w:abstractNumId w:val="7"/>
  </w:num>
  <w:num w:numId="5">
    <w:abstractNumId w:val="5"/>
  </w:num>
  <w:num w:numId="6">
    <w:abstractNumId w:val="26"/>
  </w:num>
  <w:num w:numId="7">
    <w:abstractNumId w:val="3"/>
  </w:num>
  <w:num w:numId="8">
    <w:abstractNumId w:val="9"/>
  </w:num>
  <w:num w:numId="9">
    <w:abstractNumId w:val="2"/>
  </w:num>
  <w:num w:numId="10">
    <w:abstractNumId w:val="39"/>
  </w:num>
  <w:num w:numId="11">
    <w:abstractNumId w:val="4"/>
  </w:num>
  <w:num w:numId="12">
    <w:abstractNumId w:val="1"/>
  </w:num>
  <w:num w:numId="13">
    <w:abstractNumId w:val="0"/>
  </w:num>
  <w:num w:numId="14">
    <w:abstractNumId w:val="29"/>
  </w:num>
  <w:num w:numId="15">
    <w:abstractNumId w:val="45"/>
  </w:num>
  <w:num w:numId="16">
    <w:abstractNumId w:val="17"/>
  </w:num>
  <w:num w:numId="17">
    <w:abstractNumId w:val="16"/>
  </w:num>
  <w:num w:numId="18">
    <w:abstractNumId w:val="27"/>
  </w:num>
  <w:num w:numId="19">
    <w:abstractNumId w:val="12"/>
  </w:num>
  <w:num w:numId="20">
    <w:abstractNumId w:val="35"/>
  </w:num>
  <w:num w:numId="21">
    <w:abstractNumId w:val="38"/>
  </w:num>
  <w:num w:numId="22">
    <w:abstractNumId w:val="25"/>
  </w:num>
  <w:num w:numId="23">
    <w:abstractNumId w:val="28"/>
  </w:num>
  <w:num w:numId="24">
    <w:abstractNumId w:val="30"/>
  </w:num>
  <w:num w:numId="25">
    <w:abstractNumId w:val="43"/>
  </w:num>
  <w:num w:numId="26">
    <w:abstractNumId w:val="34"/>
  </w:num>
  <w:num w:numId="27">
    <w:abstractNumId w:val="40"/>
  </w:num>
  <w:num w:numId="28">
    <w:abstractNumId w:val="41"/>
  </w:num>
  <w:num w:numId="29">
    <w:abstractNumId w:val="32"/>
  </w:num>
  <w:num w:numId="30">
    <w:abstractNumId w:val="21"/>
  </w:num>
  <w:num w:numId="31">
    <w:abstractNumId w:val="46"/>
  </w:num>
  <w:num w:numId="32">
    <w:abstractNumId w:val="15"/>
  </w:num>
  <w:num w:numId="33">
    <w:abstractNumId w:val="8"/>
  </w:num>
  <w:num w:numId="34">
    <w:abstractNumId w:val="18"/>
  </w:num>
  <w:num w:numId="35">
    <w:abstractNumId w:val="42"/>
  </w:num>
  <w:num w:numId="36">
    <w:abstractNumId w:val="33"/>
  </w:num>
  <w:num w:numId="37">
    <w:abstractNumId w:val="13"/>
  </w:num>
  <w:num w:numId="38">
    <w:abstractNumId w:val="36"/>
  </w:num>
  <w:num w:numId="39">
    <w:abstractNumId w:val="14"/>
  </w:num>
  <w:num w:numId="40">
    <w:abstractNumId w:val="17"/>
  </w:num>
  <w:num w:numId="41">
    <w:abstractNumId w:val="9"/>
  </w:num>
  <w:num w:numId="42">
    <w:abstractNumId w:val="23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19"/>
  </w:num>
  <w:num w:numId="46">
    <w:abstractNumId w:val="22"/>
  </w:num>
  <w:num w:numId="47">
    <w:abstractNumId w:val="10"/>
  </w:num>
  <w:num w:numId="48">
    <w:abstractNumId w:val="31"/>
  </w:num>
  <w:num w:numId="49">
    <w:abstractNumId w:val="24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endixNumber" w:val="B"/>
    <w:docVar w:name="FindingOptions" w:val="1"/>
    <w:docVar w:name="RecOptions" w:val="111"/>
    <w:docVar w:name="ShortChapterTitle" w:val="Types of intellectual property"/>
    <w:docVar w:name="ShortReportTitle" w:val="trade &amp; assistance review 2011-12"/>
  </w:docVars>
  <w:rsids>
    <w:rsidRoot w:val="00695383"/>
    <w:rsid w:val="000227D5"/>
    <w:rsid w:val="000245AA"/>
    <w:rsid w:val="00024BD9"/>
    <w:rsid w:val="00026448"/>
    <w:rsid w:val="0003664B"/>
    <w:rsid w:val="0004111F"/>
    <w:rsid w:val="00042ACA"/>
    <w:rsid w:val="000565B3"/>
    <w:rsid w:val="0007150B"/>
    <w:rsid w:val="00086EF4"/>
    <w:rsid w:val="000938F5"/>
    <w:rsid w:val="00096E55"/>
    <w:rsid w:val="000B601B"/>
    <w:rsid w:val="000C207E"/>
    <w:rsid w:val="000E326F"/>
    <w:rsid w:val="000F0035"/>
    <w:rsid w:val="000F420B"/>
    <w:rsid w:val="000F6D07"/>
    <w:rsid w:val="00110116"/>
    <w:rsid w:val="00120072"/>
    <w:rsid w:val="00126EB8"/>
    <w:rsid w:val="001274D4"/>
    <w:rsid w:val="001363AA"/>
    <w:rsid w:val="001718CE"/>
    <w:rsid w:val="00181568"/>
    <w:rsid w:val="00183E82"/>
    <w:rsid w:val="001878BB"/>
    <w:rsid w:val="00191AE0"/>
    <w:rsid w:val="0019293B"/>
    <w:rsid w:val="001C0865"/>
    <w:rsid w:val="001C3ABA"/>
    <w:rsid w:val="001E7BE8"/>
    <w:rsid w:val="001F0248"/>
    <w:rsid w:val="001F3EB3"/>
    <w:rsid w:val="001F4F86"/>
    <w:rsid w:val="00202C2C"/>
    <w:rsid w:val="00213006"/>
    <w:rsid w:val="002135AB"/>
    <w:rsid w:val="002144BE"/>
    <w:rsid w:val="00233A95"/>
    <w:rsid w:val="00242279"/>
    <w:rsid w:val="00245C82"/>
    <w:rsid w:val="00284CA3"/>
    <w:rsid w:val="00291B40"/>
    <w:rsid w:val="002B4008"/>
    <w:rsid w:val="002C26BD"/>
    <w:rsid w:val="002D0E8E"/>
    <w:rsid w:val="002E2A60"/>
    <w:rsid w:val="00301189"/>
    <w:rsid w:val="00315141"/>
    <w:rsid w:val="00323E09"/>
    <w:rsid w:val="00325B8D"/>
    <w:rsid w:val="00330AB3"/>
    <w:rsid w:val="00333932"/>
    <w:rsid w:val="00340073"/>
    <w:rsid w:val="003518AA"/>
    <w:rsid w:val="00352165"/>
    <w:rsid w:val="00353182"/>
    <w:rsid w:val="003565D9"/>
    <w:rsid w:val="003602E1"/>
    <w:rsid w:val="003640F5"/>
    <w:rsid w:val="0037026F"/>
    <w:rsid w:val="00371240"/>
    <w:rsid w:val="00374731"/>
    <w:rsid w:val="00376E59"/>
    <w:rsid w:val="003919F9"/>
    <w:rsid w:val="00396E63"/>
    <w:rsid w:val="003C38B5"/>
    <w:rsid w:val="003C5D99"/>
    <w:rsid w:val="003D60FF"/>
    <w:rsid w:val="003E2F59"/>
    <w:rsid w:val="003F0789"/>
    <w:rsid w:val="00401882"/>
    <w:rsid w:val="004100C8"/>
    <w:rsid w:val="00411DBD"/>
    <w:rsid w:val="00412ACE"/>
    <w:rsid w:val="00431249"/>
    <w:rsid w:val="00434C19"/>
    <w:rsid w:val="00450810"/>
    <w:rsid w:val="004545B5"/>
    <w:rsid w:val="00477144"/>
    <w:rsid w:val="00481802"/>
    <w:rsid w:val="00491380"/>
    <w:rsid w:val="0049459F"/>
    <w:rsid w:val="004A38DD"/>
    <w:rsid w:val="004B43AE"/>
    <w:rsid w:val="004C30ED"/>
    <w:rsid w:val="004D2010"/>
    <w:rsid w:val="004D5675"/>
    <w:rsid w:val="004D6160"/>
    <w:rsid w:val="004F5E33"/>
    <w:rsid w:val="00523639"/>
    <w:rsid w:val="00527916"/>
    <w:rsid w:val="00531FE5"/>
    <w:rsid w:val="00533847"/>
    <w:rsid w:val="005402FA"/>
    <w:rsid w:val="00577F36"/>
    <w:rsid w:val="00583C39"/>
    <w:rsid w:val="00587F28"/>
    <w:rsid w:val="005909CF"/>
    <w:rsid w:val="00591E71"/>
    <w:rsid w:val="005A0D41"/>
    <w:rsid w:val="00607BF1"/>
    <w:rsid w:val="00621D7C"/>
    <w:rsid w:val="00630D4D"/>
    <w:rsid w:val="00632A74"/>
    <w:rsid w:val="00654047"/>
    <w:rsid w:val="00686322"/>
    <w:rsid w:val="00695383"/>
    <w:rsid w:val="006A4655"/>
    <w:rsid w:val="006B1085"/>
    <w:rsid w:val="006B2B3C"/>
    <w:rsid w:val="006C1D81"/>
    <w:rsid w:val="006C7038"/>
    <w:rsid w:val="006D2390"/>
    <w:rsid w:val="006E73EF"/>
    <w:rsid w:val="00714D4D"/>
    <w:rsid w:val="007434EC"/>
    <w:rsid w:val="007479C4"/>
    <w:rsid w:val="007604BB"/>
    <w:rsid w:val="00785232"/>
    <w:rsid w:val="007A21EB"/>
    <w:rsid w:val="007B1A93"/>
    <w:rsid w:val="007C36C9"/>
    <w:rsid w:val="007C54D1"/>
    <w:rsid w:val="007D6401"/>
    <w:rsid w:val="007E01E4"/>
    <w:rsid w:val="007F7107"/>
    <w:rsid w:val="00800D4C"/>
    <w:rsid w:val="0081030F"/>
    <w:rsid w:val="0082087D"/>
    <w:rsid w:val="00835771"/>
    <w:rsid w:val="00837BE6"/>
    <w:rsid w:val="00842933"/>
    <w:rsid w:val="0086082C"/>
    <w:rsid w:val="00864ADC"/>
    <w:rsid w:val="00880153"/>
    <w:rsid w:val="00880F97"/>
    <w:rsid w:val="0088133A"/>
    <w:rsid w:val="008924E4"/>
    <w:rsid w:val="0089285E"/>
    <w:rsid w:val="0089436C"/>
    <w:rsid w:val="008A3518"/>
    <w:rsid w:val="008D365C"/>
    <w:rsid w:val="008E1A61"/>
    <w:rsid w:val="009030BF"/>
    <w:rsid w:val="0091032F"/>
    <w:rsid w:val="00914368"/>
    <w:rsid w:val="00931076"/>
    <w:rsid w:val="00933E76"/>
    <w:rsid w:val="009345D9"/>
    <w:rsid w:val="00934B15"/>
    <w:rsid w:val="00940C87"/>
    <w:rsid w:val="00942B62"/>
    <w:rsid w:val="00945BED"/>
    <w:rsid w:val="0095323B"/>
    <w:rsid w:val="00956A0C"/>
    <w:rsid w:val="00956BD9"/>
    <w:rsid w:val="009577C6"/>
    <w:rsid w:val="00962489"/>
    <w:rsid w:val="00990C2C"/>
    <w:rsid w:val="009B3C5D"/>
    <w:rsid w:val="009E1844"/>
    <w:rsid w:val="009F0D1B"/>
    <w:rsid w:val="009F3915"/>
    <w:rsid w:val="009F696D"/>
    <w:rsid w:val="009F6BC6"/>
    <w:rsid w:val="00A17328"/>
    <w:rsid w:val="00A22B35"/>
    <w:rsid w:val="00A23A20"/>
    <w:rsid w:val="00A24558"/>
    <w:rsid w:val="00A268B9"/>
    <w:rsid w:val="00A2703A"/>
    <w:rsid w:val="00A33DFF"/>
    <w:rsid w:val="00A35115"/>
    <w:rsid w:val="00A36D9A"/>
    <w:rsid w:val="00A5090A"/>
    <w:rsid w:val="00A515C2"/>
    <w:rsid w:val="00A554AB"/>
    <w:rsid w:val="00A57062"/>
    <w:rsid w:val="00A92B53"/>
    <w:rsid w:val="00A94FA6"/>
    <w:rsid w:val="00AA49A0"/>
    <w:rsid w:val="00AA6710"/>
    <w:rsid w:val="00AB0681"/>
    <w:rsid w:val="00AD520B"/>
    <w:rsid w:val="00B425C3"/>
    <w:rsid w:val="00B440AD"/>
    <w:rsid w:val="00B53E7E"/>
    <w:rsid w:val="00B6342E"/>
    <w:rsid w:val="00B7113F"/>
    <w:rsid w:val="00B71BA7"/>
    <w:rsid w:val="00B7686B"/>
    <w:rsid w:val="00B92B32"/>
    <w:rsid w:val="00BA73AF"/>
    <w:rsid w:val="00BA73B6"/>
    <w:rsid w:val="00BA7E27"/>
    <w:rsid w:val="00BB2603"/>
    <w:rsid w:val="00BB4FCD"/>
    <w:rsid w:val="00BC04E9"/>
    <w:rsid w:val="00BC11D4"/>
    <w:rsid w:val="00BD13EA"/>
    <w:rsid w:val="00BE3808"/>
    <w:rsid w:val="00C062E9"/>
    <w:rsid w:val="00C07B64"/>
    <w:rsid w:val="00C13721"/>
    <w:rsid w:val="00C14FE4"/>
    <w:rsid w:val="00C3066D"/>
    <w:rsid w:val="00C52416"/>
    <w:rsid w:val="00C543F4"/>
    <w:rsid w:val="00C55B71"/>
    <w:rsid w:val="00C6291C"/>
    <w:rsid w:val="00C633CB"/>
    <w:rsid w:val="00C736B7"/>
    <w:rsid w:val="00C81D4A"/>
    <w:rsid w:val="00C8762C"/>
    <w:rsid w:val="00CA00F9"/>
    <w:rsid w:val="00CA2961"/>
    <w:rsid w:val="00CA70D1"/>
    <w:rsid w:val="00CB50D7"/>
    <w:rsid w:val="00CB7177"/>
    <w:rsid w:val="00CC1998"/>
    <w:rsid w:val="00CC4946"/>
    <w:rsid w:val="00CF597F"/>
    <w:rsid w:val="00D270A4"/>
    <w:rsid w:val="00D31FE9"/>
    <w:rsid w:val="00D34E1B"/>
    <w:rsid w:val="00D376BA"/>
    <w:rsid w:val="00D45634"/>
    <w:rsid w:val="00D54D2F"/>
    <w:rsid w:val="00D5568A"/>
    <w:rsid w:val="00D63D73"/>
    <w:rsid w:val="00D64452"/>
    <w:rsid w:val="00D66E1E"/>
    <w:rsid w:val="00D75722"/>
    <w:rsid w:val="00D80CF5"/>
    <w:rsid w:val="00D93C05"/>
    <w:rsid w:val="00DA5BBA"/>
    <w:rsid w:val="00DB26D2"/>
    <w:rsid w:val="00DB67C9"/>
    <w:rsid w:val="00DC0C95"/>
    <w:rsid w:val="00DD6580"/>
    <w:rsid w:val="00DE77FF"/>
    <w:rsid w:val="00E17C72"/>
    <w:rsid w:val="00E21FC6"/>
    <w:rsid w:val="00E356BA"/>
    <w:rsid w:val="00E431A9"/>
    <w:rsid w:val="00E669E2"/>
    <w:rsid w:val="00E76135"/>
    <w:rsid w:val="00E82F4F"/>
    <w:rsid w:val="00EC2844"/>
    <w:rsid w:val="00EC5500"/>
    <w:rsid w:val="00EE7271"/>
    <w:rsid w:val="00EF6C6C"/>
    <w:rsid w:val="00F056FC"/>
    <w:rsid w:val="00F10476"/>
    <w:rsid w:val="00F135D8"/>
    <w:rsid w:val="00F20E1B"/>
    <w:rsid w:val="00F31299"/>
    <w:rsid w:val="00F34D0F"/>
    <w:rsid w:val="00F3534A"/>
    <w:rsid w:val="00F51609"/>
    <w:rsid w:val="00F53AF5"/>
    <w:rsid w:val="00F75D71"/>
    <w:rsid w:val="00F81006"/>
    <w:rsid w:val="00F85325"/>
    <w:rsid w:val="00FD22B1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18CE"/>
    <w:rPr>
      <w:sz w:val="26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link w:val="FooterChar"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rsid w:val="00C543F4"/>
  </w:style>
  <w:style w:type="paragraph" w:customStyle="1" w:styleId="HeaderOdd">
    <w:name w:val="Header Odd"/>
    <w:basedOn w:val="Header"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qFormat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customStyle="1" w:styleId="BodyTextChar">
    <w:name w:val="Body Text Char"/>
    <w:link w:val="BodyText"/>
    <w:locked/>
    <w:rsid w:val="001718CE"/>
    <w:rPr>
      <w:sz w:val="26"/>
    </w:rPr>
  </w:style>
  <w:style w:type="character" w:customStyle="1" w:styleId="FooterChar">
    <w:name w:val="Footer Char"/>
    <w:basedOn w:val="DefaultParagraphFont"/>
    <w:link w:val="Footer"/>
    <w:rsid w:val="001718CE"/>
    <w:rPr>
      <w:caps/>
      <w:spacing w:val="-4"/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4545B5"/>
    <w:pPr>
      <w:spacing w:before="0" w:line="240" w:lineRule="auto"/>
      <w:ind w:left="0" w:firstLine="0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4545B5"/>
  </w:style>
  <w:style w:type="character" w:customStyle="1" w:styleId="CommentSubjectChar">
    <w:name w:val="Comment Subject Char"/>
    <w:basedOn w:val="CommentTextChar"/>
    <w:link w:val="CommentSubject"/>
    <w:rsid w:val="004545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18CE"/>
    <w:rPr>
      <w:sz w:val="26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link w:val="FooterChar"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rsid w:val="00C543F4"/>
  </w:style>
  <w:style w:type="paragraph" w:customStyle="1" w:styleId="HeaderOdd">
    <w:name w:val="Header Odd"/>
    <w:basedOn w:val="Header"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qFormat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customStyle="1" w:styleId="BodyTextChar">
    <w:name w:val="Body Text Char"/>
    <w:link w:val="BodyText"/>
    <w:locked/>
    <w:rsid w:val="001718CE"/>
    <w:rPr>
      <w:sz w:val="26"/>
    </w:rPr>
  </w:style>
  <w:style w:type="character" w:customStyle="1" w:styleId="FooterChar">
    <w:name w:val="Footer Char"/>
    <w:basedOn w:val="DefaultParagraphFont"/>
    <w:link w:val="Footer"/>
    <w:rsid w:val="001718CE"/>
    <w:rPr>
      <w:caps/>
      <w:spacing w:val="-4"/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4545B5"/>
    <w:pPr>
      <w:spacing w:before="0" w:line="240" w:lineRule="auto"/>
      <w:ind w:left="0" w:firstLine="0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4545B5"/>
  </w:style>
  <w:style w:type="character" w:customStyle="1" w:styleId="CommentSubjectChar">
    <w:name w:val="Comment Subject Char"/>
    <w:basedOn w:val="CommentTextChar"/>
    <w:link w:val="CommentSubject"/>
    <w:rsid w:val="004545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5AB1D-7212-4539-97B7-BA0AB8697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747</TotalTime>
  <Pages>6</Pages>
  <Words>987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Types of intellectual property</vt:lpstr>
    </vt:vector>
  </TitlesOfParts>
  <Company>Productivity Commission</Company>
  <LinksUpToDate>false</LinksUpToDate>
  <CharactersWithSpaces>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Types of intellectual property</dc:title>
  <dc:subject>trade &amp; assistance review 2011-12</dc:subject>
  <dc:creator>Productivity Commission</dc:creator>
  <cp:keywords/>
  <dc:description>B.</dc:description>
  <cp:lastModifiedBy>Productivity Commission</cp:lastModifiedBy>
  <cp:revision>47</cp:revision>
  <cp:lastPrinted>2013-06-04T00:58:00Z</cp:lastPrinted>
  <dcterms:created xsi:type="dcterms:W3CDTF">2012-12-17T03:06:00Z</dcterms:created>
  <dcterms:modified xsi:type="dcterms:W3CDTF">2013-06-11T00:09:00Z</dcterms:modified>
</cp:coreProperties>
</file>