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C4DC3" w:rsidP="00DC4DC3">
      <w:pPr>
        <w:pStyle w:val="Chapter"/>
        <w:ind w:left="907" w:hanging="907"/>
      </w:pPr>
      <w:bookmarkStart w:id="0" w:name="_AppendixNotByChapter"/>
      <w:bookmarkStart w:id="1" w:name="ChapterNumber"/>
      <w:bookmarkStart w:id="2" w:name="_GoBack"/>
      <w:bookmarkEnd w:id="0"/>
      <w:bookmarkEnd w:id="2"/>
      <w:r>
        <w:t>C</w:t>
      </w:r>
      <w:bookmarkEnd w:id="1"/>
      <w:r>
        <w:tab/>
      </w:r>
      <w:bookmarkStart w:id="3" w:name="ChapterTitle"/>
      <w:r>
        <w:t>Anti-dumping and countervailing activity</w:t>
      </w:r>
      <w:bookmarkEnd w:id="3"/>
    </w:p>
    <w:p w:rsidR="006C3A35" w:rsidRDefault="006C3A35" w:rsidP="006C3A35">
      <w:pPr>
        <w:pStyle w:val="BodyText"/>
      </w:pPr>
      <w:bookmarkStart w:id="4" w:name="begin"/>
      <w:bookmarkEnd w:id="4"/>
      <w:r>
        <w:t xml:space="preserve">Dumping is said to occur when an overseas supplier exports a good to Australia at a price below its ‘normal value’ in the supplier’s home market. If dumping causes, or threatens to cause, material injury to local producers of like goods, then remedial action — mainly the imposition of special customs duties — can be taken against the imported goods concerned. </w:t>
      </w:r>
    </w:p>
    <w:p w:rsidR="006C3A35" w:rsidRDefault="006C3A35" w:rsidP="006C3A35">
      <w:pPr>
        <w:pStyle w:val="BodyText"/>
      </w:pPr>
      <w:r>
        <w:t>Similarly, countervailing duties can be imposed on imports which benefit from certain subsidies from an overseas government and which cause or threaten injury to a local industry producing like goods.</w:t>
      </w:r>
    </w:p>
    <w:p w:rsidR="006C3A35" w:rsidRPr="006E514A" w:rsidRDefault="006C3A35" w:rsidP="006C3A35">
      <w:pPr>
        <w:pStyle w:val="BodyText"/>
        <w:rPr>
          <w:szCs w:val="22"/>
        </w:rPr>
      </w:pPr>
      <w:r w:rsidRPr="006E514A">
        <w:rPr>
          <w:szCs w:val="22"/>
        </w:rPr>
        <w:t xml:space="preserve">Australia’s anti-dumping and countervailing legislation (contained in the </w:t>
      </w:r>
      <w:r w:rsidRPr="00387321">
        <w:rPr>
          <w:i/>
          <w:szCs w:val="22"/>
        </w:rPr>
        <w:t>Customs Act 1901</w:t>
      </w:r>
      <w:r w:rsidRPr="006E514A">
        <w:rPr>
          <w:szCs w:val="22"/>
        </w:rPr>
        <w:t xml:space="preserve">, the </w:t>
      </w:r>
      <w:r w:rsidRPr="00387321">
        <w:rPr>
          <w:i/>
          <w:szCs w:val="22"/>
        </w:rPr>
        <w:t>Customs Tariff (Anti-Dumping) Act 1975</w:t>
      </w:r>
      <w:r w:rsidRPr="006E514A">
        <w:rPr>
          <w:szCs w:val="22"/>
        </w:rPr>
        <w:t xml:space="preserve"> and the Customs Regulations</w:t>
      </w:r>
      <w:r>
        <w:rPr>
          <w:szCs w:val="22"/>
        </w:rPr>
        <w:t xml:space="preserve"> </w:t>
      </w:r>
      <w:r w:rsidRPr="006E514A">
        <w:rPr>
          <w:szCs w:val="22"/>
        </w:rPr>
        <w:t>1926), is based on WTO agreements that, amongst other things, aim to discipline the</w:t>
      </w:r>
      <w:r>
        <w:rPr>
          <w:szCs w:val="22"/>
        </w:rPr>
        <w:t xml:space="preserve"> </w:t>
      </w:r>
      <w:r w:rsidRPr="006E514A">
        <w:rPr>
          <w:szCs w:val="22"/>
        </w:rPr>
        <w:t>use of anti-dumping measures as an alternative form of protection. Though WTO</w:t>
      </w:r>
      <w:r>
        <w:rPr>
          <w:szCs w:val="22"/>
        </w:rPr>
        <w:t xml:space="preserve"> </w:t>
      </w:r>
      <w:r w:rsidRPr="006E514A">
        <w:rPr>
          <w:szCs w:val="22"/>
        </w:rPr>
        <w:t>members are not obliged to enact such legislation, they are required to comply with the</w:t>
      </w:r>
      <w:r>
        <w:rPr>
          <w:szCs w:val="22"/>
        </w:rPr>
        <w:t xml:space="preserve"> </w:t>
      </w:r>
      <w:r w:rsidRPr="006E514A">
        <w:rPr>
          <w:szCs w:val="22"/>
        </w:rPr>
        <w:t>agreed requirements should they wish to take action against dumped imports.</w:t>
      </w:r>
    </w:p>
    <w:p w:rsidR="006C3A35" w:rsidRPr="009F6D49" w:rsidRDefault="006C3A35" w:rsidP="006C3A35">
      <w:pPr>
        <w:pStyle w:val="BodyText"/>
      </w:pPr>
      <w:r w:rsidRPr="009F6D49">
        <w:t>Australia’s anti-dumping system is administered by the Australian Customs and Border Protection Service (Customs and Border Protection). It investigates claims of dumping and makes recommendations to the Minister, and also oversees anti-dumping and countervailing measures in force. The investigation process goes through several, time-limited, stages and includes appeal processes.</w:t>
      </w:r>
      <w:r>
        <w:t xml:space="preserve"> </w:t>
      </w:r>
    </w:p>
    <w:p w:rsidR="006C3A35" w:rsidRPr="009F6D49" w:rsidRDefault="006C3A35" w:rsidP="006C3A35">
      <w:pPr>
        <w:pStyle w:val="BodyText"/>
      </w:pPr>
      <w:r>
        <w:t>Under Australia’s anti-dumping rules, a</w:t>
      </w:r>
      <w:r w:rsidRPr="009F6D49">
        <w:t xml:space="preserve">nti-dumping duties </w:t>
      </w:r>
      <w:r>
        <w:t xml:space="preserve">may </w:t>
      </w:r>
      <w:r w:rsidRPr="009F6D49">
        <w:t>be imposed up to the level of the assessed</w:t>
      </w:r>
      <w:r>
        <w:t xml:space="preserve"> </w:t>
      </w:r>
      <w:r w:rsidRPr="009F6D49">
        <w:t>dumping margin (or the subsidy provided by an overseas government). However,</w:t>
      </w:r>
      <w:r>
        <w:t xml:space="preserve"> </w:t>
      </w:r>
      <w:r w:rsidRPr="009F6D49">
        <w:t xml:space="preserve">under </w:t>
      </w:r>
      <w:r>
        <w:t>the</w:t>
      </w:r>
      <w:r w:rsidRPr="009F6D49">
        <w:t xml:space="preserve"> ‘lesser duty rule’, a smaller duty sufficient to increase the price of the</w:t>
      </w:r>
      <w:r>
        <w:t xml:space="preserve"> </w:t>
      </w:r>
      <w:r w:rsidRPr="009F6D49">
        <w:t>overseas good to a ‘non-injurious’ level may sometimes be imposed. Alternatively, the</w:t>
      </w:r>
      <w:r>
        <w:t xml:space="preserve"> </w:t>
      </w:r>
      <w:r w:rsidRPr="009F6D49">
        <w:t>overseas supplier (and also the overseas government in countervailing cases) can</w:t>
      </w:r>
      <w:r>
        <w:t xml:space="preserve"> </w:t>
      </w:r>
      <w:r w:rsidRPr="009F6D49">
        <w:t>make a formal price undertaking on terms that would remove the injury or the threat of</w:t>
      </w:r>
      <w:r>
        <w:t xml:space="preserve"> </w:t>
      </w:r>
      <w:r w:rsidRPr="009F6D49">
        <w:t>injury.</w:t>
      </w:r>
    </w:p>
    <w:p w:rsidR="006C3A35" w:rsidRPr="009F6D49" w:rsidRDefault="006C3A35" w:rsidP="006C3A35">
      <w:pPr>
        <w:pStyle w:val="BodyText"/>
      </w:pPr>
      <w:r w:rsidRPr="009F6D49">
        <w:t>Once in place, anti-dumping measures typically remain in force for five years, with</w:t>
      </w:r>
      <w:r>
        <w:t xml:space="preserve"> </w:t>
      </w:r>
      <w:r w:rsidRPr="009F6D49">
        <w:t>scope for extensions for additional five</w:t>
      </w:r>
      <w:r>
        <w:t>-</w:t>
      </w:r>
      <w:r w:rsidRPr="009F6D49">
        <w:t>year periods, following further review.</w:t>
      </w:r>
    </w:p>
    <w:bookmarkStart w:id="5" w:name="_Toc318140216"/>
    <w:p w:rsidR="006C3A35" w:rsidRDefault="00DC4DC3" w:rsidP="006C3A35">
      <w:pPr>
        <w:pStyle w:val="Heading2"/>
      </w:pPr>
      <w:r>
        <w:lastRenderedPageBreak/>
        <w:fldChar w:fldCharType="begin"/>
      </w:r>
      <w:r>
        <w:instrText xml:space="preserve"> COMMENTS  \* MERGEFORMAT </w:instrText>
      </w:r>
      <w:r>
        <w:fldChar w:fldCharType="separate"/>
      </w:r>
      <w:r>
        <w:t>C.</w:t>
      </w:r>
      <w:r>
        <w:fldChar w:fldCharType="end"/>
      </w:r>
      <w:fldSimple w:instr=" SEQ Heading2 ">
        <w:r w:rsidR="00346B76">
          <w:rPr>
            <w:noProof/>
          </w:rPr>
          <w:t>1</w:t>
        </w:r>
      </w:fldSimple>
      <w:r>
        <w:tab/>
      </w:r>
      <w:r w:rsidR="006C3A35">
        <w:t>Australian anti-dumping and countervailing activity</w:t>
      </w:r>
      <w:bookmarkEnd w:id="5"/>
    </w:p>
    <w:p w:rsidR="00C813BF" w:rsidRDefault="00C813BF" w:rsidP="00C813BF">
      <w:pPr>
        <w:pStyle w:val="BodyText"/>
        <w:spacing w:before="200"/>
      </w:pPr>
      <w:r w:rsidRPr="00E5295F">
        <w:t>During 20</w:t>
      </w:r>
      <w:r>
        <w:t>11</w:t>
      </w:r>
      <w:r w:rsidRPr="00E5295F">
        <w:noBreakHyphen/>
      </w:r>
      <w:r>
        <w:t>12</w:t>
      </w:r>
      <w:r w:rsidRPr="00E5295F">
        <w:t xml:space="preserve">, </w:t>
      </w:r>
      <w:r>
        <w:t xml:space="preserve">22 new investigations were </w:t>
      </w:r>
      <w:r w:rsidRPr="00124678">
        <w:rPr>
          <w:i/>
        </w:rPr>
        <w:t>initiated</w:t>
      </w:r>
      <w:r w:rsidRPr="00E5295F">
        <w:t xml:space="preserve"> </w:t>
      </w:r>
      <w:r>
        <w:t xml:space="preserve">by Customs and Border Protection </w:t>
      </w:r>
      <w:r w:rsidRPr="00E5295F">
        <w:t>(table </w:t>
      </w:r>
      <w:r>
        <w:t>C.1)</w:t>
      </w:r>
      <w:r w:rsidRPr="00E5295F">
        <w:t>.</w:t>
      </w:r>
      <w:r>
        <w:t xml:space="preserve"> This is an increase from 10 new investigations the previous year. Also during the year, four </w:t>
      </w:r>
      <w:r w:rsidRPr="009F1F23">
        <w:t xml:space="preserve">new measures were </w:t>
      </w:r>
      <w:r w:rsidRPr="009F1F23">
        <w:rPr>
          <w:i/>
        </w:rPr>
        <w:t>imposed</w:t>
      </w:r>
      <w:r w:rsidRPr="009F1F23">
        <w:t xml:space="preserve"> </w:t>
      </w:r>
      <w:r>
        <w:t xml:space="preserve">and three measures </w:t>
      </w:r>
      <w:r w:rsidRPr="00677CBA">
        <w:rPr>
          <w:i/>
        </w:rPr>
        <w:t>expired</w:t>
      </w:r>
      <w:r>
        <w:t>.</w:t>
      </w:r>
    </w:p>
    <w:p w:rsidR="00626965" w:rsidRDefault="00626965">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DC4DC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346B76">
        <w:rPr>
          <w:b w:val="0"/>
          <w:noProof/>
        </w:rPr>
        <w:t>1</w:t>
      </w:r>
      <w:r>
        <w:rPr>
          <w:b w:val="0"/>
        </w:rPr>
        <w:fldChar w:fldCharType="end"/>
      </w:r>
      <w:r>
        <w:tab/>
        <w:t>Australian anti-dumping and countervailing initiations, 201</w:t>
      </w:r>
      <w:r w:rsidR="00EB45E5">
        <w:t>1</w:t>
      </w:r>
      <w:r>
        <w:noBreakHyphen/>
        <w:t>12</w:t>
      </w:r>
      <w:r w:rsidRPr="008E18D8">
        <w:rPr>
          <w:rStyle w:val="NoteLabel"/>
          <w:b/>
        </w:rPr>
        <w:t>a</w:t>
      </w:r>
    </w:p>
    <w:tbl>
      <w:tblPr>
        <w:tblW w:w="0" w:type="auto"/>
        <w:tblLayout w:type="fixed"/>
        <w:tblCellMar>
          <w:left w:w="0" w:type="dxa"/>
          <w:right w:w="0" w:type="dxa"/>
        </w:tblCellMar>
        <w:tblLook w:val="0000" w:firstRow="0" w:lastRow="0" w:firstColumn="0" w:lastColumn="0" w:noHBand="0" w:noVBand="0"/>
      </w:tblPr>
      <w:tblGrid>
        <w:gridCol w:w="3261"/>
        <w:gridCol w:w="2976"/>
        <w:gridCol w:w="2552"/>
      </w:tblGrid>
      <w:tr w:rsidR="00682399" w:rsidTr="008058D1">
        <w:tc>
          <w:tcPr>
            <w:tcW w:w="3261" w:type="dxa"/>
            <w:tcBorders>
              <w:top w:val="single" w:sz="6" w:space="0" w:color="auto"/>
              <w:bottom w:val="single" w:sz="6" w:space="0" w:color="auto"/>
            </w:tcBorders>
            <w:shd w:val="clear" w:color="auto" w:fill="auto"/>
          </w:tcPr>
          <w:p w:rsidR="00682399" w:rsidRDefault="00682399" w:rsidP="00682399">
            <w:pPr>
              <w:pStyle w:val="TableColumnHeading"/>
              <w:ind w:left="57" w:right="57"/>
              <w:jc w:val="left"/>
              <w:rPr>
                <w:szCs w:val="24"/>
              </w:rPr>
            </w:pPr>
            <w:r>
              <w:t>Commodity</w:t>
            </w:r>
          </w:p>
        </w:tc>
        <w:tc>
          <w:tcPr>
            <w:tcW w:w="2976" w:type="dxa"/>
            <w:tcBorders>
              <w:top w:val="single" w:sz="6" w:space="0" w:color="auto"/>
              <w:bottom w:val="single" w:sz="6" w:space="0" w:color="auto"/>
            </w:tcBorders>
          </w:tcPr>
          <w:p w:rsidR="00682399" w:rsidRDefault="00682399" w:rsidP="00682399">
            <w:pPr>
              <w:pStyle w:val="TableColumnHeading"/>
              <w:ind w:left="57" w:right="57"/>
              <w:jc w:val="left"/>
            </w:pPr>
            <w:r>
              <w:t>Industry grouping</w:t>
            </w:r>
          </w:p>
        </w:tc>
        <w:tc>
          <w:tcPr>
            <w:tcW w:w="2552" w:type="dxa"/>
            <w:tcBorders>
              <w:top w:val="single" w:sz="6" w:space="0" w:color="auto"/>
              <w:bottom w:val="single" w:sz="6" w:space="0" w:color="auto"/>
            </w:tcBorders>
            <w:shd w:val="clear" w:color="auto" w:fill="auto"/>
          </w:tcPr>
          <w:p w:rsidR="00682399" w:rsidRDefault="003F3A39" w:rsidP="00682399">
            <w:pPr>
              <w:pStyle w:val="TableColumnHeading"/>
              <w:ind w:left="57" w:right="57"/>
              <w:jc w:val="left"/>
            </w:pPr>
            <w:r>
              <w:t>Investigations</w:t>
            </w:r>
            <w:r>
              <w:rPr>
                <w:rStyle w:val="NoteLabel"/>
              </w:rPr>
              <w:t xml:space="preserve"> b</w:t>
            </w:r>
          </w:p>
        </w:tc>
      </w:tr>
      <w:tr w:rsidR="00682399" w:rsidTr="008058D1">
        <w:tc>
          <w:tcPr>
            <w:tcW w:w="3261" w:type="dxa"/>
            <w:vAlign w:val="center"/>
          </w:tcPr>
          <w:p w:rsidR="00682399" w:rsidRPr="00955673" w:rsidRDefault="00682399" w:rsidP="00682399">
            <w:pPr>
              <w:pStyle w:val="TableBodyText"/>
              <w:spacing w:before="40"/>
              <w:ind w:left="57" w:right="57"/>
              <w:jc w:val="left"/>
              <w:rPr>
                <w:rFonts w:cs="Arial"/>
                <w:b/>
              </w:rPr>
            </w:pPr>
            <w:r w:rsidRPr="00955673">
              <w:rPr>
                <w:rFonts w:cs="Arial"/>
                <w:b/>
              </w:rPr>
              <w:t>Initiations</w:t>
            </w:r>
          </w:p>
        </w:tc>
        <w:tc>
          <w:tcPr>
            <w:tcW w:w="2976" w:type="dxa"/>
            <w:vAlign w:val="center"/>
          </w:tcPr>
          <w:p w:rsidR="00682399" w:rsidRDefault="00682399" w:rsidP="00682399">
            <w:pPr>
              <w:pStyle w:val="TableBodyText"/>
              <w:spacing w:before="40"/>
              <w:ind w:left="57" w:right="57"/>
              <w:jc w:val="left"/>
              <w:rPr>
                <w:rFonts w:cs="Arial"/>
                <w:szCs w:val="24"/>
              </w:rPr>
            </w:pPr>
          </w:p>
        </w:tc>
        <w:tc>
          <w:tcPr>
            <w:tcW w:w="2552" w:type="dxa"/>
            <w:vAlign w:val="center"/>
          </w:tcPr>
          <w:p w:rsidR="00682399" w:rsidRDefault="00682399" w:rsidP="00682399">
            <w:pPr>
              <w:pStyle w:val="TableBodyText"/>
              <w:spacing w:before="40"/>
              <w:ind w:left="57" w:right="57"/>
              <w:jc w:val="left"/>
              <w:rPr>
                <w:rFonts w:cs="Arial"/>
                <w:szCs w:val="24"/>
              </w:rPr>
            </w:pPr>
          </w:p>
        </w:tc>
      </w:tr>
      <w:tr w:rsidR="00682399" w:rsidTr="008058D1">
        <w:tc>
          <w:tcPr>
            <w:tcW w:w="3261" w:type="dxa"/>
          </w:tcPr>
          <w:p w:rsidR="00682399" w:rsidRDefault="00682399" w:rsidP="008058D1">
            <w:pPr>
              <w:pStyle w:val="TableBodyText"/>
              <w:spacing w:before="40"/>
              <w:ind w:left="57" w:right="57"/>
              <w:jc w:val="left"/>
              <w:rPr>
                <w:szCs w:val="24"/>
              </w:rPr>
            </w:pPr>
            <w:r>
              <w:rPr>
                <w:rFonts w:cs="Arial"/>
              </w:rPr>
              <w:t>Electric cables</w:t>
            </w:r>
          </w:p>
        </w:tc>
        <w:tc>
          <w:tcPr>
            <w:tcW w:w="2976" w:type="dxa"/>
          </w:tcPr>
          <w:p w:rsidR="00682399" w:rsidRPr="00170316" w:rsidRDefault="00682399" w:rsidP="008058D1">
            <w:pPr>
              <w:pStyle w:val="TableBodyText"/>
              <w:spacing w:before="40"/>
              <w:ind w:left="57" w:right="57"/>
              <w:jc w:val="left"/>
              <w:rPr>
                <w:i/>
              </w:rPr>
            </w:pPr>
            <w:r w:rsidRPr="00B208E7">
              <w:rPr>
                <w:rFonts w:cs="Arial"/>
              </w:rPr>
              <w:t>Machinery and equipment manufacturing</w:t>
            </w:r>
          </w:p>
        </w:tc>
        <w:tc>
          <w:tcPr>
            <w:tcW w:w="2552" w:type="dxa"/>
          </w:tcPr>
          <w:p w:rsidR="00682399" w:rsidRDefault="00682399" w:rsidP="008058D1">
            <w:pPr>
              <w:pStyle w:val="TableBodyText"/>
              <w:spacing w:before="40"/>
              <w:ind w:left="57" w:right="57"/>
              <w:jc w:val="left"/>
              <w:rPr>
                <w:i/>
              </w:rPr>
            </w:pPr>
            <w:r>
              <w:rPr>
                <w:rFonts w:cs="Arial"/>
              </w:rPr>
              <w:t>P.R. China</w:t>
            </w:r>
          </w:p>
        </w:tc>
      </w:tr>
      <w:tr w:rsidR="00682399" w:rsidTr="008058D1">
        <w:tc>
          <w:tcPr>
            <w:tcW w:w="3261" w:type="dxa"/>
          </w:tcPr>
          <w:p w:rsidR="00682399" w:rsidRDefault="00682399" w:rsidP="008058D1">
            <w:pPr>
              <w:pStyle w:val="TableBodyText"/>
              <w:spacing w:before="40"/>
              <w:ind w:left="57" w:right="57"/>
              <w:jc w:val="left"/>
              <w:rPr>
                <w:szCs w:val="24"/>
              </w:rPr>
            </w:pPr>
            <w:r>
              <w:rPr>
                <w:rFonts w:cs="Arial"/>
              </w:rPr>
              <w:t>Structural timber - coniferous</w:t>
            </w:r>
          </w:p>
        </w:tc>
        <w:tc>
          <w:tcPr>
            <w:tcW w:w="2976" w:type="dxa"/>
          </w:tcPr>
          <w:p w:rsidR="00682399" w:rsidRPr="00170316" w:rsidRDefault="00682399" w:rsidP="008058D1">
            <w:pPr>
              <w:pStyle w:val="TableBodyText"/>
              <w:spacing w:before="40"/>
              <w:ind w:left="57" w:right="57"/>
              <w:jc w:val="left"/>
              <w:rPr>
                <w:i/>
              </w:rPr>
            </w:pPr>
            <w:r>
              <w:rPr>
                <w:rFonts w:cs="Arial"/>
              </w:rPr>
              <w:t>Wood and paper products</w:t>
            </w:r>
          </w:p>
        </w:tc>
        <w:tc>
          <w:tcPr>
            <w:tcW w:w="2552" w:type="dxa"/>
          </w:tcPr>
          <w:p w:rsidR="00682399" w:rsidRDefault="00682399" w:rsidP="003F3A39">
            <w:pPr>
              <w:pStyle w:val="TableBodyText"/>
              <w:spacing w:before="40"/>
              <w:ind w:left="57" w:right="57"/>
              <w:jc w:val="left"/>
              <w:rPr>
                <w:i/>
              </w:rPr>
            </w:pPr>
            <w:r w:rsidRPr="0043762C">
              <w:rPr>
                <w:rFonts w:cs="Arial"/>
              </w:rPr>
              <w:t>Austria</w:t>
            </w:r>
            <w:r>
              <w:rPr>
                <w:rFonts w:cs="Arial"/>
              </w:rPr>
              <w:t xml:space="preserve">, </w:t>
            </w:r>
            <w:r w:rsidRPr="0043762C">
              <w:rPr>
                <w:rFonts w:cs="Arial"/>
              </w:rPr>
              <w:t>Canada</w:t>
            </w:r>
            <w:r>
              <w:rPr>
                <w:rFonts w:cs="Arial"/>
              </w:rPr>
              <w:t xml:space="preserve">, </w:t>
            </w:r>
            <w:r>
              <w:rPr>
                <w:rFonts w:cs="Arial"/>
              </w:rPr>
              <w:br/>
            </w:r>
            <w:r w:rsidRPr="0043762C">
              <w:rPr>
                <w:rFonts w:cs="Arial"/>
              </w:rPr>
              <w:t>Czech Republic</w:t>
            </w:r>
            <w:r>
              <w:rPr>
                <w:rFonts w:cs="Arial"/>
              </w:rPr>
              <w:t xml:space="preserve">, </w:t>
            </w:r>
            <w:r w:rsidRPr="0043762C">
              <w:rPr>
                <w:rFonts w:cs="Arial"/>
              </w:rPr>
              <w:t>Estonia,</w:t>
            </w:r>
            <w:r>
              <w:rPr>
                <w:rFonts w:cs="Arial"/>
              </w:rPr>
              <w:br/>
            </w:r>
            <w:r w:rsidRPr="0043762C">
              <w:rPr>
                <w:rFonts w:cs="Arial"/>
              </w:rPr>
              <w:t xml:space="preserve">Germany,  Lithuania, </w:t>
            </w:r>
            <w:r>
              <w:rPr>
                <w:rFonts w:cs="Arial"/>
              </w:rPr>
              <w:br/>
            </w:r>
            <w:r w:rsidRPr="0043762C">
              <w:rPr>
                <w:rFonts w:cs="Arial"/>
              </w:rPr>
              <w:t>Sweden</w:t>
            </w:r>
            <w:r>
              <w:rPr>
                <w:rFonts w:cs="Arial"/>
              </w:rPr>
              <w:t xml:space="preserve">, </w:t>
            </w:r>
            <w:r>
              <w:rPr>
                <w:rFonts w:cs="Arial"/>
              </w:rPr>
              <w:br/>
            </w:r>
            <w:r w:rsidRPr="0043762C">
              <w:rPr>
                <w:rFonts w:cs="Arial"/>
              </w:rPr>
              <w:t>United States</w:t>
            </w:r>
          </w:p>
        </w:tc>
      </w:tr>
      <w:tr w:rsidR="00682399" w:rsidTr="008058D1">
        <w:tc>
          <w:tcPr>
            <w:tcW w:w="3261" w:type="dxa"/>
          </w:tcPr>
          <w:p w:rsidR="00682399" w:rsidRDefault="00682399" w:rsidP="008058D1">
            <w:pPr>
              <w:pStyle w:val="TableBodyText"/>
              <w:spacing w:before="40"/>
              <w:ind w:left="57" w:right="57"/>
              <w:jc w:val="left"/>
              <w:rPr>
                <w:szCs w:val="24"/>
              </w:rPr>
            </w:pPr>
            <w:r w:rsidRPr="00083E74">
              <w:rPr>
                <w:rFonts w:cs="Arial"/>
              </w:rPr>
              <w:t>Hollow structural sections (HSS)</w:t>
            </w:r>
          </w:p>
        </w:tc>
        <w:tc>
          <w:tcPr>
            <w:tcW w:w="2976" w:type="dxa"/>
          </w:tcPr>
          <w:p w:rsidR="00682399" w:rsidRPr="00170316" w:rsidRDefault="00682399" w:rsidP="008058D1">
            <w:pPr>
              <w:pStyle w:val="TableBodyText"/>
              <w:spacing w:before="40"/>
              <w:ind w:left="57" w:right="57"/>
              <w:jc w:val="left"/>
              <w:rPr>
                <w:i/>
              </w:rPr>
            </w:pPr>
            <w:r w:rsidRPr="00B208E7">
              <w:rPr>
                <w:rFonts w:cs="Arial"/>
                <w:szCs w:val="24"/>
              </w:rPr>
              <w:t>Metal product manufacturing</w:t>
            </w:r>
          </w:p>
        </w:tc>
        <w:tc>
          <w:tcPr>
            <w:tcW w:w="2552" w:type="dxa"/>
          </w:tcPr>
          <w:p w:rsidR="00682399" w:rsidRDefault="00682399" w:rsidP="008058D1">
            <w:pPr>
              <w:pStyle w:val="TableBodyText"/>
              <w:spacing w:before="40"/>
              <w:ind w:left="57" w:right="57"/>
              <w:jc w:val="left"/>
              <w:rPr>
                <w:i/>
              </w:rPr>
            </w:pPr>
            <w:r>
              <w:rPr>
                <w:rFonts w:cs="Arial"/>
              </w:rPr>
              <w:t>P.R. China</w:t>
            </w:r>
            <w:r>
              <w:rPr>
                <w:rFonts w:cs="Arial"/>
              </w:rPr>
              <w:br/>
            </w:r>
            <w:r w:rsidRPr="00632A42">
              <w:rPr>
                <w:rFonts w:cs="Arial"/>
              </w:rPr>
              <w:t>Korea, Rep of</w:t>
            </w:r>
            <w:r>
              <w:rPr>
                <w:rFonts w:cs="Arial"/>
              </w:rPr>
              <w:t xml:space="preserve">, </w:t>
            </w:r>
            <w:r w:rsidRPr="00632A42">
              <w:rPr>
                <w:rFonts w:cs="Arial"/>
              </w:rPr>
              <w:t>Malaysia</w:t>
            </w:r>
            <w:r>
              <w:rPr>
                <w:rFonts w:cs="Arial"/>
              </w:rPr>
              <w:t xml:space="preserve">, </w:t>
            </w:r>
            <w:r>
              <w:rPr>
                <w:rFonts w:cs="Arial"/>
              </w:rPr>
              <w:br/>
            </w:r>
            <w:r w:rsidRPr="00632A42">
              <w:rPr>
                <w:rFonts w:cs="Arial"/>
              </w:rPr>
              <w:t>Taiwan</w:t>
            </w:r>
            <w:r>
              <w:rPr>
                <w:rFonts w:cs="Arial"/>
              </w:rPr>
              <w:t>,</w:t>
            </w:r>
            <w:r>
              <w:rPr>
                <w:rFonts w:cs="Arial"/>
              </w:rPr>
              <w:br/>
            </w:r>
            <w:r w:rsidRPr="00632A42">
              <w:rPr>
                <w:rFonts w:cs="Arial"/>
              </w:rPr>
              <w:t>Thailand</w:t>
            </w:r>
          </w:p>
        </w:tc>
      </w:tr>
      <w:tr w:rsidR="00682399" w:rsidTr="008058D1">
        <w:tc>
          <w:tcPr>
            <w:tcW w:w="3261" w:type="dxa"/>
          </w:tcPr>
          <w:p w:rsidR="00682399" w:rsidRDefault="00682399" w:rsidP="008058D1">
            <w:pPr>
              <w:pStyle w:val="TableBodyText"/>
              <w:spacing w:before="40"/>
              <w:ind w:left="57" w:right="57"/>
              <w:jc w:val="left"/>
              <w:rPr>
                <w:szCs w:val="24"/>
              </w:rPr>
            </w:pPr>
            <w:r>
              <w:rPr>
                <w:rFonts w:cs="Arial"/>
              </w:rPr>
              <w:t>Quicklime</w:t>
            </w:r>
          </w:p>
        </w:tc>
        <w:tc>
          <w:tcPr>
            <w:tcW w:w="2976" w:type="dxa"/>
          </w:tcPr>
          <w:p w:rsidR="00682399" w:rsidRPr="00170316" w:rsidRDefault="00682399" w:rsidP="008058D1">
            <w:pPr>
              <w:pStyle w:val="TableBodyText"/>
              <w:spacing w:before="40"/>
              <w:ind w:left="57" w:right="57"/>
              <w:jc w:val="left"/>
              <w:rPr>
                <w:i/>
              </w:rPr>
            </w:pPr>
            <w:r w:rsidRPr="00B208E7">
              <w:rPr>
                <w:rFonts w:cs="Arial"/>
              </w:rPr>
              <w:t>Non-metallic mineral products</w:t>
            </w:r>
          </w:p>
        </w:tc>
        <w:tc>
          <w:tcPr>
            <w:tcW w:w="2552" w:type="dxa"/>
          </w:tcPr>
          <w:p w:rsidR="00682399" w:rsidRDefault="00682399" w:rsidP="008058D1">
            <w:pPr>
              <w:pStyle w:val="TableBodyText"/>
              <w:spacing w:before="40"/>
              <w:ind w:left="57" w:right="57"/>
              <w:jc w:val="left"/>
              <w:rPr>
                <w:i/>
              </w:rPr>
            </w:pPr>
            <w:r>
              <w:rPr>
                <w:rFonts w:cs="Arial"/>
              </w:rPr>
              <w:t>Thailand</w:t>
            </w:r>
          </w:p>
        </w:tc>
      </w:tr>
      <w:tr w:rsidR="00682399" w:rsidTr="008058D1">
        <w:tc>
          <w:tcPr>
            <w:tcW w:w="3261" w:type="dxa"/>
          </w:tcPr>
          <w:p w:rsidR="00682399" w:rsidRDefault="00682399" w:rsidP="008058D1">
            <w:pPr>
              <w:pStyle w:val="TableBodyText"/>
              <w:spacing w:before="40"/>
              <w:ind w:left="57" w:right="57"/>
              <w:jc w:val="left"/>
              <w:rPr>
                <w:szCs w:val="24"/>
              </w:rPr>
            </w:pPr>
            <w:r w:rsidRPr="008A218F">
              <w:rPr>
                <w:rFonts w:cs="Arial"/>
              </w:rPr>
              <w:t xml:space="preserve">Aluminium </w:t>
            </w:r>
            <w:r>
              <w:rPr>
                <w:rFonts w:cs="Arial"/>
              </w:rPr>
              <w:t>road wheels</w:t>
            </w:r>
          </w:p>
        </w:tc>
        <w:tc>
          <w:tcPr>
            <w:tcW w:w="2976" w:type="dxa"/>
          </w:tcPr>
          <w:p w:rsidR="00682399" w:rsidRPr="00170316" w:rsidRDefault="00682399" w:rsidP="008058D1">
            <w:pPr>
              <w:pStyle w:val="TableBodyText"/>
              <w:spacing w:before="40"/>
              <w:ind w:left="57" w:right="57"/>
              <w:jc w:val="left"/>
              <w:rPr>
                <w:i/>
              </w:rPr>
            </w:pPr>
            <w:r w:rsidRPr="00B208E7">
              <w:rPr>
                <w:rFonts w:cs="Arial"/>
              </w:rPr>
              <w:t>Machinery and equipment manufacturing</w:t>
            </w:r>
          </w:p>
        </w:tc>
        <w:tc>
          <w:tcPr>
            <w:tcW w:w="2552" w:type="dxa"/>
          </w:tcPr>
          <w:p w:rsidR="00682399" w:rsidRDefault="00682399" w:rsidP="008058D1">
            <w:pPr>
              <w:pStyle w:val="TableBodyText"/>
              <w:spacing w:before="40"/>
              <w:ind w:left="57" w:right="57"/>
              <w:jc w:val="left"/>
              <w:rPr>
                <w:i/>
              </w:rPr>
            </w:pPr>
            <w:r>
              <w:rPr>
                <w:rFonts w:cs="Arial"/>
              </w:rPr>
              <w:t>P.R. China</w:t>
            </w:r>
          </w:p>
        </w:tc>
      </w:tr>
      <w:tr w:rsidR="00682399" w:rsidTr="008058D1">
        <w:tc>
          <w:tcPr>
            <w:tcW w:w="3261" w:type="dxa"/>
          </w:tcPr>
          <w:p w:rsidR="00682399" w:rsidRPr="00B208E7" w:rsidRDefault="00682399" w:rsidP="008058D1">
            <w:pPr>
              <w:pStyle w:val="TableBodyText"/>
              <w:spacing w:before="40"/>
              <w:ind w:left="57" w:right="57"/>
              <w:jc w:val="left"/>
              <w:rPr>
                <w:rFonts w:cs="Arial"/>
                <w:szCs w:val="24"/>
              </w:rPr>
            </w:pPr>
            <w:r w:rsidRPr="00B208E7">
              <w:rPr>
                <w:rFonts w:cs="Arial"/>
                <w:szCs w:val="24"/>
              </w:rPr>
              <w:t>Formulated glyphosate</w:t>
            </w:r>
          </w:p>
        </w:tc>
        <w:tc>
          <w:tcPr>
            <w:tcW w:w="2976" w:type="dxa"/>
          </w:tcPr>
          <w:p w:rsidR="00682399" w:rsidRPr="00B208E7" w:rsidRDefault="00682399" w:rsidP="008058D1">
            <w:pPr>
              <w:pStyle w:val="TableBodyText"/>
              <w:spacing w:before="40"/>
              <w:ind w:left="57" w:right="57"/>
              <w:jc w:val="left"/>
              <w:rPr>
                <w:rFonts w:cs="Arial"/>
                <w:szCs w:val="24"/>
              </w:rPr>
            </w:pPr>
            <w:r>
              <w:rPr>
                <w:rFonts w:cs="Arial"/>
              </w:rPr>
              <w:t>Petroleum, coal, chemical and associated products</w:t>
            </w:r>
          </w:p>
        </w:tc>
        <w:tc>
          <w:tcPr>
            <w:tcW w:w="2552" w:type="dxa"/>
          </w:tcPr>
          <w:p w:rsidR="00682399" w:rsidRPr="00B208E7" w:rsidRDefault="00682399" w:rsidP="003F3A39">
            <w:pPr>
              <w:pStyle w:val="TableBodyText"/>
              <w:spacing w:before="40"/>
              <w:ind w:left="57" w:right="57"/>
              <w:jc w:val="left"/>
              <w:rPr>
                <w:rFonts w:cs="Arial"/>
                <w:szCs w:val="24"/>
              </w:rPr>
            </w:pPr>
            <w:r>
              <w:rPr>
                <w:rFonts w:cs="Arial"/>
              </w:rPr>
              <w:t>P.R. China</w:t>
            </w:r>
          </w:p>
        </w:tc>
      </w:tr>
      <w:tr w:rsidR="00682399" w:rsidTr="008058D1">
        <w:tc>
          <w:tcPr>
            <w:tcW w:w="3261" w:type="dxa"/>
          </w:tcPr>
          <w:p w:rsidR="00682399" w:rsidRPr="00B208E7" w:rsidRDefault="00682399" w:rsidP="008058D1">
            <w:pPr>
              <w:pStyle w:val="TableBodyText"/>
              <w:spacing w:before="40"/>
              <w:ind w:left="57" w:right="57"/>
              <w:jc w:val="left"/>
              <w:rPr>
                <w:rFonts w:cs="Arial"/>
                <w:szCs w:val="24"/>
              </w:rPr>
            </w:pPr>
            <w:r>
              <w:rPr>
                <w:rFonts w:cs="Arial"/>
                <w:szCs w:val="24"/>
              </w:rPr>
              <w:t>Polyvinyl chloride homopolymer resin</w:t>
            </w:r>
          </w:p>
        </w:tc>
        <w:tc>
          <w:tcPr>
            <w:tcW w:w="2976" w:type="dxa"/>
          </w:tcPr>
          <w:p w:rsidR="00682399" w:rsidRPr="00B208E7" w:rsidRDefault="00682399" w:rsidP="008058D1">
            <w:pPr>
              <w:pStyle w:val="TableBodyText"/>
              <w:spacing w:before="40"/>
              <w:ind w:left="57" w:right="57"/>
              <w:jc w:val="left"/>
              <w:rPr>
                <w:rFonts w:cs="Arial"/>
                <w:szCs w:val="24"/>
              </w:rPr>
            </w:pPr>
            <w:r>
              <w:rPr>
                <w:rFonts w:cs="Arial"/>
              </w:rPr>
              <w:t>Petroleum, coal, chemical and associated products</w:t>
            </w:r>
          </w:p>
        </w:tc>
        <w:tc>
          <w:tcPr>
            <w:tcW w:w="2552" w:type="dxa"/>
          </w:tcPr>
          <w:p w:rsidR="00682399" w:rsidRPr="00B208E7" w:rsidRDefault="00682399" w:rsidP="008058D1">
            <w:pPr>
              <w:pStyle w:val="TableBodyText"/>
              <w:spacing w:before="40"/>
              <w:ind w:left="57" w:right="57"/>
              <w:jc w:val="left"/>
              <w:rPr>
                <w:rFonts w:cs="Arial"/>
                <w:szCs w:val="24"/>
              </w:rPr>
            </w:pPr>
            <w:r w:rsidRPr="00632A42">
              <w:rPr>
                <w:rFonts w:cs="Arial"/>
              </w:rPr>
              <w:t>Korea, Rep of</w:t>
            </w:r>
          </w:p>
        </w:tc>
      </w:tr>
      <w:tr w:rsidR="00682399" w:rsidTr="008058D1">
        <w:tc>
          <w:tcPr>
            <w:tcW w:w="3261" w:type="dxa"/>
          </w:tcPr>
          <w:p w:rsidR="00682399" w:rsidRPr="00B208E7" w:rsidRDefault="00682399" w:rsidP="008058D1">
            <w:pPr>
              <w:pStyle w:val="TableBodyText"/>
              <w:spacing w:before="40"/>
              <w:ind w:left="57" w:right="57"/>
              <w:jc w:val="left"/>
              <w:rPr>
                <w:rFonts w:cs="Arial"/>
                <w:szCs w:val="24"/>
              </w:rPr>
            </w:pPr>
            <w:r>
              <w:rPr>
                <w:rFonts w:cs="Arial"/>
                <w:szCs w:val="24"/>
              </w:rPr>
              <w:t>Hot-rolled coil steel</w:t>
            </w:r>
          </w:p>
        </w:tc>
        <w:tc>
          <w:tcPr>
            <w:tcW w:w="2976" w:type="dxa"/>
          </w:tcPr>
          <w:p w:rsidR="00682399" w:rsidRPr="00B208E7" w:rsidRDefault="00682399" w:rsidP="008058D1">
            <w:pPr>
              <w:pStyle w:val="TableBodyText"/>
              <w:spacing w:before="40"/>
              <w:ind w:left="57" w:right="57"/>
              <w:jc w:val="left"/>
              <w:rPr>
                <w:rFonts w:cs="Arial"/>
                <w:szCs w:val="24"/>
              </w:rPr>
            </w:pPr>
            <w:r w:rsidRPr="00B208E7">
              <w:rPr>
                <w:rFonts w:cs="Arial"/>
                <w:szCs w:val="24"/>
              </w:rPr>
              <w:t>Metal product manufacturing</w:t>
            </w:r>
          </w:p>
        </w:tc>
        <w:tc>
          <w:tcPr>
            <w:tcW w:w="2552" w:type="dxa"/>
          </w:tcPr>
          <w:p w:rsidR="00682399" w:rsidRPr="00B208E7" w:rsidRDefault="00682399" w:rsidP="0061574B">
            <w:pPr>
              <w:pStyle w:val="TableBodyText"/>
              <w:spacing w:before="40"/>
              <w:ind w:left="57" w:right="57"/>
              <w:jc w:val="left"/>
              <w:rPr>
                <w:rFonts w:cs="Arial"/>
                <w:szCs w:val="24"/>
              </w:rPr>
            </w:pPr>
            <w:r w:rsidRPr="00321383">
              <w:rPr>
                <w:rFonts w:cs="Arial"/>
                <w:szCs w:val="24"/>
              </w:rPr>
              <w:t>Taiwan</w:t>
            </w:r>
            <w:r>
              <w:rPr>
                <w:rFonts w:cs="Arial"/>
                <w:szCs w:val="24"/>
              </w:rPr>
              <w:t>,</w:t>
            </w:r>
            <w:r w:rsidR="0061574B">
              <w:rPr>
                <w:rFonts w:cs="Arial"/>
                <w:szCs w:val="24"/>
              </w:rPr>
              <w:t xml:space="preserve"> </w:t>
            </w:r>
            <w:r w:rsidRPr="00321383">
              <w:rPr>
                <w:rFonts w:cs="Arial"/>
                <w:szCs w:val="24"/>
              </w:rPr>
              <w:t xml:space="preserve">Korea, </w:t>
            </w:r>
            <w:r w:rsidR="0061574B">
              <w:rPr>
                <w:rFonts w:cs="Arial"/>
                <w:szCs w:val="24"/>
              </w:rPr>
              <w:br/>
            </w:r>
            <w:r w:rsidRPr="00321383">
              <w:rPr>
                <w:rFonts w:cs="Arial"/>
                <w:szCs w:val="24"/>
              </w:rPr>
              <w:t>Rep of</w:t>
            </w:r>
            <w:r>
              <w:rPr>
                <w:rFonts w:cs="Arial"/>
                <w:szCs w:val="24"/>
              </w:rPr>
              <w:t xml:space="preserve">, </w:t>
            </w:r>
            <w:r w:rsidRPr="00321383">
              <w:rPr>
                <w:rFonts w:cs="Arial"/>
                <w:szCs w:val="24"/>
              </w:rPr>
              <w:t>Malaysia</w:t>
            </w:r>
            <w:r>
              <w:rPr>
                <w:rFonts w:cs="Arial"/>
                <w:szCs w:val="24"/>
              </w:rPr>
              <w:t>,</w:t>
            </w:r>
            <w:r>
              <w:rPr>
                <w:rFonts w:cs="Arial"/>
                <w:szCs w:val="24"/>
              </w:rPr>
              <w:br/>
            </w:r>
            <w:r w:rsidRPr="00321383">
              <w:rPr>
                <w:rFonts w:cs="Arial"/>
                <w:szCs w:val="24"/>
              </w:rPr>
              <w:t>Japan</w:t>
            </w:r>
          </w:p>
        </w:tc>
      </w:tr>
      <w:tr w:rsidR="00682399" w:rsidTr="008058D1">
        <w:tc>
          <w:tcPr>
            <w:tcW w:w="3261" w:type="dxa"/>
          </w:tcPr>
          <w:p w:rsidR="00682399" w:rsidRPr="008058D1" w:rsidRDefault="00682399" w:rsidP="008058D1">
            <w:pPr>
              <w:pStyle w:val="TableBodyText"/>
              <w:spacing w:before="40"/>
              <w:ind w:left="57" w:right="57"/>
              <w:jc w:val="left"/>
              <w:rPr>
                <w:rFonts w:cs="Arial"/>
                <w:b/>
                <w:szCs w:val="24"/>
              </w:rPr>
            </w:pPr>
            <w:r w:rsidRPr="008058D1">
              <w:rPr>
                <w:rFonts w:cs="Arial"/>
                <w:b/>
                <w:szCs w:val="24"/>
              </w:rPr>
              <w:t>New Measures Imposed</w:t>
            </w:r>
          </w:p>
        </w:tc>
        <w:tc>
          <w:tcPr>
            <w:tcW w:w="2976" w:type="dxa"/>
          </w:tcPr>
          <w:p w:rsidR="00682399" w:rsidRDefault="00682399" w:rsidP="008058D1">
            <w:pPr>
              <w:pStyle w:val="TableBodyText"/>
              <w:spacing w:before="40"/>
              <w:ind w:left="57" w:right="57"/>
              <w:jc w:val="left"/>
              <w:rPr>
                <w:rFonts w:cs="Arial"/>
                <w:szCs w:val="24"/>
              </w:rPr>
            </w:pPr>
          </w:p>
        </w:tc>
        <w:tc>
          <w:tcPr>
            <w:tcW w:w="2552" w:type="dxa"/>
          </w:tcPr>
          <w:p w:rsidR="00682399" w:rsidRDefault="00682399" w:rsidP="008058D1">
            <w:pPr>
              <w:pStyle w:val="TableBodyText"/>
              <w:spacing w:before="40"/>
              <w:ind w:left="57" w:right="57"/>
              <w:jc w:val="left"/>
              <w:rPr>
                <w:rFonts w:cs="Arial"/>
                <w:szCs w:val="24"/>
              </w:rPr>
            </w:pPr>
          </w:p>
        </w:tc>
      </w:tr>
      <w:tr w:rsidR="00682399" w:rsidTr="008058D1">
        <w:tc>
          <w:tcPr>
            <w:tcW w:w="3261" w:type="dxa"/>
          </w:tcPr>
          <w:p w:rsidR="00682399" w:rsidRDefault="00682399" w:rsidP="008058D1">
            <w:pPr>
              <w:pStyle w:val="TableBodyText"/>
              <w:spacing w:before="40"/>
              <w:ind w:left="57" w:right="57"/>
              <w:jc w:val="left"/>
              <w:rPr>
                <w:rFonts w:cs="Arial"/>
                <w:szCs w:val="24"/>
              </w:rPr>
            </w:pPr>
            <w:r w:rsidRPr="00682399">
              <w:rPr>
                <w:rFonts w:cs="Arial"/>
                <w:szCs w:val="24"/>
              </w:rPr>
              <w:t>Clear float glass</w:t>
            </w:r>
          </w:p>
        </w:tc>
        <w:tc>
          <w:tcPr>
            <w:tcW w:w="2976" w:type="dxa"/>
          </w:tcPr>
          <w:p w:rsidR="00682399" w:rsidRPr="00682399" w:rsidRDefault="00682399" w:rsidP="008058D1">
            <w:pPr>
              <w:pStyle w:val="TableBodyText"/>
              <w:spacing w:before="40"/>
              <w:ind w:left="57" w:right="57"/>
              <w:jc w:val="left"/>
              <w:rPr>
                <w:rFonts w:cs="Arial"/>
                <w:szCs w:val="24"/>
              </w:rPr>
            </w:pPr>
            <w:r w:rsidRPr="00682399">
              <w:rPr>
                <w:rFonts w:cs="Arial"/>
                <w:szCs w:val="24"/>
              </w:rPr>
              <w:t>Non-metallic mineral products</w:t>
            </w:r>
          </w:p>
        </w:tc>
        <w:tc>
          <w:tcPr>
            <w:tcW w:w="2552" w:type="dxa"/>
          </w:tcPr>
          <w:p w:rsidR="00682399" w:rsidRPr="00682399" w:rsidRDefault="00682399" w:rsidP="008058D1">
            <w:pPr>
              <w:pStyle w:val="TableBodyText"/>
              <w:spacing w:before="40"/>
              <w:ind w:left="57" w:right="57"/>
              <w:jc w:val="left"/>
              <w:rPr>
                <w:rFonts w:cs="Arial"/>
                <w:szCs w:val="24"/>
              </w:rPr>
            </w:pPr>
            <w:r w:rsidRPr="00682399">
              <w:rPr>
                <w:rFonts w:cs="Arial"/>
                <w:szCs w:val="24"/>
              </w:rPr>
              <w:t>P.R. China, Indonesia, Thailand</w:t>
            </w:r>
          </w:p>
        </w:tc>
      </w:tr>
      <w:tr w:rsidR="00682399" w:rsidTr="008058D1">
        <w:tc>
          <w:tcPr>
            <w:tcW w:w="3261" w:type="dxa"/>
          </w:tcPr>
          <w:p w:rsidR="00682399" w:rsidRDefault="00682399" w:rsidP="008058D1">
            <w:pPr>
              <w:pStyle w:val="TableBodyText"/>
              <w:spacing w:before="40"/>
              <w:ind w:left="57" w:right="57"/>
              <w:jc w:val="left"/>
              <w:rPr>
                <w:rFonts w:cs="Arial"/>
                <w:szCs w:val="24"/>
              </w:rPr>
            </w:pPr>
            <w:r w:rsidRPr="00682399">
              <w:rPr>
                <w:rFonts w:cs="Arial"/>
                <w:szCs w:val="24"/>
              </w:rPr>
              <w:t>Pineapple, fruit (consumer)</w:t>
            </w:r>
          </w:p>
        </w:tc>
        <w:tc>
          <w:tcPr>
            <w:tcW w:w="2976" w:type="dxa"/>
          </w:tcPr>
          <w:p w:rsidR="00682399" w:rsidRPr="00682399" w:rsidRDefault="00682399" w:rsidP="008058D1">
            <w:pPr>
              <w:pStyle w:val="TableBodyText"/>
              <w:spacing w:before="40"/>
              <w:ind w:left="57" w:right="57"/>
              <w:jc w:val="left"/>
              <w:rPr>
                <w:rFonts w:cs="Arial"/>
                <w:szCs w:val="24"/>
              </w:rPr>
            </w:pPr>
            <w:r w:rsidRPr="00682399">
              <w:rPr>
                <w:rFonts w:cs="Arial"/>
                <w:szCs w:val="24"/>
              </w:rPr>
              <w:t>Food, beverages and tobacco</w:t>
            </w:r>
          </w:p>
        </w:tc>
        <w:tc>
          <w:tcPr>
            <w:tcW w:w="2552" w:type="dxa"/>
          </w:tcPr>
          <w:p w:rsidR="00682399" w:rsidRPr="00682399" w:rsidRDefault="00682399" w:rsidP="008058D1">
            <w:pPr>
              <w:pStyle w:val="TableBodyText"/>
              <w:spacing w:before="40"/>
              <w:ind w:left="57" w:right="57"/>
              <w:jc w:val="left"/>
              <w:rPr>
                <w:rFonts w:cs="Arial"/>
                <w:szCs w:val="24"/>
              </w:rPr>
            </w:pPr>
            <w:r w:rsidRPr="00682399">
              <w:rPr>
                <w:rFonts w:cs="Arial"/>
                <w:szCs w:val="24"/>
              </w:rPr>
              <w:t>Thailand (TPC)</w:t>
            </w:r>
          </w:p>
        </w:tc>
      </w:tr>
      <w:tr w:rsidR="00682399" w:rsidTr="008058D1">
        <w:tc>
          <w:tcPr>
            <w:tcW w:w="3261" w:type="dxa"/>
          </w:tcPr>
          <w:p w:rsidR="00682399" w:rsidRDefault="00682399" w:rsidP="008058D1">
            <w:pPr>
              <w:pStyle w:val="TableBodyText"/>
              <w:spacing w:before="40"/>
              <w:ind w:left="57" w:right="57"/>
              <w:jc w:val="left"/>
              <w:rPr>
                <w:rFonts w:cs="Arial"/>
                <w:szCs w:val="24"/>
              </w:rPr>
            </w:pPr>
          </w:p>
        </w:tc>
        <w:tc>
          <w:tcPr>
            <w:tcW w:w="2976" w:type="dxa"/>
          </w:tcPr>
          <w:p w:rsidR="00682399" w:rsidRPr="00682399" w:rsidRDefault="00682399" w:rsidP="008058D1">
            <w:pPr>
              <w:pStyle w:val="TableBodyText"/>
              <w:spacing w:before="40"/>
              <w:ind w:left="57" w:right="57"/>
              <w:jc w:val="left"/>
              <w:rPr>
                <w:rFonts w:cs="Arial"/>
                <w:szCs w:val="24"/>
              </w:rPr>
            </w:pPr>
          </w:p>
        </w:tc>
        <w:tc>
          <w:tcPr>
            <w:tcW w:w="2552" w:type="dxa"/>
          </w:tcPr>
          <w:p w:rsidR="00682399" w:rsidRDefault="00682399" w:rsidP="008058D1">
            <w:pPr>
              <w:pStyle w:val="TableBodyText"/>
              <w:spacing w:before="40"/>
              <w:ind w:left="57" w:right="57"/>
              <w:jc w:val="left"/>
              <w:rPr>
                <w:rFonts w:cs="Arial"/>
                <w:szCs w:val="24"/>
              </w:rPr>
            </w:pPr>
          </w:p>
        </w:tc>
      </w:tr>
      <w:tr w:rsidR="000815AF" w:rsidTr="008058D1">
        <w:tc>
          <w:tcPr>
            <w:tcW w:w="3261" w:type="dxa"/>
          </w:tcPr>
          <w:p w:rsidR="000815AF" w:rsidRPr="008058D1" w:rsidRDefault="000815AF" w:rsidP="008058D1">
            <w:pPr>
              <w:pStyle w:val="TableBodyText"/>
              <w:spacing w:before="40"/>
              <w:ind w:left="57" w:right="57"/>
              <w:jc w:val="left"/>
              <w:rPr>
                <w:rFonts w:cs="Arial"/>
                <w:b/>
                <w:szCs w:val="24"/>
              </w:rPr>
            </w:pPr>
            <w:r w:rsidRPr="008058D1">
              <w:rPr>
                <w:rFonts w:cs="Arial"/>
                <w:b/>
                <w:szCs w:val="24"/>
              </w:rPr>
              <w:t>Expirations</w:t>
            </w:r>
          </w:p>
        </w:tc>
        <w:tc>
          <w:tcPr>
            <w:tcW w:w="2976" w:type="dxa"/>
          </w:tcPr>
          <w:p w:rsidR="000815AF" w:rsidRPr="000815AF" w:rsidRDefault="000815AF" w:rsidP="008058D1">
            <w:pPr>
              <w:pStyle w:val="TableBodyText"/>
              <w:spacing w:before="40"/>
              <w:ind w:left="57" w:right="57"/>
              <w:jc w:val="left"/>
              <w:rPr>
                <w:rFonts w:cs="Arial"/>
                <w:szCs w:val="24"/>
              </w:rPr>
            </w:pPr>
          </w:p>
        </w:tc>
        <w:tc>
          <w:tcPr>
            <w:tcW w:w="2552" w:type="dxa"/>
          </w:tcPr>
          <w:p w:rsidR="000815AF" w:rsidRDefault="000815AF" w:rsidP="008058D1">
            <w:pPr>
              <w:pStyle w:val="TableBodyText"/>
              <w:spacing w:before="40"/>
              <w:ind w:left="57" w:right="57"/>
              <w:jc w:val="left"/>
              <w:rPr>
                <w:rFonts w:cs="Arial"/>
                <w:szCs w:val="24"/>
              </w:rPr>
            </w:pPr>
          </w:p>
        </w:tc>
      </w:tr>
      <w:tr w:rsidR="000815AF" w:rsidTr="008058D1">
        <w:tc>
          <w:tcPr>
            <w:tcW w:w="3261" w:type="dxa"/>
          </w:tcPr>
          <w:p w:rsidR="000815AF" w:rsidRDefault="000815AF" w:rsidP="008058D1">
            <w:pPr>
              <w:pStyle w:val="TableBodyText"/>
              <w:spacing w:before="40"/>
              <w:ind w:left="57" w:right="57"/>
              <w:jc w:val="left"/>
              <w:rPr>
                <w:rFonts w:cs="Arial"/>
                <w:szCs w:val="24"/>
              </w:rPr>
            </w:pPr>
            <w:r w:rsidRPr="000815AF">
              <w:rPr>
                <w:rFonts w:cs="Arial"/>
                <w:szCs w:val="24"/>
              </w:rPr>
              <w:t>Brandy, certain</w:t>
            </w:r>
          </w:p>
        </w:tc>
        <w:tc>
          <w:tcPr>
            <w:tcW w:w="2976" w:type="dxa"/>
          </w:tcPr>
          <w:p w:rsidR="000815AF" w:rsidRPr="000815AF" w:rsidRDefault="000815AF" w:rsidP="008058D1">
            <w:pPr>
              <w:pStyle w:val="TableBodyText"/>
              <w:spacing w:before="40"/>
              <w:ind w:left="57" w:right="57"/>
              <w:jc w:val="left"/>
              <w:rPr>
                <w:rFonts w:cs="Arial"/>
                <w:szCs w:val="24"/>
              </w:rPr>
            </w:pPr>
            <w:r w:rsidRPr="000815AF">
              <w:rPr>
                <w:rFonts w:cs="Arial"/>
                <w:szCs w:val="24"/>
              </w:rPr>
              <w:t>Food, beverages and tobacco</w:t>
            </w:r>
          </w:p>
        </w:tc>
        <w:tc>
          <w:tcPr>
            <w:tcW w:w="2552" w:type="dxa"/>
          </w:tcPr>
          <w:p w:rsidR="000815AF" w:rsidRPr="000815AF" w:rsidRDefault="000815AF" w:rsidP="008058D1">
            <w:pPr>
              <w:pStyle w:val="TableBodyText"/>
              <w:spacing w:before="40"/>
              <w:ind w:left="57" w:right="57"/>
              <w:jc w:val="left"/>
              <w:rPr>
                <w:rFonts w:cs="Arial"/>
                <w:szCs w:val="24"/>
              </w:rPr>
            </w:pPr>
            <w:r w:rsidRPr="000815AF">
              <w:rPr>
                <w:rFonts w:cs="Arial"/>
                <w:szCs w:val="24"/>
              </w:rPr>
              <w:t>France</w:t>
            </w:r>
          </w:p>
        </w:tc>
      </w:tr>
      <w:tr w:rsidR="000815AF" w:rsidTr="008058D1">
        <w:tc>
          <w:tcPr>
            <w:tcW w:w="3261" w:type="dxa"/>
            <w:tcBorders>
              <w:bottom w:val="single" w:sz="4" w:space="0" w:color="auto"/>
            </w:tcBorders>
          </w:tcPr>
          <w:p w:rsidR="000815AF" w:rsidRDefault="000815AF" w:rsidP="008058D1">
            <w:pPr>
              <w:pStyle w:val="TableBodyText"/>
              <w:spacing w:before="40"/>
              <w:ind w:left="57" w:right="57"/>
              <w:jc w:val="left"/>
              <w:rPr>
                <w:rFonts w:cs="Arial"/>
                <w:szCs w:val="24"/>
              </w:rPr>
            </w:pPr>
            <w:r w:rsidRPr="000815AF">
              <w:rPr>
                <w:rFonts w:cs="Arial"/>
                <w:szCs w:val="24"/>
              </w:rPr>
              <w:t>Pineapple, fruit (FSI)</w:t>
            </w:r>
          </w:p>
        </w:tc>
        <w:tc>
          <w:tcPr>
            <w:tcW w:w="2976" w:type="dxa"/>
            <w:tcBorders>
              <w:bottom w:val="single" w:sz="4" w:space="0" w:color="auto"/>
            </w:tcBorders>
          </w:tcPr>
          <w:p w:rsidR="000815AF" w:rsidRPr="000815AF" w:rsidRDefault="000815AF" w:rsidP="008058D1">
            <w:pPr>
              <w:pStyle w:val="TableBodyText"/>
              <w:spacing w:before="40"/>
              <w:ind w:left="57" w:right="57"/>
              <w:jc w:val="left"/>
              <w:rPr>
                <w:rFonts w:cs="Arial"/>
                <w:szCs w:val="24"/>
              </w:rPr>
            </w:pPr>
            <w:r w:rsidRPr="000815AF">
              <w:rPr>
                <w:rFonts w:cs="Arial"/>
                <w:szCs w:val="24"/>
              </w:rPr>
              <w:t>Food, beverages and tobacco</w:t>
            </w:r>
          </w:p>
        </w:tc>
        <w:tc>
          <w:tcPr>
            <w:tcW w:w="2552" w:type="dxa"/>
            <w:tcBorders>
              <w:bottom w:val="single" w:sz="4" w:space="0" w:color="auto"/>
            </w:tcBorders>
          </w:tcPr>
          <w:p w:rsidR="000815AF" w:rsidRPr="000815AF" w:rsidRDefault="000815AF" w:rsidP="008058D1">
            <w:pPr>
              <w:pStyle w:val="TableBodyText"/>
              <w:spacing w:before="40"/>
              <w:ind w:left="57" w:right="57"/>
              <w:jc w:val="left"/>
              <w:rPr>
                <w:rFonts w:cs="Arial"/>
                <w:szCs w:val="24"/>
              </w:rPr>
            </w:pPr>
            <w:r w:rsidRPr="000815AF">
              <w:rPr>
                <w:rFonts w:cs="Arial"/>
                <w:szCs w:val="24"/>
              </w:rPr>
              <w:t>P.R. China, Philippines</w:t>
            </w:r>
          </w:p>
        </w:tc>
      </w:tr>
    </w:tbl>
    <w:p w:rsidR="008058D1" w:rsidRDefault="008058D1" w:rsidP="008058D1">
      <w:pPr>
        <w:pStyle w:val="Note"/>
      </w:pPr>
      <w:r>
        <w:rPr>
          <w:rStyle w:val="NoteLabel"/>
        </w:rPr>
        <w:t>a</w:t>
      </w:r>
      <w:r>
        <w:t xml:space="preserve"> Formal investigations by Customs. Complaints by industry must meet certain requirements before investigations are initiated. </w:t>
      </w:r>
      <w:r w:rsidR="003F3A39">
        <w:rPr>
          <w:rStyle w:val="NoteLabel"/>
        </w:rPr>
        <w:t>b</w:t>
      </w:r>
      <w:r w:rsidR="003F3A39">
        <w:t> </w:t>
      </w:r>
      <w:r>
        <w:t>Initiations are recorded as actions applying to one commodity from one economy.</w:t>
      </w:r>
    </w:p>
    <w:p w:rsidR="008058D1" w:rsidRDefault="008058D1" w:rsidP="008058D1">
      <w:pPr>
        <w:pStyle w:val="Note"/>
      </w:pPr>
      <w:r>
        <w:rPr>
          <w:i/>
        </w:rPr>
        <w:t>Source</w:t>
      </w:r>
      <w:r>
        <w:t>: ACS (2012).</w:t>
      </w:r>
    </w:p>
    <w:p w:rsidR="00DC4DC3" w:rsidRDefault="00DC4DC3">
      <w:pPr>
        <w:rPr>
          <w:szCs w:val="20"/>
        </w:rPr>
      </w:pPr>
      <w:r>
        <w:br w:type="page"/>
      </w:r>
    </w:p>
    <w:p w:rsidR="00077EA3" w:rsidRDefault="006B1448" w:rsidP="00077EA3">
      <w:pPr>
        <w:pStyle w:val="BodyText"/>
        <w:rPr>
          <w:i/>
        </w:rPr>
      </w:pPr>
      <w:r>
        <w:lastRenderedPageBreak/>
        <w:t>Over the decade to 2011</w:t>
      </w:r>
      <w:r>
        <w:noBreakHyphen/>
        <w:t xml:space="preserve">12, </w:t>
      </w:r>
      <w:r w:rsidRPr="003629C9">
        <w:rPr>
          <w:i/>
        </w:rPr>
        <w:t xml:space="preserve">measures </w:t>
      </w:r>
      <w:r w:rsidRPr="00387321">
        <w:rPr>
          <w:i/>
        </w:rPr>
        <w:t>in force</w:t>
      </w:r>
      <w:r>
        <w:t xml:space="preserve"> ha</w:t>
      </w:r>
      <w:r w:rsidR="0061574B">
        <w:t>ve</w:t>
      </w:r>
      <w:r>
        <w:t xml:space="preserve"> declined from </w:t>
      </w:r>
      <w:r w:rsidR="00077EA3">
        <w:t>46</w:t>
      </w:r>
      <w:r>
        <w:t xml:space="preserve"> in 200</w:t>
      </w:r>
      <w:r w:rsidR="00077EA3">
        <w:t>2</w:t>
      </w:r>
      <w:r>
        <w:t>-0</w:t>
      </w:r>
      <w:r w:rsidR="00077EA3">
        <w:t>3</w:t>
      </w:r>
      <w:r>
        <w:t xml:space="preserve"> to 25 in 2011-12 (figure C.1). </w:t>
      </w:r>
      <w:r w:rsidR="00077EA3">
        <w:t xml:space="preserve">Over this period more than half of initiated investigations related to products in the </w:t>
      </w:r>
      <w:r w:rsidR="00077EA3" w:rsidRPr="00387321">
        <w:rPr>
          <w:i/>
        </w:rPr>
        <w:t>Metal products</w:t>
      </w:r>
      <w:r w:rsidR="00077EA3">
        <w:rPr>
          <w:i/>
        </w:rPr>
        <w:t xml:space="preserve"> </w:t>
      </w:r>
      <w:r w:rsidR="00077EA3" w:rsidRPr="006B1448">
        <w:t>and the</w:t>
      </w:r>
      <w:r w:rsidR="00077EA3">
        <w:rPr>
          <w:i/>
        </w:rPr>
        <w:t xml:space="preserve"> </w:t>
      </w:r>
      <w:r w:rsidR="00077EA3" w:rsidRPr="008C5157">
        <w:rPr>
          <w:i/>
        </w:rPr>
        <w:t>Petroleum, coal, chemical and associated products</w:t>
      </w:r>
      <w:r w:rsidR="00077EA3">
        <w:t xml:space="preserve"> industry grouping (table C.2). New measures were </w:t>
      </w:r>
      <w:r w:rsidR="00077EA3" w:rsidRPr="00387321">
        <w:rPr>
          <w:i/>
        </w:rPr>
        <w:t>imposed</w:t>
      </w:r>
      <w:r w:rsidR="00077EA3">
        <w:t xml:space="preserve"> about 43 per cent of the time in response to all investigations.</w:t>
      </w:r>
    </w:p>
    <w:p w:rsidR="006B1448" w:rsidRDefault="00626965" w:rsidP="00626965">
      <w:pPr>
        <w:pStyle w:val="FigureTitle"/>
        <w:rPr>
          <w:rStyle w:val="NoteLabel"/>
          <w:b/>
        </w:rPr>
      </w:pPr>
      <w:r>
        <w:rPr>
          <w:b w:val="0"/>
        </w:rPr>
        <w:t xml:space="preserve">Figure </w:t>
      </w:r>
      <w:r>
        <w:rPr>
          <w:b w:val="0"/>
        </w:rPr>
        <w:fldChar w:fldCharType="begin"/>
      </w:r>
      <w:r>
        <w:rPr>
          <w:b w:val="0"/>
        </w:rPr>
        <w:instrText xml:space="preserve"> COMMENTS  \* MERGEFORMAT </w:instrText>
      </w:r>
      <w:r>
        <w:rPr>
          <w:b w:val="0"/>
        </w:rPr>
        <w:fldChar w:fldCharType="separate"/>
      </w:r>
      <w:r w:rsidR="00DC4DC3">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346B76">
        <w:rPr>
          <w:b w:val="0"/>
          <w:noProof/>
        </w:rPr>
        <w:t>1</w:t>
      </w:r>
      <w:r>
        <w:rPr>
          <w:b w:val="0"/>
        </w:rPr>
        <w:fldChar w:fldCharType="end"/>
      </w:r>
      <w:r>
        <w:tab/>
      </w:r>
      <w:bookmarkStart w:id="6" w:name="_Toc318140217"/>
      <w:r w:rsidR="006B1448">
        <w:t>Australian a</w:t>
      </w:r>
      <w:r w:rsidR="006B1448" w:rsidRPr="004E4704">
        <w:t>nti-dumping and countervailing activity</w:t>
      </w:r>
      <w:r w:rsidR="006B1448">
        <w:t>,</w:t>
      </w:r>
      <w:r w:rsidR="006B1448" w:rsidRPr="004E4704">
        <w:t xml:space="preserve"> 19</w:t>
      </w:r>
      <w:r w:rsidR="006B1448">
        <w:t>78</w:t>
      </w:r>
      <w:r w:rsidR="006B1448">
        <w:noBreakHyphen/>
        <w:t>79</w:t>
      </w:r>
      <w:r w:rsidR="006B1448" w:rsidRPr="004E4704">
        <w:t xml:space="preserve"> to 20</w:t>
      </w:r>
      <w:r w:rsidR="006B1448">
        <w:t>1</w:t>
      </w:r>
      <w:r w:rsidR="00EB45E5">
        <w:t>1</w:t>
      </w:r>
      <w:r w:rsidR="006B1448">
        <w:noBreakHyphen/>
        <w:t>12</w:t>
      </w:r>
      <w:r w:rsidR="006B1448" w:rsidRPr="00DC4DC3">
        <w:rPr>
          <w:rStyle w:val="NoteLabel"/>
        </w:rPr>
        <w:t>ab</w:t>
      </w:r>
      <w:bookmarkEnd w:id="6"/>
      <w:r w:rsidR="0061574B">
        <w:rPr>
          <w:rStyle w:val="NoteLabel"/>
          <w:b/>
        </w:rP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1119A" w:rsidTr="004338BB">
        <w:tc>
          <w:tcPr>
            <w:tcW w:w="8777" w:type="dxa"/>
          </w:tcPr>
          <w:p w:rsidR="0001119A" w:rsidRDefault="000509F0" w:rsidP="00DC4DC3">
            <w:pPr>
              <w:pStyle w:val="Figure"/>
            </w:pPr>
            <w:r>
              <w:rPr>
                <w:noProof/>
              </w:rPr>
              <w:drawing>
                <wp:inline distT="0" distB="0" distL="0" distR="0">
                  <wp:extent cx="5689600" cy="3460750"/>
                  <wp:effectExtent l="0" t="0" r="6350" b="6350"/>
                  <wp:docPr id="1" name="Picture 1" descr="Figure C.1 Australian anti-dumping and countervailing activity 1978-79 to 2011-12. This figure is decribe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9600" cy="3460750"/>
                          </a:xfrm>
                          <a:prstGeom prst="rect">
                            <a:avLst/>
                          </a:prstGeom>
                          <a:noFill/>
                          <a:ln>
                            <a:noFill/>
                          </a:ln>
                        </pic:spPr>
                      </pic:pic>
                    </a:graphicData>
                  </a:graphic>
                </wp:inline>
              </w:drawing>
            </w:r>
          </w:p>
        </w:tc>
      </w:tr>
    </w:tbl>
    <w:p w:rsidR="006B1448" w:rsidRPr="004E4704" w:rsidRDefault="006B1448" w:rsidP="006B1448">
      <w:pPr>
        <w:pStyle w:val="Note"/>
        <w:spacing w:before="120" w:line="240" w:lineRule="atLeast"/>
      </w:pPr>
      <w:r w:rsidRPr="004E4704">
        <w:rPr>
          <w:rStyle w:val="NoteLabel"/>
        </w:rPr>
        <w:t>a</w:t>
      </w:r>
      <w:r w:rsidRPr="004E4704">
        <w:sym w:font="Symbol" w:char="F020"/>
      </w:r>
      <w:r>
        <w:t xml:space="preserve"> </w:t>
      </w:r>
      <w:r w:rsidRPr="004E4704">
        <w:t>A</w:t>
      </w:r>
      <w:r>
        <w:t xml:space="preserve">n investigation or measure is recorded as an action </w:t>
      </w:r>
      <w:r w:rsidRPr="004E4704">
        <w:t xml:space="preserve">applying to one commodity from one economy. If multiple economies are involved, they are </w:t>
      </w:r>
      <w:r>
        <w:t>treated</w:t>
      </w:r>
      <w:r w:rsidRPr="004E4704">
        <w:t xml:space="preserve"> as separate actions.</w:t>
      </w:r>
      <w:r>
        <w:t xml:space="preserve">  </w:t>
      </w:r>
      <w:r w:rsidRPr="00C51D5F">
        <w:rPr>
          <w:rStyle w:val="NoteLabel"/>
        </w:rPr>
        <w:t>b</w:t>
      </w:r>
      <w:r>
        <w:t xml:space="preserve"> New investigations refer to investigations by Customs and Border Protection of complaint cases that have met the screening requirements. The number of complaints raised by industry may be greater.</w:t>
      </w:r>
    </w:p>
    <w:p w:rsidR="0001119A" w:rsidRDefault="006B1448" w:rsidP="0001119A">
      <w:pPr>
        <w:pStyle w:val="Source"/>
      </w:pPr>
      <w:r w:rsidRPr="004E4704">
        <w:rPr>
          <w:i/>
        </w:rPr>
        <w:t>Source:</w:t>
      </w:r>
      <w:r>
        <w:rPr>
          <w:i/>
        </w:rPr>
        <w:t xml:space="preserve"> </w:t>
      </w:r>
      <w:r>
        <w:t>ACS (2012)</w:t>
      </w:r>
      <w:r w:rsidRPr="004E4704">
        <w:t>.</w:t>
      </w:r>
      <w:r w:rsidR="00402EAE">
        <w:t xml:space="preserve"> </w:t>
      </w:r>
    </w:p>
    <w:p w:rsidR="006C3A35" w:rsidRDefault="00626965" w:rsidP="006C3A35">
      <w:pPr>
        <w:pStyle w:val="TableTitle"/>
      </w:pPr>
      <w:bookmarkStart w:id="7" w:name="_Toc318140219"/>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DC4DC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346B76">
        <w:rPr>
          <w:b w:val="0"/>
          <w:noProof/>
        </w:rPr>
        <w:t>2</w:t>
      </w:r>
      <w:r>
        <w:rPr>
          <w:b w:val="0"/>
        </w:rPr>
        <w:fldChar w:fldCharType="end"/>
      </w:r>
      <w:r>
        <w:tab/>
      </w:r>
      <w:r w:rsidR="006C3A35">
        <w:t>Australian anti-dumping and countervailing new investigations, 200</w:t>
      </w:r>
      <w:r w:rsidR="006B1448">
        <w:t>2</w:t>
      </w:r>
      <w:r w:rsidR="006C3A35">
        <w:noBreakHyphen/>
        <w:t>0</w:t>
      </w:r>
      <w:r w:rsidR="006B1448">
        <w:t>3</w:t>
      </w:r>
      <w:r w:rsidR="006C3A35">
        <w:t xml:space="preserve"> to 201</w:t>
      </w:r>
      <w:r w:rsidR="006B1448">
        <w:t>1</w:t>
      </w:r>
      <w:r w:rsidR="006C3A35">
        <w:noBreakHyphen/>
        <w:t>1</w:t>
      </w:r>
      <w:r w:rsidR="006B1448">
        <w:t>2</w:t>
      </w:r>
      <w:r w:rsidR="006C3A35" w:rsidRPr="00DC4DC3">
        <w:rPr>
          <w:rStyle w:val="NoteLabel"/>
        </w:rPr>
        <w:t>a</w:t>
      </w:r>
      <w:bookmarkEnd w:id="7"/>
    </w:p>
    <w:tbl>
      <w:tblPr>
        <w:tblW w:w="8790" w:type="dxa"/>
        <w:tblLayout w:type="fixed"/>
        <w:tblCellMar>
          <w:left w:w="0" w:type="dxa"/>
          <w:right w:w="0" w:type="dxa"/>
        </w:tblCellMar>
        <w:tblLook w:val="0000" w:firstRow="0" w:lastRow="0" w:firstColumn="0" w:lastColumn="0" w:noHBand="0" w:noVBand="0"/>
      </w:tblPr>
      <w:tblGrid>
        <w:gridCol w:w="3828"/>
        <w:gridCol w:w="992"/>
        <w:gridCol w:w="992"/>
        <w:gridCol w:w="992"/>
        <w:gridCol w:w="993"/>
        <w:gridCol w:w="993"/>
      </w:tblGrid>
      <w:tr w:rsidR="006B1448" w:rsidTr="006B1448">
        <w:tc>
          <w:tcPr>
            <w:tcW w:w="3828" w:type="dxa"/>
            <w:tcBorders>
              <w:top w:val="single" w:sz="6" w:space="0" w:color="auto"/>
            </w:tcBorders>
            <w:shd w:val="clear" w:color="auto" w:fill="auto"/>
          </w:tcPr>
          <w:p w:rsidR="006B1448" w:rsidRDefault="006B1448" w:rsidP="006B1448">
            <w:pPr>
              <w:pStyle w:val="TableColumnHeading"/>
              <w:ind w:left="57" w:right="57"/>
              <w:jc w:val="left"/>
              <w:rPr>
                <w:szCs w:val="24"/>
              </w:rPr>
            </w:pPr>
          </w:p>
        </w:tc>
        <w:tc>
          <w:tcPr>
            <w:tcW w:w="992" w:type="dxa"/>
            <w:tcBorders>
              <w:top w:val="single" w:sz="6" w:space="0" w:color="auto"/>
            </w:tcBorders>
            <w:shd w:val="clear" w:color="auto" w:fill="auto"/>
          </w:tcPr>
          <w:p w:rsidR="006B1448" w:rsidRDefault="006B1448" w:rsidP="006B1448">
            <w:pPr>
              <w:pStyle w:val="TableColumnHeading"/>
              <w:ind w:left="57" w:right="57"/>
              <w:rPr>
                <w:szCs w:val="24"/>
              </w:rPr>
            </w:pPr>
          </w:p>
        </w:tc>
        <w:tc>
          <w:tcPr>
            <w:tcW w:w="992" w:type="dxa"/>
            <w:tcBorders>
              <w:top w:val="single" w:sz="6" w:space="0" w:color="auto"/>
            </w:tcBorders>
          </w:tcPr>
          <w:p w:rsidR="006B1448" w:rsidRDefault="006B1448" w:rsidP="006B1448">
            <w:pPr>
              <w:pStyle w:val="TableColumnHeading"/>
              <w:ind w:left="57" w:right="57"/>
              <w:rPr>
                <w:szCs w:val="24"/>
              </w:rPr>
            </w:pPr>
          </w:p>
        </w:tc>
        <w:tc>
          <w:tcPr>
            <w:tcW w:w="992" w:type="dxa"/>
            <w:tcBorders>
              <w:top w:val="single" w:sz="6" w:space="0" w:color="auto"/>
            </w:tcBorders>
            <w:shd w:val="clear" w:color="auto" w:fill="auto"/>
          </w:tcPr>
          <w:p w:rsidR="006B1448" w:rsidRDefault="006B1448" w:rsidP="006B1448">
            <w:pPr>
              <w:pStyle w:val="TableColumnHeading"/>
              <w:ind w:left="57" w:right="57"/>
              <w:rPr>
                <w:szCs w:val="24"/>
              </w:rPr>
            </w:pPr>
          </w:p>
        </w:tc>
        <w:tc>
          <w:tcPr>
            <w:tcW w:w="1986" w:type="dxa"/>
            <w:gridSpan w:val="2"/>
            <w:tcBorders>
              <w:top w:val="single" w:sz="6" w:space="0" w:color="auto"/>
              <w:bottom w:val="single" w:sz="6" w:space="0" w:color="auto"/>
            </w:tcBorders>
            <w:shd w:val="clear" w:color="auto" w:fill="auto"/>
            <w:vAlign w:val="center"/>
          </w:tcPr>
          <w:p w:rsidR="006B1448" w:rsidRDefault="006B1448" w:rsidP="006B1448">
            <w:pPr>
              <w:pStyle w:val="TableColumnHeading"/>
              <w:ind w:left="57" w:right="57"/>
              <w:jc w:val="center"/>
            </w:pPr>
            <w:r>
              <w:rPr>
                <w:rFonts w:cs="Arial"/>
                <w:i w:val="0"/>
                <w:iCs/>
              </w:rPr>
              <w:t>2002-03 to 2011-12</w:t>
            </w:r>
          </w:p>
        </w:tc>
      </w:tr>
      <w:tr w:rsidR="006B1448" w:rsidTr="006B1448">
        <w:tc>
          <w:tcPr>
            <w:tcW w:w="3828" w:type="dxa"/>
            <w:tcBorders>
              <w:bottom w:val="single" w:sz="6" w:space="0" w:color="auto"/>
            </w:tcBorders>
            <w:shd w:val="clear" w:color="auto" w:fill="auto"/>
            <w:vAlign w:val="bottom"/>
          </w:tcPr>
          <w:p w:rsidR="006B1448" w:rsidRDefault="006B1448" w:rsidP="006B1448">
            <w:pPr>
              <w:pStyle w:val="TableColumnHeading"/>
              <w:ind w:left="57" w:right="57"/>
              <w:jc w:val="left"/>
            </w:pPr>
            <w:r>
              <w:t>Industry grouping</w:t>
            </w:r>
          </w:p>
        </w:tc>
        <w:tc>
          <w:tcPr>
            <w:tcW w:w="992" w:type="dxa"/>
            <w:tcBorders>
              <w:bottom w:val="single" w:sz="6" w:space="0" w:color="auto"/>
            </w:tcBorders>
            <w:shd w:val="clear" w:color="auto" w:fill="auto"/>
            <w:vAlign w:val="center"/>
          </w:tcPr>
          <w:p w:rsidR="006B1448" w:rsidRDefault="006B1448" w:rsidP="006B1448">
            <w:pPr>
              <w:pStyle w:val="TableColumnHeading"/>
              <w:ind w:left="57" w:right="57"/>
              <w:rPr>
                <w:i w:val="0"/>
              </w:rPr>
            </w:pPr>
            <w:r>
              <w:rPr>
                <w:rFonts w:cs="Arial"/>
                <w:i w:val="0"/>
                <w:iCs/>
              </w:rPr>
              <w:t>2009-10</w:t>
            </w:r>
          </w:p>
        </w:tc>
        <w:tc>
          <w:tcPr>
            <w:tcW w:w="992" w:type="dxa"/>
            <w:tcBorders>
              <w:bottom w:val="single" w:sz="6" w:space="0" w:color="auto"/>
            </w:tcBorders>
            <w:vAlign w:val="center"/>
          </w:tcPr>
          <w:p w:rsidR="006B1448" w:rsidRDefault="006B1448" w:rsidP="006B1448">
            <w:pPr>
              <w:pStyle w:val="TableColumnHeading"/>
              <w:ind w:left="57" w:right="57"/>
              <w:rPr>
                <w:i w:val="0"/>
              </w:rPr>
            </w:pPr>
            <w:r>
              <w:rPr>
                <w:rFonts w:cs="Arial"/>
                <w:i w:val="0"/>
                <w:iCs/>
              </w:rPr>
              <w:t>2010-11</w:t>
            </w:r>
          </w:p>
        </w:tc>
        <w:tc>
          <w:tcPr>
            <w:tcW w:w="992" w:type="dxa"/>
            <w:tcBorders>
              <w:bottom w:val="single" w:sz="6" w:space="0" w:color="auto"/>
            </w:tcBorders>
            <w:shd w:val="clear" w:color="auto" w:fill="auto"/>
            <w:vAlign w:val="center"/>
          </w:tcPr>
          <w:p w:rsidR="006B1448" w:rsidRDefault="006B1448" w:rsidP="006B1448">
            <w:pPr>
              <w:pStyle w:val="TableColumnHeading"/>
              <w:ind w:left="57" w:right="57"/>
              <w:rPr>
                <w:i w:val="0"/>
              </w:rPr>
            </w:pPr>
            <w:r>
              <w:rPr>
                <w:rFonts w:cs="Arial"/>
                <w:i w:val="0"/>
                <w:iCs/>
              </w:rPr>
              <w:t>2011-12</w:t>
            </w:r>
          </w:p>
        </w:tc>
        <w:tc>
          <w:tcPr>
            <w:tcW w:w="993" w:type="dxa"/>
            <w:tcBorders>
              <w:top w:val="single" w:sz="6" w:space="0" w:color="auto"/>
              <w:bottom w:val="single" w:sz="6" w:space="0" w:color="auto"/>
            </w:tcBorders>
            <w:shd w:val="clear" w:color="auto" w:fill="auto"/>
            <w:vAlign w:val="bottom"/>
          </w:tcPr>
          <w:p w:rsidR="006B1448" w:rsidRDefault="006B1448" w:rsidP="006B1448">
            <w:pPr>
              <w:pStyle w:val="TableColumnHeading"/>
              <w:ind w:left="57" w:right="57"/>
              <w:rPr>
                <w:i w:val="0"/>
              </w:rPr>
            </w:pPr>
            <w:r>
              <w:t>Number of cases</w:t>
            </w:r>
          </w:p>
        </w:tc>
        <w:tc>
          <w:tcPr>
            <w:tcW w:w="993" w:type="dxa"/>
            <w:tcBorders>
              <w:top w:val="single" w:sz="6" w:space="0" w:color="auto"/>
              <w:bottom w:val="single" w:sz="6" w:space="0" w:color="auto"/>
            </w:tcBorders>
            <w:shd w:val="clear" w:color="auto" w:fill="auto"/>
            <w:vAlign w:val="bottom"/>
          </w:tcPr>
          <w:p w:rsidR="006B1448" w:rsidRDefault="006B1448" w:rsidP="006B1448">
            <w:pPr>
              <w:pStyle w:val="TableColumnHeading"/>
              <w:ind w:left="57" w:right="57"/>
              <w:rPr>
                <w:i w:val="0"/>
              </w:rPr>
            </w:pPr>
            <w:r>
              <w:t xml:space="preserve">Per cent of total  </w:t>
            </w:r>
          </w:p>
        </w:tc>
      </w:tr>
      <w:tr w:rsidR="006B1448" w:rsidTr="006B1448">
        <w:tc>
          <w:tcPr>
            <w:tcW w:w="3828" w:type="dxa"/>
            <w:tcBorders>
              <w:top w:val="single" w:sz="6" w:space="0" w:color="auto"/>
            </w:tcBorders>
          </w:tcPr>
          <w:p w:rsidR="006B1448" w:rsidRDefault="006B1448" w:rsidP="006B1448">
            <w:pPr>
              <w:pStyle w:val="TableBodyText"/>
              <w:jc w:val="left"/>
              <w:rPr>
                <w:szCs w:val="24"/>
              </w:rPr>
            </w:pPr>
            <w:r>
              <w:t xml:space="preserve">Food, beverages and tobacco </w:t>
            </w:r>
          </w:p>
        </w:tc>
        <w:tc>
          <w:tcPr>
            <w:tcW w:w="992" w:type="dxa"/>
            <w:tcBorders>
              <w:top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w:t>
            </w:r>
          </w:p>
        </w:tc>
        <w:tc>
          <w:tcPr>
            <w:tcW w:w="992" w:type="dxa"/>
            <w:tcBorders>
              <w:top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w:t>
            </w:r>
          </w:p>
        </w:tc>
        <w:tc>
          <w:tcPr>
            <w:tcW w:w="992" w:type="dxa"/>
            <w:tcBorders>
              <w:top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0</w:t>
            </w:r>
          </w:p>
        </w:tc>
        <w:tc>
          <w:tcPr>
            <w:tcW w:w="993" w:type="dxa"/>
            <w:tcBorders>
              <w:top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15</w:t>
            </w:r>
          </w:p>
        </w:tc>
        <w:tc>
          <w:tcPr>
            <w:tcW w:w="993" w:type="dxa"/>
            <w:tcBorders>
              <w:top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15</w:t>
            </w:r>
          </w:p>
        </w:tc>
      </w:tr>
      <w:tr w:rsidR="006B1448" w:rsidTr="006B1448">
        <w:tc>
          <w:tcPr>
            <w:tcW w:w="3828" w:type="dxa"/>
          </w:tcPr>
          <w:p w:rsidR="006B1448" w:rsidRDefault="006B1448" w:rsidP="006B1448">
            <w:pPr>
              <w:pStyle w:val="TableBodyText"/>
              <w:jc w:val="left"/>
              <w:rPr>
                <w:i/>
              </w:rPr>
            </w:pPr>
            <w:r>
              <w:t>Wood and paper products</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5</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0</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8</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19</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18</w:t>
            </w:r>
          </w:p>
        </w:tc>
      </w:tr>
      <w:tr w:rsidR="006B1448" w:rsidTr="006B1448">
        <w:tc>
          <w:tcPr>
            <w:tcW w:w="3828" w:type="dxa"/>
          </w:tcPr>
          <w:p w:rsidR="006B1448" w:rsidRDefault="006B1448" w:rsidP="006B1448">
            <w:pPr>
              <w:pStyle w:val="TableBodyText"/>
              <w:jc w:val="left"/>
              <w:rPr>
                <w:i/>
              </w:rPr>
            </w:pPr>
            <w:r>
              <w:t>Petroleum, coal, chemical and associated products</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3</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26</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25</w:t>
            </w:r>
          </w:p>
        </w:tc>
      </w:tr>
      <w:tr w:rsidR="006B1448" w:rsidTr="006B1448">
        <w:tc>
          <w:tcPr>
            <w:tcW w:w="3828" w:type="dxa"/>
          </w:tcPr>
          <w:p w:rsidR="006B1448" w:rsidRDefault="006B1448" w:rsidP="006B1448">
            <w:pPr>
              <w:pStyle w:val="TableBodyText"/>
              <w:jc w:val="left"/>
              <w:rPr>
                <w:i/>
              </w:rPr>
            </w:pPr>
            <w:r>
              <w:t>Non-metallic mineral products</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4</w:t>
            </w:r>
          </w:p>
        </w:tc>
        <w:tc>
          <w:tcPr>
            <w:tcW w:w="992" w:type="dxa"/>
            <w:vAlign w:val="bottom"/>
          </w:tcPr>
          <w:p w:rsidR="006B1448" w:rsidRDefault="006B1448" w:rsidP="006B1448">
            <w:pPr>
              <w:pStyle w:val="TableBodyText"/>
              <w:ind w:left="57" w:right="57"/>
              <w:jc w:val="center"/>
              <w:rPr>
                <w:rFonts w:cs="Arial"/>
                <w:i/>
              </w:rPr>
            </w:pPr>
            <w:r>
              <w:rPr>
                <w:rFonts w:cs="Arial"/>
                <w:i/>
              </w:rPr>
              <w:t>̶</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9</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9</w:t>
            </w:r>
          </w:p>
        </w:tc>
      </w:tr>
      <w:tr w:rsidR="006B1448" w:rsidTr="006B1448">
        <w:tc>
          <w:tcPr>
            <w:tcW w:w="3828" w:type="dxa"/>
          </w:tcPr>
          <w:p w:rsidR="006B1448" w:rsidRDefault="006B1448" w:rsidP="006B1448">
            <w:pPr>
              <w:pStyle w:val="TableBodyText"/>
              <w:jc w:val="left"/>
              <w:rPr>
                <w:i/>
              </w:rPr>
            </w:pPr>
            <w:r>
              <w:t>Metal product manufacturing</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w:t>
            </w:r>
          </w:p>
        </w:tc>
        <w:tc>
          <w:tcPr>
            <w:tcW w:w="992" w:type="dxa"/>
            <w:vAlign w:val="bottom"/>
          </w:tcPr>
          <w:p w:rsidR="006B1448" w:rsidRDefault="006B1448" w:rsidP="006B1448">
            <w:pPr>
              <w:pStyle w:val="TableBodyText"/>
              <w:ind w:left="57" w:right="57"/>
              <w:jc w:val="center"/>
              <w:rPr>
                <w:rFonts w:cs="Arial"/>
                <w:i/>
              </w:rPr>
            </w:pPr>
            <w:r>
              <w:rPr>
                <w:rFonts w:cs="Arial"/>
                <w:i/>
              </w:rPr>
              <w:t>̶</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9</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28</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27</w:t>
            </w:r>
          </w:p>
        </w:tc>
      </w:tr>
      <w:tr w:rsidR="006B1448" w:rsidTr="006B1448">
        <w:tc>
          <w:tcPr>
            <w:tcW w:w="3828" w:type="dxa"/>
          </w:tcPr>
          <w:p w:rsidR="006B1448" w:rsidRDefault="006B1448" w:rsidP="006B1448">
            <w:pPr>
              <w:pStyle w:val="TableBodyText"/>
              <w:jc w:val="left"/>
              <w:rPr>
                <w:i/>
              </w:rPr>
            </w:pPr>
            <w:r>
              <w:t>Machinery and equipment manufacturing</w:t>
            </w:r>
          </w:p>
        </w:tc>
        <w:tc>
          <w:tcPr>
            <w:tcW w:w="992" w:type="dxa"/>
            <w:vAlign w:val="bottom"/>
          </w:tcPr>
          <w:p w:rsidR="006B1448" w:rsidRDefault="006B1448" w:rsidP="006B1448">
            <w:pPr>
              <w:pStyle w:val="TableBodyText"/>
              <w:ind w:left="57" w:right="57"/>
              <w:jc w:val="center"/>
              <w:rPr>
                <w:rFonts w:cs="Arial"/>
                <w:i/>
              </w:rPr>
            </w:pPr>
            <w:r>
              <w:rPr>
                <w:rFonts w:cs="Arial"/>
                <w:i/>
              </w:rPr>
              <w:t>̶</w:t>
            </w:r>
          </w:p>
        </w:tc>
        <w:tc>
          <w:tcPr>
            <w:tcW w:w="992" w:type="dxa"/>
            <w:vAlign w:val="bottom"/>
          </w:tcPr>
          <w:p w:rsidR="006B1448" w:rsidRDefault="006B1448" w:rsidP="006B1448">
            <w:pPr>
              <w:pStyle w:val="TableBodyText"/>
              <w:ind w:left="57" w:right="57"/>
              <w:jc w:val="center"/>
              <w:rPr>
                <w:rFonts w:cs="Arial"/>
                <w:i/>
              </w:rPr>
            </w:pPr>
            <w:r>
              <w:rPr>
                <w:rFonts w:cs="Arial"/>
                <w:i/>
              </w:rPr>
              <w:t>̶</w:t>
            </w:r>
          </w:p>
        </w:tc>
        <w:tc>
          <w:tcPr>
            <w:tcW w:w="992"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6</w:t>
            </w:r>
          </w:p>
        </w:tc>
        <w:tc>
          <w:tcPr>
            <w:tcW w:w="993" w:type="dxa"/>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6</w:t>
            </w:r>
          </w:p>
        </w:tc>
      </w:tr>
      <w:tr w:rsidR="006B1448" w:rsidTr="006B1448">
        <w:tc>
          <w:tcPr>
            <w:tcW w:w="3828" w:type="dxa"/>
            <w:tcBorders>
              <w:bottom w:val="single" w:sz="6" w:space="0" w:color="auto"/>
            </w:tcBorders>
            <w:shd w:val="clear" w:color="auto" w:fill="auto"/>
          </w:tcPr>
          <w:p w:rsidR="006B1448" w:rsidRPr="004A1AA4" w:rsidRDefault="006B1448" w:rsidP="006B1448">
            <w:pPr>
              <w:pStyle w:val="TableBodyText"/>
              <w:jc w:val="left"/>
              <w:rPr>
                <w:b/>
                <w:i/>
              </w:rPr>
            </w:pPr>
            <w:r w:rsidRPr="004A1AA4">
              <w:rPr>
                <w:b/>
              </w:rPr>
              <w:t>Total</w:t>
            </w:r>
          </w:p>
        </w:tc>
        <w:tc>
          <w:tcPr>
            <w:tcW w:w="992" w:type="dxa"/>
            <w:tcBorders>
              <w:bottom w:val="single" w:sz="6" w:space="0" w:color="auto"/>
            </w:tcBorders>
            <w:shd w:val="clear" w:color="auto" w:fill="auto"/>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13</w:t>
            </w:r>
          </w:p>
        </w:tc>
        <w:tc>
          <w:tcPr>
            <w:tcW w:w="992" w:type="dxa"/>
            <w:tcBorders>
              <w:bottom w:val="single" w:sz="6" w:space="0" w:color="auto"/>
            </w:tcBorders>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5</w:t>
            </w:r>
          </w:p>
        </w:tc>
        <w:tc>
          <w:tcPr>
            <w:tcW w:w="992" w:type="dxa"/>
            <w:tcBorders>
              <w:bottom w:val="single" w:sz="6" w:space="0" w:color="auto"/>
            </w:tcBorders>
            <w:shd w:val="clear" w:color="auto" w:fill="auto"/>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22</w:t>
            </w:r>
          </w:p>
        </w:tc>
        <w:tc>
          <w:tcPr>
            <w:tcW w:w="993" w:type="dxa"/>
            <w:tcBorders>
              <w:bottom w:val="single" w:sz="6" w:space="0" w:color="auto"/>
            </w:tcBorders>
            <w:shd w:val="clear" w:color="auto" w:fill="auto"/>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103</w:t>
            </w:r>
          </w:p>
        </w:tc>
        <w:tc>
          <w:tcPr>
            <w:tcW w:w="993" w:type="dxa"/>
            <w:tcBorders>
              <w:bottom w:val="single" w:sz="6" w:space="0" w:color="auto"/>
            </w:tcBorders>
            <w:shd w:val="clear" w:color="auto" w:fill="auto"/>
            <w:vAlign w:val="bottom"/>
          </w:tcPr>
          <w:p w:rsidR="006B1448" w:rsidRDefault="006B1448" w:rsidP="006B1448">
            <w:pPr>
              <w:pStyle w:val="TableBodyText"/>
              <w:ind w:left="57" w:right="57"/>
              <w:jc w:val="center"/>
              <w:rPr>
                <w:rFonts w:cs="Arial"/>
                <w:i/>
              </w:rPr>
            </w:pPr>
            <w:r>
              <w:rPr>
                <w:rFonts w:ascii="Calibri" w:hAnsi="Calibri" w:cs="Calibri"/>
                <w:color w:val="000000"/>
                <w:sz w:val="22"/>
                <w:szCs w:val="22"/>
              </w:rPr>
              <w:t>100</w:t>
            </w:r>
          </w:p>
        </w:tc>
      </w:tr>
    </w:tbl>
    <w:p w:rsidR="006B1448" w:rsidRDefault="006B1448" w:rsidP="006B1448">
      <w:pPr>
        <w:pStyle w:val="Note"/>
      </w:pPr>
      <w:r>
        <w:t>–</w:t>
      </w:r>
      <w:r w:rsidRPr="004A1AA4">
        <w:t xml:space="preserve"> Nil.</w:t>
      </w:r>
      <w:r>
        <w:t xml:space="preserve">  </w:t>
      </w:r>
      <w:r w:rsidRPr="008B1113">
        <w:rPr>
          <w:rStyle w:val="NoteLabel"/>
        </w:rPr>
        <w:t>a</w:t>
      </w:r>
      <w:r w:rsidRPr="00124678">
        <w:t xml:space="preserve"> </w:t>
      </w:r>
      <w:r>
        <w:t>Formal investigations by Customs. Complaints by industry must meet certain requirements before investigations are initiated. Initiations are recorded as investigations of one commodity from one economy.</w:t>
      </w:r>
      <w:r>
        <w:sym w:font="Wingdings" w:char="F020"/>
      </w:r>
      <w:r>
        <w:t xml:space="preserve">Cases where dumping and subsidisation are alleged for the same economy and commodity are counted as two distinct initiations. </w:t>
      </w:r>
    </w:p>
    <w:p w:rsidR="006B1448" w:rsidRDefault="006B1448" w:rsidP="006B1448">
      <w:pPr>
        <w:pStyle w:val="Source"/>
        <w:jc w:val="left"/>
      </w:pPr>
      <w:r>
        <w:rPr>
          <w:i/>
        </w:rPr>
        <w:t>Source</w:t>
      </w:r>
      <w:r>
        <w:t>: ACS (201</w:t>
      </w:r>
      <w:r w:rsidR="001E392D">
        <w:t>2</w:t>
      </w:r>
      <w:r>
        <w:t xml:space="preserve">). </w:t>
      </w:r>
    </w:p>
    <w:p w:rsidR="006C3A35" w:rsidRDefault="006C3A35" w:rsidP="006C3A35">
      <w:pPr>
        <w:pStyle w:val="BodyText"/>
        <w:spacing w:before="200"/>
      </w:pPr>
      <w:r>
        <w:t xml:space="preserve">The </w:t>
      </w:r>
      <w:r w:rsidRPr="003E7D11">
        <w:t xml:space="preserve">anti-dumping and countervailing activity </w:t>
      </w:r>
      <w:r>
        <w:t>initiated over the decade to 201</w:t>
      </w:r>
      <w:r w:rsidR="008058D1">
        <w:t>1</w:t>
      </w:r>
      <w:r>
        <w:noBreakHyphen/>
        <w:t>1</w:t>
      </w:r>
      <w:r w:rsidR="008058D1">
        <w:t>2</w:t>
      </w:r>
      <w:r>
        <w:t xml:space="preserve"> was </w:t>
      </w:r>
      <w:r w:rsidRPr="003E7D11">
        <w:t xml:space="preserve">against </w:t>
      </w:r>
      <w:r>
        <w:t>more than</w:t>
      </w:r>
      <w:r w:rsidRPr="003E7D11">
        <w:t xml:space="preserve"> 25 countries</w:t>
      </w:r>
      <w:r>
        <w:t xml:space="preserve"> (table C.3)</w:t>
      </w:r>
      <w:r w:rsidRPr="003E7D11">
        <w:t>.</w:t>
      </w:r>
      <w:r>
        <w:t xml:space="preserve"> Over this period, t</w:t>
      </w:r>
      <w:r w:rsidRPr="00BF50F4">
        <w:t>here has been a</w:t>
      </w:r>
      <w:r>
        <w:t xml:space="preserve"> consistently higher </w:t>
      </w:r>
      <w:r w:rsidRPr="00BF50F4">
        <w:t>concentration of initiations and measures against suppliers from the Asian region</w:t>
      </w:r>
      <w:r>
        <w:t xml:space="preserve"> compared to the earlier decades</w:t>
      </w:r>
      <w:r w:rsidRPr="00BF50F4">
        <w:t xml:space="preserve">. Of the </w:t>
      </w:r>
      <w:r w:rsidR="008058D1">
        <w:t>22</w:t>
      </w:r>
      <w:r w:rsidRPr="00BF50F4">
        <w:t xml:space="preserve"> </w:t>
      </w:r>
      <w:r w:rsidR="008058D1">
        <w:t xml:space="preserve">investigations </w:t>
      </w:r>
      <w:r>
        <w:t>in 201</w:t>
      </w:r>
      <w:r w:rsidR="008058D1">
        <w:t>1</w:t>
      </w:r>
      <w:r>
        <w:noBreakHyphen/>
        <w:t>1</w:t>
      </w:r>
      <w:r w:rsidR="008058D1">
        <w:t>2</w:t>
      </w:r>
      <w:r>
        <w:t xml:space="preserve">, </w:t>
      </w:r>
      <w:r w:rsidR="008058D1">
        <w:t xml:space="preserve">14 relate to imports from </w:t>
      </w:r>
      <w:r>
        <w:t>Asia</w:t>
      </w:r>
      <w:r w:rsidRPr="003E7D11">
        <w:t>.</w:t>
      </w:r>
    </w:p>
    <w:p w:rsidR="006C3A35" w:rsidRDefault="00626965" w:rsidP="006C3A35">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DC4DC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346B76">
        <w:rPr>
          <w:b w:val="0"/>
          <w:noProof/>
        </w:rPr>
        <w:t>3</w:t>
      </w:r>
      <w:r>
        <w:rPr>
          <w:b w:val="0"/>
        </w:rPr>
        <w:fldChar w:fldCharType="end"/>
      </w:r>
      <w:r>
        <w:tab/>
      </w:r>
      <w:r w:rsidR="006C3A35" w:rsidRPr="006F7C3F">
        <w:t>Australian initiations of anti-dumping and countervailing cases by trading region and economy</w:t>
      </w:r>
      <w:r w:rsidR="006C3A35">
        <w:t>, 200</w:t>
      </w:r>
      <w:r w:rsidR="00682399">
        <w:t>2</w:t>
      </w:r>
      <w:r w:rsidR="006C3A35">
        <w:noBreakHyphen/>
        <w:t>0</w:t>
      </w:r>
      <w:r w:rsidR="00682399">
        <w:t>3</w:t>
      </w:r>
      <w:r w:rsidR="006C3A35" w:rsidRPr="006F7C3F">
        <w:t xml:space="preserve"> to 20</w:t>
      </w:r>
      <w:r w:rsidR="006C3A35">
        <w:t>1</w:t>
      </w:r>
      <w:r w:rsidR="00682399">
        <w:t>1</w:t>
      </w:r>
      <w:r w:rsidR="006C3A35">
        <w:noBreakHyphen/>
        <w:t>1</w:t>
      </w:r>
      <w:r w:rsidR="00682399">
        <w:t>2</w:t>
      </w:r>
      <w:r w:rsidR="006C3A35" w:rsidRPr="006F7C3F">
        <w:rPr>
          <w:rStyle w:val="NoteLabel"/>
          <w:b/>
        </w:rPr>
        <w:t>a</w:t>
      </w:r>
    </w:p>
    <w:tbl>
      <w:tblPr>
        <w:tblW w:w="8840" w:type="dxa"/>
        <w:tblLayout w:type="fixed"/>
        <w:tblCellMar>
          <w:left w:w="0" w:type="dxa"/>
          <w:right w:w="0" w:type="dxa"/>
        </w:tblCellMar>
        <w:tblLook w:val="0000" w:firstRow="0" w:lastRow="0" w:firstColumn="0" w:lastColumn="0" w:noHBand="0" w:noVBand="0"/>
      </w:tblPr>
      <w:tblGrid>
        <w:gridCol w:w="2977"/>
        <w:gridCol w:w="1001"/>
        <w:gridCol w:w="1001"/>
        <w:gridCol w:w="1001"/>
        <w:gridCol w:w="1430"/>
        <w:gridCol w:w="1430"/>
      </w:tblGrid>
      <w:tr w:rsidR="000815AF" w:rsidRPr="006F7C3F" w:rsidTr="008058D1">
        <w:tc>
          <w:tcPr>
            <w:tcW w:w="2977" w:type="dxa"/>
            <w:tcBorders>
              <w:top w:val="single" w:sz="6" w:space="0" w:color="auto"/>
            </w:tcBorders>
          </w:tcPr>
          <w:p w:rsidR="000815AF" w:rsidRPr="006F7C3F" w:rsidRDefault="000815AF" w:rsidP="008058D1">
            <w:pPr>
              <w:pStyle w:val="TableColumnHeading"/>
              <w:jc w:val="left"/>
            </w:pPr>
          </w:p>
        </w:tc>
        <w:tc>
          <w:tcPr>
            <w:tcW w:w="1001" w:type="dxa"/>
            <w:tcBorders>
              <w:top w:val="single" w:sz="6" w:space="0" w:color="auto"/>
            </w:tcBorders>
          </w:tcPr>
          <w:p w:rsidR="000815AF" w:rsidRPr="006F7C3F" w:rsidRDefault="000815AF" w:rsidP="008058D1">
            <w:pPr>
              <w:pStyle w:val="TableColumnHeading"/>
            </w:pPr>
          </w:p>
        </w:tc>
        <w:tc>
          <w:tcPr>
            <w:tcW w:w="1001" w:type="dxa"/>
            <w:tcBorders>
              <w:top w:val="single" w:sz="6" w:space="0" w:color="auto"/>
            </w:tcBorders>
          </w:tcPr>
          <w:p w:rsidR="000815AF" w:rsidRPr="006F7C3F" w:rsidRDefault="000815AF" w:rsidP="008058D1">
            <w:pPr>
              <w:pStyle w:val="TableColumnHeading"/>
            </w:pPr>
          </w:p>
        </w:tc>
        <w:tc>
          <w:tcPr>
            <w:tcW w:w="1001" w:type="dxa"/>
            <w:tcBorders>
              <w:top w:val="single" w:sz="6" w:space="0" w:color="auto"/>
            </w:tcBorders>
          </w:tcPr>
          <w:p w:rsidR="000815AF" w:rsidRPr="006F7C3F" w:rsidRDefault="000815AF" w:rsidP="008058D1">
            <w:pPr>
              <w:pStyle w:val="TableColumnHeading"/>
            </w:pPr>
          </w:p>
        </w:tc>
        <w:tc>
          <w:tcPr>
            <w:tcW w:w="2860" w:type="dxa"/>
            <w:gridSpan w:val="2"/>
            <w:tcBorders>
              <w:top w:val="single" w:sz="6" w:space="0" w:color="auto"/>
              <w:bottom w:val="single" w:sz="4" w:space="0" w:color="auto"/>
            </w:tcBorders>
          </w:tcPr>
          <w:p w:rsidR="000815AF" w:rsidRPr="006F7C3F" w:rsidRDefault="000815AF" w:rsidP="008058D1">
            <w:pPr>
              <w:pStyle w:val="TableColumnHeading"/>
              <w:jc w:val="center"/>
              <w:rPr>
                <w:i w:val="0"/>
              </w:rPr>
            </w:pPr>
            <w:r>
              <w:t>2002</w:t>
            </w:r>
            <w:r w:rsidRPr="00C34B01">
              <w:t>-</w:t>
            </w:r>
            <w:r>
              <w:t>03</w:t>
            </w:r>
            <w:r w:rsidRPr="00C34B01">
              <w:t xml:space="preserve"> to 20</w:t>
            </w:r>
            <w:r>
              <w:t>11</w:t>
            </w:r>
            <w:r w:rsidRPr="00C34B01">
              <w:t>-</w:t>
            </w:r>
            <w:r>
              <w:t>12</w:t>
            </w:r>
          </w:p>
        </w:tc>
      </w:tr>
      <w:tr w:rsidR="000815AF" w:rsidRPr="006F7C3F" w:rsidTr="008058D1">
        <w:tc>
          <w:tcPr>
            <w:tcW w:w="2977" w:type="dxa"/>
            <w:tcBorders>
              <w:bottom w:val="single" w:sz="6" w:space="0" w:color="auto"/>
            </w:tcBorders>
            <w:vAlign w:val="bottom"/>
          </w:tcPr>
          <w:p w:rsidR="000815AF" w:rsidRPr="006F7C3F" w:rsidRDefault="000815AF" w:rsidP="008058D1">
            <w:pPr>
              <w:pStyle w:val="TableColumnHeading"/>
              <w:spacing w:before="40" w:line="210" w:lineRule="atLeast"/>
              <w:ind w:left="0" w:right="115"/>
              <w:jc w:val="left"/>
            </w:pPr>
            <w:r w:rsidRPr="006F7C3F">
              <w:t>Region/economy</w:t>
            </w:r>
          </w:p>
        </w:tc>
        <w:tc>
          <w:tcPr>
            <w:tcW w:w="1001" w:type="dxa"/>
            <w:tcBorders>
              <w:bottom w:val="single" w:sz="6" w:space="0" w:color="auto"/>
            </w:tcBorders>
            <w:vAlign w:val="bottom"/>
          </w:tcPr>
          <w:p w:rsidR="000815AF" w:rsidRPr="006F7C3F" w:rsidRDefault="000815AF" w:rsidP="008058D1">
            <w:pPr>
              <w:pStyle w:val="TableColumnHeading"/>
              <w:spacing w:before="40" w:line="210" w:lineRule="atLeast"/>
              <w:ind w:left="0" w:right="115"/>
            </w:pPr>
            <w:r>
              <w:t>2009-10</w:t>
            </w:r>
          </w:p>
        </w:tc>
        <w:tc>
          <w:tcPr>
            <w:tcW w:w="1001" w:type="dxa"/>
            <w:tcBorders>
              <w:bottom w:val="single" w:sz="6" w:space="0" w:color="auto"/>
            </w:tcBorders>
            <w:vAlign w:val="bottom"/>
          </w:tcPr>
          <w:p w:rsidR="000815AF" w:rsidRPr="00146D3C" w:rsidRDefault="000815AF" w:rsidP="008058D1">
            <w:pPr>
              <w:pStyle w:val="TableColumnHeading"/>
              <w:spacing w:before="40" w:line="210" w:lineRule="atLeast"/>
              <w:ind w:left="0" w:right="115"/>
            </w:pPr>
            <w:r>
              <w:t>2010-11</w:t>
            </w:r>
          </w:p>
        </w:tc>
        <w:tc>
          <w:tcPr>
            <w:tcW w:w="1001" w:type="dxa"/>
            <w:tcBorders>
              <w:bottom w:val="single" w:sz="6" w:space="0" w:color="auto"/>
            </w:tcBorders>
            <w:vAlign w:val="bottom"/>
          </w:tcPr>
          <w:p w:rsidR="000815AF" w:rsidRPr="00146D3C" w:rsidRDefault="000815AF" w:rsidP="008058D1">
            <w:pPr>
              <w:pStyle w:val="TableColumnHeading"/>
              <w:spacing w:before="40" w:line="210" w:lineRule="atLeast"/>
              <w:ind w:left="0" w:right="115"/>
            </w:pPr>
            <w:r>
              <w:t>2011-12</w:t>
            </w:r>
          </w:p>
        </w:tc>
        <w:tc>
          <w:tcPr>
            <w:tcW w:w="1430" w:type="dxa"/>
            <w:tcBorders>
              <w:top w:val="single" w:sz="4" w:space="0" w:color="auto"/>
              <w:bottom w:val="single" w:sz="6" w:space="0" w:color="auto"/>
            </w:tcBorders>
            <w:vAlign w:val="bottom"/>
          </w:tcPr>
          <w:p w:rsidR="000815AF" w:rsidRPr="006F7C3F" w:rsidRDefault="000815AF" w:rsidP="008058D1">
            <w:pPr>
              <w:pStyle w:val="TableColumnHeading"/>
              <w:spacing w:before="40" w:line="210" w:lineRule="atLeast"/>
              <w:ind w:left="0" w:right="115"/>
              <w:jc w:val="center"/>
            </w:pPr>
            <w:r w:rsidRPr="006F7C3F">
              <w:t>Total</w:t>
            </w:r>
          </w:p>
        </w:tc>
        <w:tc>
          <w:tcPr>
            <w:tcW w:w="1430" w:type="dxa"/>
            <w:tcBorders>
              <w:top w:val="single" w:sz="4" w:space="0" w:color="auto"/>
              <w:bottom w:val="single" w:sz="6" w:space="0" w:color="auto"/>
            </w:tcBorders>
            <w:vAlign w:val="bottom"/>
          </w:tcPr>
          <w:p w:rsidR="000815AF" w:rsidRPr="006F7C3F" w:rsidRDefault="000815AF" w:rsidP="008058D1">
            <w:pPr>
              <w:pStyle w:val="TableColumnHeading"/>
              <w:spacing w:before="40" w:line="210" w:lineRule="atLeast"/>
              <w:ind w:left="0" w:right="115"/>
              <w:jc w:val="center"/>
            </w:pPr>
            <w:r>
              <w:t>Per cent</w:t>
            </w:r>
            <w:r w:rsidRPr="00C34B01">
              <w:rPr>
                <w:rStyle w:val="NoteLabel"/>
                <w:i w:val="0"/>
              </w:rPr>
              <w:t>b</w:t>
            </w:r>
          </w:p>
        </w:tc>
      </w:tr>
      <w:tr w:rsidR="000815AF" w:rsidRPr="00E33B23" w:rsidTr="008058D1">
        <w:trPr>
          <w:trHeight w:val="20"/>
        </w:trPr>
        <w:tc>
          <w:tcPr>
            <w:tcW w:w="2977" w:type="dxa"/>
          </w:tcPr>
          <w:p w:rsidR="000815AF" w:rsidRPr="003556EA" w:rsidRDefault="000815AF" w:rsidP="008058D1">
            <w:pPr>
              <w:pStyle w:val="TableBodyText"/>
              <w:spacing w:before="120" w:after="0"/>
              <w:jc w:val="left"/>
              <w:rPr>
                <w:b/>
              </w:rPr>
            </w:pPr>
            <w:r w:rsidRPr="003556EA">
              <w:rPr>
                <w:b/>
              </w:rPr>
              <w:t>North America</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1</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2</w:t>
            </w:r>
          </w:p>
        </w:tc>
        <w:tc>
          <w:tcPr>
            <w:tcW w:w="1001" w:type="dxa"/>
            <w:vAlign w:val="center"/>
          </w:tcPr>
          <w:p w:rsidR="000815AF" w:rsidRPr="00E26B11" w:rsidRDefault="000815AF" w:rsidP="008058D1">
            <w:pPr>
              <w:pStyle w:val="TableBodyText"/>
              <w:spacing w:after="0" w:line="240" w:lineRule="auto"/>
              <w:rPr>
                <w:b/>
                <w:sz w:val="18"/>
                <w:szCs w:val="18"/>
              </w:rPr>
            </w:pPr>
            <w:r>
              <w:rPr>
                <w:rFonts w:cs="Arial"/>
                <w:b/>
                <w:bCs/>
                <w:color w:val="000000"/>
              </w:rPr>
              <w:t>2</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10</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10</w:t>
            </w:r>
          </w:p>
        </w:tc>
      </w:tr>
      <w:tr w:rsidR="000815AF" w:rsidRPr="00711663" w:rsidTr="008058D1">
        <w:trPr>
          <w:trHeight w:val="20"/>
        </w:trPr>
        <w:tc>
          <w:tcPr>
            <w:tcW w:w="2977" w:type="dxa"/>
          </w:tcPr>
          <w:p w:rsidR="000815AF" w:rsidRPr="00711663" w:rsidRDefault="000815AF" w:rsidP="008058D1">
            <w:pPr>
              <w:pStyle w:val="TableBodyText"/>
              <w:spacing w:before="40" w:after="0"/>
              <w:jc w:val="left"/>
            </w:pPr>
            <w:r w:rsidRPr="00711663">
              <w:t xml:space="preserve"> </w:t>
            </w:r>
            <w:r>
              <w:t xml:space="preserve"> </w:t>
            </w:r>
            <w:r w:rsidRPr="00711663">
              <w:t>Canada</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r>
      <w:tr w:rsidR="000815AF" w:rsidRPr="00711663" w:rsidTr="008058D1">
        <w:trPr>
          <w:trHeight w:val="20"/>
        </w:trPr>
        <w:tc>
          <w:tcPr>
            <w:tcW w:w="2977" w:type="dxa"/>
          </w:tcPr>
          <w:p w:rsidR="000815AF" w:rsidRPr="00711663" w:rsidRDefault="000815AF" w:rsidP="008058D1">
            <w:pPr>
              <w:pStyle w:val="TableBodyText"/>
              <w:spacing w:before="40" w:after="0"/>
              <w:jc w:val="left"/>
            </w:pPr>
            <w:r w:rsidRPr="00711663">
              <w:t xml:space="preserve"> </w:t>
            </w:r>
            <w:r>
              <w:t xml:space="preserve"> </w:t>
            </w:r>
            <w:r w:rsidRPr="00711663">
              <w:t>United States</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r>
      <w:tr w:rsidR="000815AF" w:rsidRPr="00742FF0" w:rsidTr="008058D1">
        <w:trPr>
          <w:trHeight w:val="20"/>
        </w:trPr>
        <w:tc>
          <w:tcPr>
            <w:tcW w:w="2977" w:type="dxa"/>
            <w:vAlign w:val="bottom"/>
          </w:tcPr>
          <w:p w:rsidR="000815AF" w:rsidRPr="003556EA" w:rsidRDefault="000815AF" w:rsidP="008058D1">
            <w:pPr>
              <w:pStyle w:val="TableBodyText"/>
              <w:spacing w:before="120" w:after="0"/>
              <w:jc w:val="left"/>
              <w:rPr>
                <w:b/>
              </w:rPr>
            </w:pPr>
            <w:r>
              <w:rPr>
                <w:b/>
              </w:rPr>
              <w:t>South America</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2</w:t>
            </w:r>
          </w:p>
        </w:tc>
        <w:tc>
          <w:tcPr>
            <w:tcW w:w="1001" w:type="dxa"/>
            <w:vAlign w:val="center"/>
          </w:tcPr>
          <w:p w:rsidR="000815AF" w:rsidRPr="00E26B11" w:rsidRDefault="000815AF" w:rsidP="008058D1">
            <w:pPr>
              <w:pStyle w:val="TableBodyText"/>
              <w:spacing w:after="0" w:line="240" w:lineRule="auto"/>
              <w:rPr>
                <w:b/>
              </w:rPr>
            </w:pPr>
            <w:r>
              <w:rPr>
                <w:rFonts w:cs="Arial"/>
                <w:b/>
              </w:rPr>
              <w:t>̶</w:t>
            </w:r>
          </w:p>
        </w:tc>
        <w:tc>
          <w:tcPr>
            <w:tcW w:w="1001" w:type="dxa"/>
            <w:vAlign w:val="center"/>
          </w:tcPr>
          <w:p w:rsidR="000815AF" w:rsidRPr="00E26B11" w:rsidRDefault="000815AF" w:rsidP="008058D1">
            <w:pPr>
              <w:pStyle w:val="TableBodyText"/>
              <w:spacing w:after="0" w:line="240" w:lineRule="auto"/>
              <w:rPr>
                <w:b/>
                <w:sz w:val="18"/>
                <w:szCs w:val="18"/>
              </w:rPr>
            </w:pPr>
            <w:r>
              <w:rPr>
                <w:rFonts w:cs="Arial"/>
                <w:b/>
                <w:sz w:val="18"/>
                <w:szCs w:val="18"/>
              </w:rPr>
              <w:t>̶</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2</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2</w:t>
            </w:r>
          </w:p>
        </w:tc>
      </w:tr>
      <w:tr w:rsidR="000815AF" w:rsidRPr="007148D5" w:rsidTr="008058D1">
        <w:trPr>
          <w:trHeight w:val="20"/>
        </w:trPr>
        <w:tc>
          <w:tcPr>
            <w:tcW w:w="2977" w:type="dxa"/>
            <w:vAlign w:val="bottom"/>
          </w:tcPr>
          <w:p w:rsidR="000815AF" w:rsidRPr="007148D5" w:rsidRDefault="000815AF" w:rsidP="008058D1">
            <w:pPr>
              <w:pStyle w:val="TableBodyText"/>
              <w:spacing w:after="0"/>
              <w:jc w:val="left"/>
            </w:pPr>
            <w:r>
              <w:t xml:space="preserve">  Brazil</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148D5" w:rsidTr="008058D1">
        <w:trPr>
          <w:trHeight w:val="20"/>
        </w:trPr>
        <w:tc>
          <w:tcPr>
            <w:tcW w:w="2977" w:type="dxa"/>
            <w:vAlign w:val="bottom"/>
          </w:tcPr>
          <w:p w:rsidR="000815AF" w:rsidRPr="007148D5" w:rsidRDefault="000815AF" w:rsidP="008058D1">
            <w:pPr>
              <w:pStyle w:val="TableBodyText"/>
              <w:spacing w:after="0"/>
              <w:jc w:val="left"/>
            </w:pPr>
            <w:r>
              <w:t xml:space="preserve">  Chile</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vAlign w:val="bottom"/>
          </w:tcPr>
          <w:p w:rsidR="000815AF" w:rsidRPr="003556EA" w:rsidRDefault="000815AF" w:rsidP="008058D1">
            <w:pPr>
              <w:pStyle w:val="TableBodyText"/>
              <w:spacing w:after="0"/>
              <w:jc w:val="left"/>
              <w:rPr>
                <w:b/>
              </w:rPr>
            </w:pPr>
            <w:r w:rsidRPr="003556EA">
              <w:rPr>
                <w:b/>
              </w:rPr>
              <w:t>European Union</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1</w:t>
            </w:r>
          </w:p>
        </w:tc>
        <w:tc>
          <w:tcPr>
            <w:tcW w:w="1001" w:type="dxa"/>
            <w:vAlign w:val="center"/>
          </w:tcPr>
          <w:p w:rsidR="000815AF" w:rsidRPr="00E26B11" w:rsidRDefault="000815AF" w:rsidP="008058D1">
            <w:pPr>
              <w:pStyle w:val="TableBodyText"/>
              <w:spacing w:after="0" w:line="240" w:lineRule="auto"/>
              <w:rPr>
                <w:b/>
              </w:rPr>
            </w:pPr>
            <w:r>
              <w:rPr>
                <w:rFonts w:cs="Arial"/>
                <w:b/>
              </w:rPr>
              <w:t>̶</w:t>
            </w:r>
          </w:p>
        </w:tc>
        <w:tc>
          <w:tcPr>
            <w:tcW w:w="1001" w:type="dxa"/>
            <w:vAlign w:val="center"/>
          </w:tcPr>
          <w:p w:rsidR="000815AF" w:rsidRPr="00E26B11" w:rsidRDefault="000815AF" w:rsidP="008058D1">
            <w:pPr>
              <w:pStyle w:val="TableBodyText"/>
              <w:spacing w:after="0" w:line="240" w:lineRule="auto"/>
              <w:rPr>
                <w:b/>
                <w:sz w:val="18"/>
                <w:szCs w:val="18"/>
              </w:rPr>
            </w:pPr>
            <w:r>
              <w:rPr>
                <w:rFonts w:cs="Arial"/>
                <w:b/>
                <w:bCs/>
                <w:color w:val="000000"/>
              </w:rPr>
              <w:t>6</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22</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21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Austria</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Belgium/Luxembourg</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Finland</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France</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Germany</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r>
      <w:tr w:rsidR="000815AF" w:rsidRPr="00742FF0" w:rsidTr="008058D1">
        <w:trPr>
          <w:trHeight w:val="20"/>
        </w:trPr>
        <w:tc>
          <w:tcPr>
            <w:tcW w:w="2977" w:type="dxa"/>
          </w:tcPr>
          <w:p w:rsidR="000815AF" w:rsidRPr="006813F6" w:rsidRDefault="000815AF" w:rsidP="008058D1">
            <w:pPr>
              <w:pStyle w:val="TableBodyText"/>
              <w:spacing w:before="40" w:after="0"/>
              <w:jc w:val="left"/>
            </w:pPr>
            <w:r w:rsidRPr="006813F6">
              <w:t xml:space="preserve"> </w:t>
            </w:r>
            <w:r>
              <w:t xml:space="preserve"> </w:t>
            </w:r>
            <w:r w:rsidRPr="006813F6">
              <w:t>Greece</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3</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3</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Italy</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4</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4</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Sweden</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U</w:t>
            </w:r>
            <w:r>
              <w:t xml:space="preserve">nited </w:t>
            </w:r>
            <w:r w:rsidRPr="00742FF0">
              <w:t>K</w:t>
            </w:r>
            <w:r>
              <w:t>ingdom</w:t>
            </w:r>
          </w:p>
        </w:tc>
        <w:tc>
          <w:tcPr>
            <w:tcW w:w="1001" w:type="dxa"/>
            <w:vAlign w:val="center"/>
          </w:tcPr>
          <w:p w:rsidR="000815AF" w:rsidRPr="00E26B11" w:rsidRDefault="000815AF" w:rsidP="008058D1">
            <w:pPr>
              <w:pStyle w:val="TableBodyText"/>
              <w:spacing w:after="0" w:line="240" w:lineRule="auto"/>
              <w:rPr>
                <w:b/>
                <w:i/>
              </w:rPr>
            </w:pPr>
            <w:r>
              <w:rPr>
                <w:rFonts w:cs="Arial"/>
                <w:i/>
              </w:rPr>
              <w:t>̶</w:t>
            </w:r>
          </w:p>
        </w:tc>
        <w:tc>
          <w:tcPr>
            <w:tcW w:w="1001" w:type="dxa"/>
            <w:vAlign w:val="center"/>
          </w:tcPr>
          <w:p w:rsidR="000815AF" w:rsidRPr="00E26B11" w:rsidRDefault="000815AF" w:rsidP="008058D1">
            <w:pPr>
              <w:pStyle w:val="TableBodyText"/>
              <w:spacing w:after="0" w:line="240" w:lineRule="auto"/>
              <w:rPr>
                <w:b/>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Other E</w:t>
            </w:r>
            <w:r>
              <w:t xml:space="preserve">uropean </w:t>
            </w:r>
            <w:r w:rsidRPr="00742FF0">
              <w:t>U</w:t>
            </w:r>
            <w:r>
              <w:t>nion</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3</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5</w:t>
            </w:r>
          </w:p>
        </w:tc>
      </w:tr>
      <w:tr w:rsidR="000815AF" w:rsidRPr="00742FF0" w:rsidTr="008058D1">
        <w:trPr>
          <w:trHeight w:val="20"/>
        </w:trPr>
        <w:tc>
          <w:tcPr>
            <w:tcW w:w="2977" w:type="dxa"/>
          </w:tcPr>
          <w:p w:rsidR="000815AF" w:rsidRPr="003556EA" w:rsidRDefault="000815AF" w:rsidP="008058D1">
            <w:pPr>
              <w:pStyle w:val="TableBodyText"/>
              <w:spacing w:before="120" w:after="0"/>
              <w:jc w:val="left"/>
              <w:rPr>
                <w:b/>
              </w:rPr>
            </w:pPr>
            <w:r w:rsidRPr="003556EA">
              <w:rPr>
                <w:b/>
              </w:rPr>
              <w:t>Asia</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9</w:t>
            </w:r>
          </w:p>
        </w:tc>
        <w:tc>
          <w:tcPr>
            <w:tcW w:w="1001" w:type="dxa"/>
            <w:vAlign w:val="center"/>
          </w:tcPr>
          <w:p w:rsidR="000815AF" w:rsidRPr="00E26B11" w:rsidRDefault="000815AF" w:rsidP="008058D1">
            <w:pPr>
              <w:pStyle w:val="TableBodyText"/>
              <w:spacing w:after="0" w:line="240" w:lineRule="auto"/>
              <w:rPr>
                <w:b/>
              </w:rPr>
            </w:pPr>
            <w:r>
              <w:rPr>
                <w:rFonts w:cs="Arial"/>
                <w:b/>
                <w:bCs/>
                <w:color w:val="000000"/>
              </w:rPr>
              <w:t>3</w:t>
            </w:r>
          </w:p>
        </w:tc>
        <w:tc>
          <w:tcPr>
            <w:tcW w:w="1001" w:type="dxa"/>
            <w:vAlign w:val="center"/>
          </w:tcPr>
          <w:p w:rsidR="000815AF" w:rsidRPr="00E26B11" w:rsidRDefault="000815AF" w:rsidP="008058D1">
            <w:pPr>
              <w:pStyle w:val="TableBodyText"/>
              <w:spacing w:after="0" w:line="240" w:lineRule="auto"/>
              <w:rPr>
                <w:b/>
                <w:sz w:val="18"/>
                <w:szCs w:val="18"/>
              </w:rPr>
            </w:pPr>
            <w:r>
              <w:rPr>
                <w:rFonts w:cs="Arial"/>
                <w:b/>
                <w:bCs/>
                <w:color w:val="000000"/>
              </w:rPr>
              <w:t>14</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69</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67</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China</w:t>
            </w:r>
          </w:p>
        </w:tc>
        <w:tc>
          <w:tcPr>
            <w:tcW w:w="1001" w:type="dxa"/>
            <w:vAlign w:val="center"/>
          </w:tcPr>
          <w:p w:rsidR="000815AF" w:rsidRDefault="000815AF" w:rsidP="008058D1">
            <w:pPr>
              <w:pStyle w:val="TableBodyText"/>
              <w:spacing w:after="0" w:line="240" w:lineRule="auto"/>
              <w:rPr>
                <w:i/>
              </w:rPr>
            </w:pPr>
            <w:r>
              <w:rPr>
                <w:rFonts w:cs="Arial"/>
                <w:color w:val="000000"/>
              </w:rPr>
              <w:t>5</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4</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24</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23</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Hong Kong</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India</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Indonesia</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6</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6</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Japan</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2</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t xml:space="preserve">  South Korea</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3</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14</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14</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Malaysia</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2</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7</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7</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Philippines</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Singapore</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Thailand</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rPr>
            </w:pPr>
            <w:r>
              <w:rPr>
                <w:rFonts w:cs="Arial"/>
                <w:color w:val="000000"/>
              </w:rPr>
              <w:t>1</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2</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11</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11</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w:t>
            </w:r>
            <w:r>
              <w:t xml:space="preserve"> </w:t>
            </w:r>
            <w:r w:rsidRPr="00742FF0">
              <w:t>Taiwan</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color w:val="000000"/>
              </w:rPr>
              <w:t>2</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3</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3</w:t>
            </w:r>
          </w:p>
        </w:tc>
      </w:tr>
      <w:tr w:rsidR="000815AF" w:rsidRPr="00742FF0" w:rsidTr="008058D1">
        <w:trPr>
          <w:trHeight w:val="20"/>
        </w:trPr>
        <w:tc>
          <w:tcPr>
            <w:tcW w:w="2977" w:type="dxa"/>
          </w:tcPr>
          <w:p w:rsidR="000815AF" w:rsidRPr="003556EA" w:rsidRDefault="000815AF" w:rsidP="008058D1">
            <w:pPr>
              <w:pStyle w:val="TableBodyText"/>
              <w:spacing w:before="120" w:after="0"/>
              <w:jc w:val="left"/>
              <w:rPr>
                <w:b/>
              </w:rPr>
            </w:pPr>
            <w:r w:rsidRPr="003556EA">
              <w:rPr>
                <w:b/>
              </w:rPr>
              <w:t>Other</w:t>
            </w:r>
          </w:p>
        </w:tc>
        <w:tc>
          <w:tcPr>
            <w:tcW w:w="1001" w:type="dxa"/>
            <w:vAlign w:val="center"/>
          </w:tcPr>
          <w:p w:rsidR="000815AF" w:rsidRPr="00E26B11" w:rsidRDefault="000815AF" w:rsidP="008058D1">
            <w:pPr>
              <w:pStyle w:val="TableBodyText"/>
              <w:spacing w:after="0" w:line="240" w:lineRule="auto"/>
              <w:rPr>
                <w:b/>
              </w:rPr>
            </w:pPr>
            <w:r>
              <w:rPr>
                <w:rFonts w:cs="Arial"/>
                <w:i/>
              </w:rPr>
              <w:t>̶</w:t>
            </w:r>
          </w:p>
        </w:tc>
        <w:tc>
          <w:tcPr>
            <w:tcW w:w="1001" w:type="dxa"/>
            <w:vAlign w:val="center"/>
          </w:tcPr>
          <w:p w:rsidR="000815AF" w:rsidRPr="00E26B11" w:rsidRDefault="000815AF" w:rsidP="008058D1">
            <w:pPr>
              <w:pStyle w:val="TableBodyText"/>
              <w:spacing w:after="0" w:line="240" w:lineRule="auto"/>
              <w:rPr>
                <w:b/>
              </w:rPr>
            </w:pPr>
            <w:r>
              <w:rPr>
                <w:rFonts w:cs="Arial"/>
                <w:i/>
              </w:rPr>
              <w:t>̶</w:t>
            </w:r>
          </w:p>
        </w:tc>
        <w:tc>
          <w:tcPr>
            <w:tcW w:w="1001" w:type="dxa"/>
            <w:vAlign w:val="center"/>
          </w:tcPr>
          <w:p w:rsidR="000815AF" w:rsidRPr="00E26B11" w:rsidRDefault="000815AF" w:rsidP="008058D1">
            <w:pPr>
              <w:pStyle w:val="TableBodyText"/>
              <w:spacing w:after="0" w:line="240" w:lineRule="auto"/>
              <w:rPr>
                <w:b/>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0</w:t>
            </w:r>
          </w:p>
        </w:tc>
        <w:tc>
          <w:tcPr>
            <w:tcW w:w="1430" w:type="dxa"/>
            <w:vAlign w:val="center"/>
          </w:tcPr>
          <w:p w:rsidR="000815AF" w:rsidRPr="00E26B11" w:rsidRDefault="000815AF" w:rsidP="008058D1">
            <w:pPr>
              <w:pStyle w:val="TableBodyText"/>
              <w:spacing w:after="60" w:line="240" w:lineRule="auto"/>
              <w:rPr>
                <w:b/>
                <w:sz w:val="18"/>
                <w:szCs w:val="18"/>
              </w:rPr>
            </w:pPr>
            <w:r>
              <w:rPr>
                <w:rFonts w:cs="Arial"/>
                <w:b/>
                <w:bCs/>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Saudi Arabia</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South Africa</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color w:val="000000"/>
              </w:rPr>
              <w:t>0</w:t>
            </w:r>
          </w:p>
        </w:tc>
      </w:tr>
      <w:tr w:rsidR="000815AF" w:rsidRPr="00742FF0" w:rsidTr="008058D1">
        <w:trPr>
          <w:trHeight w:val="20"/>
        </w:trPr>
        <w:tc>
          <w:tcPr>
            <w:tcW w:w="2977" w:type="dxa"/>
          </w:tcPr>
          <w:p w:rsidR="000815AF" w:rsidRPr="00742FF0" w:rsidRDefault="000815AF" w:rsidP="008058D1">
            <w:pPr>
              <w:pStyle w:val="TableBodyText"/>
              <w:spacing w:before="40" w:after="0"/>
              <w:jc w:val="left"/>
            </w:pPr>
            <w:r w:rsidRPr="00742FF0">
              <w:t xml:space="preserve"> Other</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rPr>
            </w:pPr>
            <w:r>
              <w:rPr>
                <w:rFonts w:cs="Arial"/>
                <w:i/>
              </w:rPr>
              <w:t>̶</w:t>
            </w:r>
          </w:p>
        </w:tc>
        <w:tc>
          <w:tcPr>
            <w:tcW w:w="1001" w:type="dxa"/>
            <w:vAlign w:val="center"/>
          </w:tcPr>
          <w:p w:rsidR="000815AF" w:rsidRDefault="000815AF" w:rsidP="008058D1">
            <w:pPr>
              <w:pStyle w:val="TableBodyText"/>
              <w:spacing w:after="0" w:line="240" w:lineRule="auto"/>
              <w:rPr>
                <w:i/>
                <w:sz w:val="18"/>
                <w:szCs w:val="18"/>
              </w:rPr>
            </w:pPr>
            <w:r>
              <w:rPr>
                <w:rFonts w:cs="Arial"/>
                <w:i/>
                <w:sz w:val="18"/>
                <w:szCs w:val="18"/>
              </w:rPr>
              <w:t>̶</w:t>
            </w:r>
          </w:p>
        </w:tc>
        <w:tc>
          <w:tcPr>
            <w:tcW w:w="1430" w:type="dxa"/>
            <w:vAlign w:val="center"/>
          </w:tcPr>
          <w:p w:rsidR="000815AF" w:rsidRPr="00E26B11" w:rsidRDefault="000815AF" w:rsidP="008058D1">
            <w:pPr>
              <w:pStyle w:val="TableBodyText"/>
              <w:spacing w:after="60" w:line="240" w:lineRule="auto"/>
              <w:rPr>
                <w:sz w:val="18"/>
                <w:szCs w:val="18"/>
              </w:rPr>
            </w:pPr>
            <w:r>
              <w:rPr>
                <w:rFonts w:cs="Arial"/>
                <w:b/>
                <w:bCs/>
                <w:color w:val="000000"/>
              </w:rPr>
              <w:t>0</w:t>
            </w:r>
          </w:p>
        </w:tc>
        <w:tc>
          <w:tcPr>
            <w:tcW w:w="1430" w:type="dxa"/>
            <w:vAlign w:val="center"/>
          </w:tcPr>
          <w:p w:rsidR="000815AF" w:rsidRPr="00E26B11" w:rsidRDefault="000815AF" w:rsidP="008058D1">
            <w:pPr>
              <w:pStyle w:val="TableBodyText"/>
              <w:spacing w:after="60" w:line="240" w:lineRule="auto"/>
              <w:rPr>
                <w:sz w:val="18"/>
                <w:szCs w:val="18"/>
              </w:rPr>
            </w:pPr>
            <w:r>
              <w:rPr>
                <w:rFonts w:cs="Arial"/>
                <w:b/>
                <w:bCs/>
                <w:color w:val="000000"/>
              </w:rPr>
              <w:t>0</w:t>
            </w:r>
          </w:p>
        </w:tc>
      </w:tr>
      <w:tr w:rsidR="000815AF" w:rsidRPr="00742FF0" w:rsidTr="008058D1">
        <w:tc>
          <w:tcPr>
            <w:tcW w:w="2977" w:type="dxa"/>
            <w:tcBorders>
              <w:bottom w:val="single" w:sz="6" w:space="0" w:color="auto"/>
            </w:tcBorders>
          </w:tcPr>
          <w:p w:rsidR="000815AF" w:rsidRPr="003556EA" w:rsidRDefault="000815AF" w:rsidP="008058D1">
            <w:pPr>
              <w:pStyle w:val="TableBodyText"/>
              <w:spacing w:before="120" w:after="60"/>
              <w:jc w:val="left"/>
              <w:rPr>
                <w:b/>
              </w:rPr>
            </w:pPr>
            <w:r w:rsidRPr="003556EA">
              <w:rPr>
                <w:b/>
              </w:rPr>
              <w:t>Total</w:t>
            </w:r>
          </w:p>
        </w:tc>
        <w:tc>
          <w:tcPr>
            <w:tcW w:w="1001" w:type="dxa"/>
            <w:tcBorders>
              <w:bottom w:val="single" w:sz="6" w:space="0" w:color="auto"/>
            </w:tcBorders>
            <w:vAlign w:val="center"/>
          </w:tcPr>
          <w:p w:rsidR="000815AF" w:rsidRPr="00F729C5" w:rsidRDefault="000815AF" w:rsidP="008058D1">
            <w:pPr>
              <w:jc w:val="right"/>
              <w:rPr>
                <w:rFonts w:ascii="Arial" w:hAnsi="Arial" w:cs="Arial"/>
                <w:b/>
                <w:bCs/>
                <w:i/>
                <w:sz w:val="18"/>
                <w:szCs w:val="18"/>
              </w:rPr>
            </w:pPr>
            <w:r w:rsidRPr="00F729C5">
              <w:rPr>
                <w:rFonts w:ascii="Arial" w:hAnsi="Arial" w:cs="Arial"/>
                <w:b/>
                <w:bCs/>
                <w:sz w:val="18"/>
                <w:szCs w:val="18"/>
              </w:rPr>
              <w:t>13</w:t>
            </w:r>
          </w:p>
        </w:tc>
        <w:tc>
          <w:tcPr>
            <w:tcW w:w="1001" w:type="dxa"/>
            <w:tcBorders>
              <w:bottom w:val="single" w:sz="6" w:space="0" w:color="auto"/>
            </w:tcBorders>
            <w:vAlign w:val="center"/>
          </w:tcPr>
          <w:p w:rsidR="000815AF" w:rsidRPr="00F729C5" w:rsidRDefault="000815AF" w:rsidP="008058D1">
            <w:pPr>
              <w:jc w:val="right"/>
              <w:rPr>
                <w:rFonts w:ascii="Arial" w:hAnsi="Arial" w:cs="Arial"/>
                <w:b/>
                <w:bCs/>
                <w:i/>
                <w:sz w:val="18"/>
                <w:szCs w:val="18"/>
              </w:rPr>
            </w:pPr>
            <w:r w:rsidRPr="00F729C5">
              <w:rPr>
                <w:rFonts w:ascii="Arial" w:hAnsi="Arial" w:cs="Arial"/>
                <w:b/>
                <w:bCs/>
                <w:sz w:val="18"/>
                <w:szCs w:val="18"/>
              </w:rPr>
              <w:t>5</w:t>
            </w:r>
          </w:p>
        </w:tc>
        <w:tc>
          <w:tcPr>
            <w:tcW w:w="1001" w:type="dxa"/>
            <w:tcBorders>
              <w:bottom w:val="single" w:sz="6" w:space="0" w:color="auto"/>
            </w:tcBorders>
            <w:vAlign w:val="center"/>
          </w:tcPr>
          <w:p w:rsidR="000815AF" w:rsidRPr="00F729C5" w:rsidRDefault="000815AF" w:rsidP="008058D1">
            <w:pPr>
              <w:jc w:val="right"/>
              <w:rPr>
                <w:rFonts w:ascii="Arial" w:hAnsi="Arial" w:cs="Arial"/>
                <w:b/>
                <w:bCs/>
                <w:i/>
                <w:sz w:val="18"/>
                <w:szCs w:val="18"/>
              </w:rPr>
            </w:pPr>
            <w:r w:rsidRPr="00F729C5">
              <w:rPr>
                <w:rFonts w:ascii="Arial" w:hAnsi="Arial" w:cs="Arial"/>
                <w:b/>
                <w:bCs/>
                <w:sz w:val="18"/>
                <w:szCs w:val="18"/>
              </w:rPr>
              <w:t>22</w:t>
            </w:r>
          </w:p>
        </w:tc>
        <w:tc>
          <w:tcPr>
            <w:tcW w:w="1430" w:type="dxa"/>
            <w:tcBorders>
              <w:bottom w:val="single" w:sz="6" w:space="0" w:color="auto"/>
            </w:tcBorders>
            <w:vAlign w:val="center"/>
          </w:tcPr>
          <w:p w:rsidR="000815AF" w:rsidRPr="00F729C5" w:rsidRDefault="000815AF" w:rsidP="008058D1">
            <w:pPr>
              <w:jc w:val="right"/>
              <w:rPr>
                <w:rFonts w:ascii="Arial" w:hAnsi="Arial" w:cs="Arial"/>
                <w:b/>
                <w:bCs/>
                <w:i/>
                <w:sz w:val="18"/>
                <w:szCs w:val="18"/>
              </w:rPr>
            </w:pPr>
            <w:r w:rsidRPr="00F729C5">
              <w:rPr>
                <w:rFonts w:ascii="Arial" w:hAnsi="Arial" w:cs="Arial"/>
                <w:b/>
                <w:bCs/>
                <w:sz w:val="18"/>
                <w:szCs w:val="18"/>
              </w:rPr>
              <w:t>103</w:t>
            </w:r>
          </w:p>
        </w:tc>
        <w:tc>
          <w:tcPr>
            <w:tcW w:w="1430" w:type="dxa"/>
            <w:tcBorders>
              <w:bottom w:val="single" w:sz="6" w:space="0" w:color="auto"/>
            </w:tcBorders>
            <w:vAlign w:val="center"/>
          </w:tcPr>
          <w:p w:rsidR="000815AF" w:rsidRPr="00F729C5" w:rsidRDefault="000815AF" w:rsidP="008058D1">
            <w:pPr>
              <w:jc w:val="right"/>
              <w:rPr>
                <w:rFonts w:ascii="Arial" w:hAnsi="Arial" w:cs="Arial"/>
                <w:b/>
                <w:bCs/>
                <w:i/>
                <w:sz w:val="18"/>
                <w:szCs w:val="18"/>
              </w:rPr>
            </w:pPr>
            <w:r w:rsidRPr="00F729C5">
              <w:rPr>
                <w:rFonts w:ascii="Arial" w:hAnsi="Arial" w:cs="Arial"/>
                <w:b/>
                <w:bCs/>
                <w:sz w:val="18"/>
                <w:szCs w:val="18"/>
              </w:rPr>
              <w:t>100</w:t>
            </w:r>
          </w:p>
        </w:tc>
      </w:tr>
    </w:tbl>
    <w:p w:rsidR="000815AF" w:rsidRPr="0012122B" w:rsidRDefault="000815AF" w:rsidP="000815AF">
      <w:pPr>
        <w:pStyle w:val="Note"/>
      </w:pPr>
      <w:r>
        <w:t xml:space="preserve">– </w:t>
      </w:r>
      <w:r w:rsidRPr="0012122B">
        <w:t xml:space="preserve">Nil. </w:t>
      </w:r>
      <w:r>
        <w:t xml:space="preserve"> </w:t>
      </w:r>
      <w:r w:rsidRPr="0012122B">
        <w:rPr>
          <w:rStyle w:val="NoteLabel"/>
        </w:rPr>
        <w:t>a</w:t>
      </w:r>
      <w:r w:rsidRPr="0012122B">
        <w:t xml:space="preserve"> Cases are defined as actions applying to one commodity from one economy. Cases where dumping and subsidisation are alleged for the same economy and commodity are counted as two distinct initiations. </w:t>
      </w:r>
      <w:r>
        <w:t xml:space="preserve"> </w:t>
      </w:r>
      <w:r w:rsidRPr="0012122B">
        <w:rPr>
          <w:rStyle w:val="NoteLabel"/>
        </w:rPr>
        <w:t>b</w:t>
      </w:r>
      <w:r w:rsidRPr="0012122B">
        <w:t> The sum of the percentages for the individual economies may not add to the regional totals due to rounding.</w:t>
      </w:r>
      <w:r>
        <w:t xml:space="preserve"> </w:t>
      </w:r>
    </w:p>
    <w:p w:rsidR="000815AF" w:rsidRDefault="000815AF" w:rsidP="000815AF">
      <w:pPr>
        <w:pStyle w:val="Source"/>
      </w:pPr>
      <w:r w:rsidRPr="006F7C3F">
        <w:rPr>
          <w:i/>
        </w:rPr>
        <w:t>Source:</w:t>
      </w:r>
      <w:r w:rsidRPr="006F7C3F">
        <w:t xml:space="preserve"> </w:t>
      </w:r>
      <w:r>
        <w:t>ACS (2012).</w:t>
      </w:r>
    </w:p>
    <w:bookmarkStart w:id="8" w:name="_Toc318140220"/>
    <w:p w:rsidR="00DC4DC3" w:rsidRDefault="00DC4DC3" w:rsidP="00DC4DC3">
      <w:pPr>
        <w:pStyle w:val="Heading2"/>
      </w:pPr>
      <w:r>
        <w:lastRenderedPageBreak/>
        <w:fldChar w:fldCharType="begin"/>
      </w:r>
      <w:r>
        <w:instrText xml:space="preserve"> COMMENTS  \* MERGEFORMAT </w:instrText>
      </w:r>
      <w:r>
        <w:fldChar w:fldCharType="separate"/>
      </w:r>
      <w:r>
        <w:t>C.</w:t>
      </w:r>
      <w:r>
        <w:fldChar w:fldCharType="end"/>
      </w:r>
      <w:fldSimple w:instr=" SEQ Heading2 ">
        <w:r w:rsidR="00346B76">
          <w:rPr>
            <w:noProof/>
          </w:rPr>
          <w:t>2</w:t>
        </w:r>
      </w:fldSimple>
      <w:r>
        <w:tab/>
        <w:t>International anti-dumping and countervailing activity</w:t>
      </w:r>
    </w:p>
    <w:bookmarkEnd w:id="8"/>
    <w:p w:rsidR="00975073" w:rsidRDefault="00975073" w:rsidP="00975073">
      <w:pPr>
        <w:pStyle w:val="BodyText"/>
      </w:pPr>
      <w:r>
        <w:t>In the year to December 2011, there were 1</w:t>
      </w:r>
      <w:r w:rsidR="004F3AFB">
        <w:t>91</w:t>
      </w:r>
      <w:r>
        <w:t xml:space="preserve"> anti-dumping and countervailing cases initiated worldwide (figure C.2).</w:t>
      </w:r>
      <w:r w:rsidR="00A725D4">
        <w:rPr>
          <w:rStyle w:val="FootnoteReference"/>
        </w:rPr>
        <w:footnoteReference w:id="1"/>
      </w:r>
      <w:r>
        <w:t xml:space="preserve"> The most were by the United States (24), followed by the European Union (2</w:t>
      </w:r>
      <w:r w:rsidR="009302D1">
        <w:t>2</w:t>
      </w:r>
      <w:r>
        <w:t>), Australia (20), India (19) and Brazil (19).</w:t>
      </w:r>
      <w:r w:rsidR="000B55B6">
        <w:t xml:space="preserve"> The previous year Australia had ranked seventh in terms of most investigations initiated. </w:t>
      </w:r>
    </w:p>
    <w:p w:rsidR="00975073" w:rsidRDefault="00975073" w:rsidP="00975073">
      <w:pPr>
        <w:pStyle w:val="BodyText"/>
      </w:pPr>
      <w:r>
        <w:t>Since commencement of the WTO in 1995</w:t>
      </w:r>
      <w:r w:rsidR="00FC5832">
        <w:t>,</w:t>
      </w:r>
      <w:r>
        <w:t xml:space="preserve"> </w:t>
      </w:r>
      <w:r w:rsidR="00FC5832">
        <w:t xml:space="preserve">through to 31 December 2011, </w:t>
      </w:r>
      <w:r>
        <w:t xml:space="preserve">there have been over 2700 measures imposed, of which </w:t>
      </w:r>
      <w:r w:rsidRPr="00B439C7">
        <w:t>India</w:t>
      </w:r>
      <w:r>
        <w:t xml:space="preserve">, the </w:t>
      </w:r>
      <w:r w:rsidRPr="00B439C7">
        <w:t>United States, and the European Union account</w:t>
      </w:r>
      <w:r>
        <w:t>ed</w:t>
      </w:r>
      <w:r w:rsidRPr="00B439C7">
        <w:t xml:space="preserve"> for </w:t>
      </w:r>
      <w:r>
        <w:t>roughly 40 per cent (WTO 2012). Australia ranked tenth in terms of measures imposed</w:t>
      </w:r>
      <w:r w:rsidR="00FC5832">
        <w:t xml:space="preserve"> over the period</w:t>
      </w:r>
      <w:r>
        <w:t>.</w:t>
      </w:r>
    </w:p>
    <w:p w:rsidR="00F729C5" w:rsidRDefault="00F729C5">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DC4DC3">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346B76">
        <w:rPr>
          <w:b w:val="0"/>
          <w:noProof/>
        </w:rPr>
        <w:t>2</w:t>
      </w:r>
      <w:r>
        <w:rPr>
          <w:b w:val="0"/>
        </w:rPr>
        <w:fldChar w:fldCharType="end"/>
      </w:r>
      <w:r>
        <w:tab/>
        <w:t xml:space="preserve">Anti-dumping and countervailing global investigations and </w:t>
      </w:r>
      <w:r w:rsidR="00402EAE">
        <w:t>measures imposed</w:t>
      </w:r>
      <w:r>
        <w:t>, 1995 to 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729C5" w:rsidTr="00017033">
        <w:tc>
          <w:tcPr>
            <w:tcW w:w="8777" w:type="dxa"/>
          </w:tcPr>
          <w:p w:rsidR="00F729C5" w:rsidRDefault="000509F0">
            <w:pPr>
              <w:pStyle w:val="Figure"/>
            </w:pPr>
            <w:r>
              <w:rPr>
                <w:noProof/>
              </w:rPr>
              <w:drawing>
                <wp:inline distT="0" distB="0" distL="0" distR="0">
                  <wp:extent cx="5308600" cy="3429000"/>
                  <wp:effectExtent l="0" t="0" r="6350" b="0"/>
                  <wp:docPr id="2" name="Picture 2" descr="Figure C.2 Anti-dumping and countervailing global investigations and measures imposed, 1995 to 2011. This fugure is describe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8600" cy="3429000"/>
                          </a:xfrm>
                          <a:prstGeom prst="rect">
                            <a:avLst/>
                          </a:prstGeom>
                          <a:noFill/>
                          <a:ln>
                            <a:noFill/>
                          </a:ln>
                        </pic:spPr>
                      </pic:pic>
                    </a:graphicData>
                  </a:graphic>
                </wp:inline>
              </w:drawing>
            </w:r>
          </w:p>
        </w:tc>
      </w:tr>
    </w:tbl>
    <w:p w:rsidR="00F729C5" w:rsidRDefault="00FC5832">
      <w:pPr>
        <w:pStyle w:val="Source"/>
      </w:pPr>
      <w:r>
        <w:rPr>
          <w:i/>
        </w:rPr>
        <w:t>S</w:t>
      </w:r>
      <w:r w:rsidR="00F729C5">
        <w:rPr>
          <w:i/>
        </w:rPr>
        <w:t>ource</w:t>
      </w:r>
      <w:r>
        <w:rPr>
          <w:i/>
        </w:rPr>
        <w:t>s</w:t>
      </w:r>
      <w:r w:rsidR="00F729C5" w:rsidRPr="00167F06">
        <w:t xml:space="preserve">: </w:t>
      </w:r>
      <w:r w:rsidR="001E392D">
        <w:t>WTO (201</w:t>
      </w:r>
      <w:r w:rsidR="00A725D4">
        <w:t>3c</w:t>
      </w:r>
      <w:r w:rsidR="001E392D">
        <w:t>)</w:t>
      </w:r>
      <w:r w:rsidR="00421F0B">
        <w:t>, WTO (2013d), WTO (2013e), WTO (2013f)</w:t>
      </w:r>
      <w:r>
        <w:t>.</w:t>
      </w:r>
    </w:p>
    <w:p w:rsidR="001E392D" w:rsidRPr="001E392D" w:rsidRDefault="001E392D" w:rsidP="001E392D">
      <w:pPr>
        <w:pStyle w:val="BodyText"/>
      </w:pPr>
    </w:p>
    <w:sectPr w:rsidR="001E392D" w:rsidRPr="001E392D" w:rsidSect="00EF20D8">
      <w:headerReference w:type="even" r:id="rId11"/>
      <w:headerReference w:type="default" r:id="rId12"/>
      <w:footerReference w:type="even" r:id="rId13"/>
      <w:footerReference w:type="default" r:id="rId14"/>
      <w:pgSz w:w="11907" w:h="16840" w:code="9"/>
      <w:pgMar w:top="1985" w:right="1304" w:bottom="1418" w:left="1814" w:header="1701" w:footer="567" w:gutter="0"/>
      <w:pgNumType w:start="17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90D" w:rsidRDefault="0014690D">
      <w:r>
        <w:separator/>
      </w:r>
    </w:p>
  </w:endnote>
  <w:endnote w:type="continuationSeparator" w:id="0">
    <w:p w:rsidR="0014690D" w:rsidRDefault="0014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4690D">
      <w:trPr>
        <w:trHeight w:hRule="exact" w:val="740"/>
      </w:trPr>
      <w:tc>
        <w:tcPr>
          <w:tcW w:w="510" w:type="dxa"/>
          <w:tcBorders>
            <w:top w:val="single" w:sz="6" w:space="0" w:color="auto"/>
          </w:tcBorders>
        </w:tcPr>
        <w:p w:rsidR="0014690D" w:rsidRDefault="0014690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67AAA">
            <w:rPr>
              <w:rStyle w:val="PageNumber"/>
              <w:noProof/>
            </w:rPr>
            <w:t>184</w:t>
          </w:r>
          <w:r>
            <w:rPr>
              <w:rStyle w:val="PageNumber"/>
            </w:rPr>
            <w:fldChar w:fldCharType="end"/>
          </w:r>
        </w:p>
      </w:tc>
      <w:tc>
        <w:tcPr>
          <w:tcW w:w="1644" w:type="dxa"/>
          <w:tcBorders>
            <w:top w:val="single" w:sz="6" w:space="0" w:color="auto"/>
          </w:tcBorders>
        </w:tcPr>
        <w:p w:rsidR="0014690D" w:rsidRDefault="000509F0" w:rsidP="0019293B">
          <w:pPr>
            <w:pStyle w:val="Footer"/>
          </w:pPr>
          <w:fldSimple w:instr=" SUBJECT  \* MERGEFORMAT ">
            <w:r w:rsidR="00346B76">
              <w:t>Trade &amp; Assistance Review 2011-12</w:t>
            </w:r>
          </w:fldSimple>
        </w:p>
      </w:tc>
      <w:tc>
        <w:tcPr>
          <w:tcW w:w="6634" w:type="dxa"/>
        </w:tcPr>
        <w:p w:rsidR="0014690D" w:rsidRDefault="0014690D" w:rsidP="0019293B">
          <w:pPr>
            <w:pStyle w:val="Footer"/>
          </w:pPr>
        </w:p>
      </w:tc>
    </w:tr>
  </w:tbl>
  <w:p w:rsidR="0014690D" w:rsidRDefault="0014690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4690D">
      <w:trPr>
        <w:trHeight w:hRule="exact" w:val="740"/>
      </w:trPr>
      <w:tc>
        <w:tcPr>
          <w:tcW w:w="6634" w:type="dxa"/>
        </w:tcPr>
        <w:p w:rsidR="0014690D" w:rsidRDefault="0014690D">
          <w:pPr>
            <w:pStyle w:val="Footer"/>
            <w:ind w:right="360" w:firstLine="360"/>
          </w:pPr>
        </w:p>
      </w:tc>
      <w:tc>
        <w:tcPr>
          <w:tcW w:w="1644" w:type="dxa"/>
          <w:tcBorders>
            <w:top w:val="single" w:sz="6" w:space="0" w:color="auto"/>
          </w:tcBorders>
        </w:tcPr>
        <w:p w:rsidR="0014690D" w:rsidRDefault="000509F0">
          <w:pPr>
            <w:pStyle w:val="Footer"/>
          </w:pPr>
          <w:fldSimple w:instr=" TITLE  \* MERGEFORMAT ">
            <w:r w:rsidR="00346B76">
              <w:t>Anti-dumping activity</w:t>
            </w:r>
          </w:fldSimple>
        </w:p>
      </w:tc>
      <w:tc>
        <w:tcPr>
          <w:tcW w:w="510" w:type="dxa"/>
          <w:tcBorders>
            <w:top w:val="single" w:sz="6" w:space="0" w:color="auto"/>
          </w:tcBorders>
        </w:tcPr>
        <w:p w:rsidR="0014690D" w:rsidRDefault="0014690D">
          <w:pPr>
            <w:pStyle w:val="Footer"/>
            <w:jc w:val="right"/>
          </w:pPr>
          <w:r>
            <w:rPr>
              <w:rStyle w:val="PageNumber"/>
            </w:rPr>
            <w:fldChar w:fldCharType="begin"/>
          </w:r>
          <w:r>
            <w:rPr>
              <w:rStyle w:val="PageNumber"/>
            </w:rPr>
            <w:instrText xml:space="preserve">PAGE  </w:instrText>
          </w:r>
          <w:r>
            <w:rPr>
              <w:rStyle w:val="PageNumber"/>
            </w:rPr>
            <w:fldChar w:fldCharType="separate"/>
          </w:r>
          <w:r w:rsidR="00467AAA">
            <w:rPr>
              <w:rStyle w:val="PageNumber"/>
              <w:noProof/>
            </w:rPr>
            <w:t>179</w:t>
          </w:r>
          <w:r>
            <w:rPr>
              <w:rStyle w:val="PageNumber"/>
            </w:rPr>
            <w:fldChar w:fldCharType="end"/>
          </w:r>
        </w:p>
      </w:tc>
    </w:tr>
  </w:tbl>
  <w:p w:rsidR="0014690D" w:rsidRDefault="0014690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90D" w:rsidRDefault="0014690D">
      <w:r>
        <w:separator/>
      </w:r>
    </w:p>
  </w:footnote>
  <w:footnote w:type="continuationSeparator" w:id="0">
    <w:p w:rsidR="0014690D" w:rsidRDefault="0014690D">
      <w:r>
        <w:continuationSeparator/>
      </w:r>
    </w:p>
  </w:footnote>
  <w:footnote w:id="1">
    <w:p w:rsidR="0014690D" w:rsidRDefault="0014690D" w:rsidP="00A725D4">
      <w:pPr>
        <w:pStyle w:val="FootnoteText"/>
      </w:pPr>
      <w:r>
        <w:rPr>
          <w:rStyle w:val="FootnoteReference"/>
        </w:rPr>
        <w:footnoteRef/>
      </w:r>
      <w:r>
        <w:t xml:space="preserve"> </w:t>
      </w:r>
      <w:r>
        <w:tab/>
        <w:t>WTO data are on a calendar year basis whereas the Australian data in section C.1 is on a financial year basis.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4690D">
      <w:tc>
        <w:tcPr>
          <w:tcW w:w="2155" w:type="dxa"/>
          <w:tcBorders>
            <w:top w:val="single" w:sz="24" w:space="0" w:color="auto"/>
          </w:tcBorders>
        </w:tcPr>
        <w:p w:rsidR="0014690D" w:rsidRDefault="0014690D" w:rsidP="0019293B">
          <w:pPr>
            <w:pStyle w:val="HeaderEven"/>
          </w:pPr>
        </w:p>
      </w:tc>
      <w:tc>
        <w:tcPr>
          <w:tcW w:w="6634" w:type="dxa"/>
          <w:tcBorders>
            <w:top w:val="single" w:sz="6" w:space="0" w:color="auto"/>
          </w:tcBorders>
        </w:tcPr>
        <w:p w:rsidR="0014690D" w:rsidRDefault="0014690D" w:rsidP="0019293B">
          <w:pPr>
            <w:pStyle w:val="HeaderEven"/>
          </w:pPr>
        </w:p>
      </w:tc>
    </w:tr>
  </w:tbl>
  <w:p w:rsidR="0014690D" w:rsidRDefault="0014690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4690D">
      <w:tc>
        <w:tcPr>
          <w:tcW w:w="6634" w:type="dxa"/>
          <w:tcBorders>
            <w:top w:val="single" w:sz="6" w:space="0" w:color="auto"/>
          </w:tcBorders>
        </w:tcPr>
        <w:p w:rsidR="0014690D" w:rsidRDefault="0014690D" w:rsidP="00E669E2">
          <w:pPr>
            <w:pStyle w:val="HeaderOdd"/>
          </w:pPr>
        </w:p>
      </w:tc>
      <w:tc>
        <w:tcPr>
          <w:tcW w:w="2155" w:type="dxa"/>
          <w:tcBorders>
            <w:top w:val="single" w:sz="24" w:space="0" w:color="auto"/>
          </w:tcBorders>
        </w:tcPr>
        <w:p w:rsidR="0014690D" w:rsidRDefault="0014690D" w:rsidP="00E669E2">
          <w:pPr>
            <w:pStyle w:val="HeaderOdd"/>
          </w:pPr>
        </w:p>
      </w:tc>
    </w:tr>
  </w:tbl>
  <w:p w:rsidR="0014690D" w:rsidRDefault="0014690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Anti-dumping activity"/>
    <w:docVar w:name="ShortReportTitle" w:val="Trade &amp; Assistance Review 2011-12"/>
  </w:docVars>
  <w:rsids>
    <w:rsidRoot w:val="006C3A35"/>
    <w:rsid w:val="0001119A"/>
    <w:rsid w:val="00017033"/>
    <w:rsid w:val="000227D5"/>
    <w:rsid w:val="000245AA"/>
    <w:rsid w:val="0003664B"/>
    <w:rsid w:val="0004111F"/>
    <w:rsid w:val="000509F0"/>
    <w:rsid w:val="000565B3"/>
    <w:rsid w:val="0007150B"/>
    <w:rsid w:val="00077EA3"/>
    <w:rsid w:val="000815AF"/>
    <w:rsid w:val="000938F5"/>
    <w:rsid w:val="00096E55"/>
    <w:rsid w:val="000B55B6"/>
    <w:rsid w:val="000B601B"/>
    <w:rsid w:val="000C207E"/>
    <w:rsid w:val="000F0035"/>
    <w:rsid w:val="000F420B"/>
    <w:rsid w:val="00110116"/>
    <w:rsid w:val="00111A96"/>
    <w:rsid w:val="00120072"/>
    <w:rsid w:val="00126EB8"/>
    <w:rsid w:val="001274D4"/>
    <w:rsid w:val="001363AA"/>
    <w:rsid w:val="0014690D"/>
    <w:rsid w:val="00183E82"/>
    <w:rsid w:val="001878BB"/>
    <w:rsid w:val="00191AE0"/>
    <w:rsid w:val="0019293B"/>
    <w:rsid w:val="0019426B"/>
    <w:rsid w:val="001C0865"/>
    <w:rsid w:val="001C3ABA"/>
    <w:rsid w:val="001E392D"/>
    <w:rsid w:val="001E7BE8"/>
    <w:rsid w:val="001F0248"/>
    <w:rsid w:val="001F3EB3"/>
    <w:rsid w:val="001F4F86"/>
    <w:rsid w:val="00202C2C"/>
    <w:rsid w:val="002135AB"/>
    <w:rsid w:val="002144BE"/>
    <w:rsid w:val="00214CD5"/>
    <w:rsid w:val="00242279"/>
    <w:rsid w:val="00245C82"/>
    <w:rsid w:val="00291B40"/>
    <w:rsid w:val="002B4008"/>
    <w:rsid w:val="002D0E8E"/>
    <w:rsid w:val="002F6F0A"/>
    <w:rsid w:val="00301189"/>
    <w:rsid w:val="00323E09"/>
    <w:rsid w:val="00333932"/>
    <w:rsid w:val="00346B76"/>
    <w:rsid w:val="003518AA"/>
    <w:rsid w:val="00352165"/>
    <w:rsid w:val="00353182"/>
    <w:rsid w:val="003565D9"/>
    <w:rsid w:val="00357F85"/>
    <w:rsid w:val="003602E1"/>
    <w:rsid w:val="00360DC3"/>
    <w:rsid w:val="0037026F"/>
    <w:rsid w:val="00371240"/>
    <w:rsid w:val="00374731"/>
    <w:rsid w:val="00376E59"/>
    <w:rsid w:val="003919F9"/>
    <w:rsid w:val="003B02D5"/>
    <w:rsid w:val="003C38B5"/>
    <w:rsid w:val="003C5D99"/>
    <w:rsid w:val="003E2F59"/>
    <w:rsid w:val="003F0789"/>
    <w:rsid w:val="003F3A39"/>
    <w:rsid w:val="00401882"/>
    <w:rsid w:val="00402EAE"/>
    <w:rsid w:val="004100C8"/>
    <w:rsid w:val="00411DBD"/>
    <w:rsid w:val="00412ACE"/>
    <w:rsid w:val="00421F0B"/>
    <w:rsid w:val="00431249"/>
    <w:rsid w:val="004338BB"/>
    <w:rsid w:val="00434C19"/>
    <w:rsid w:val="00450810"/>
    <w:rsid w:val="00467AAA"/>
    <w:rsid w:val="00477144"/>
    <w:rsid w:val="00491380"/>
    <w:rsid w:val="0049459F"/>
    <w:rsid w:val="004A38DD"/>
    <w:rsid w:val="004B43AE"/>
    <w:rsid w:val="004C30ED"/>
    <w:rsid w:val="004D5675"/>
    <w:rsid w:val="004F3AFB"/>
    <w:rsid w:val="00523639"/>
    <w:rsid w:val="0053104F"/>
    <w:rsid w:val="00531FE5"/>
    <w:rsid w:val="00533C97"/>
    <w:rsid w:val="005402FA"/>
    <w:rsid w:val="00583C39"/>
    <w:rsid w:val="00587F28"/>
    <w:rsid w:val="005909CF"/>
    <w:rsid w:val="00591E71"/>
    <w:rsid w:val="005A0D41"/>
    <w:rsid w:val="005B47CB"/>
    <w:rsid w:val="00607BF1"/>
    <w:rsid w:val="00613221"/>
    <w:rsid w:val="0061574B"/>
    <w:rsid w:val="00624EE6"/>
    <w:rsid w:val="00626965"/>
    <w:rsid w:val="00630D4D"/>
    <w:rsid w:val="00632A74"/>
    <w:rsid w:val="00645937"/>
    <w:rsid w:val="006627C8"/>
    <w:rsid w:val="00682399"/>
    <w:rsid w:val="006A1374"/>
    <w:rsid w:val="006A4655"/>
    <w:rsid w:val="006A6475"/>
    <w:rsid w:val="006B1448"/>
    <w:rsid w:val="006B2B3C"/>
    <w:rsid w:val="006C1D81"/>
    <w:rsid w:val="006C3A35"/>
    <w:rsid w:val="006C7038"/>
    <w:rsid w:val="006E73EF"/>
    <w:rsid w:val="00703156"/>
    <w:rsid w:val="00714D4D"/>
    <w:rsid w:val="007604BB"/>
    <w:rsid w:val="00785232"/>
    <w:rsid w:val="007A21EB"/>
    <w:rsid w:val="007B1A93"/>
    <w:rsid w:val="007C36C9"/>
    <w:rsid w:val="007D6401"/>
    <w:rsid w:val="007E01E4"/>
    <w:rsid w:val="007F7107"/>
    <w:rsid w:val="00800D4C"/>
    <w:rsid w:val="008058D1"/>
    <w:rsid w:val="0081030F"/>
    <w:rsid w:val="0082087D"/>
    <w:rsid w:val="00825DC9"/>
    <w:rsid w:val="00835771"/>
    <w:rsid w:val="00842933"/>
    <w:rsid w:val="0086082C"/>
    <w:rsid w:val="00864ADC"/>
    <w:rsid w:val="00880153"/>
    <w:rsid w:val="00880F97"/>
    <w:rsid w:val="0088133A"/>
    <w:rsid w:val="0089285E"/>
    <w:rsid w:val="0089436C"/>
    <w:rsid w:val="008D365C"/>
    <w:rsid w:val="00902CE1"/>
    <w:rsid w:val="009030BF"/>
    <w:rsid w:val="0091032F"/>
    <w:rsid w:val="0091231D"/>
    <w:rsid w:val="00914368"/>
    <w:rsid w:val="009302D1"/>
    <w:rsid w:val="00931076"/>
    <w:rsid w:val="009345D9"/>
    <w:rsid w:val="00934B15"/>
    <w:rsid w:val="00940C87"/>
    <w:rsid w:val="00942B62"/>
    <w:rsid w:val="0095323B"/>
    <w:rsid w:val="00956A0C"/>
    <w:rsid w:val="00956BD9"/>
    <w:rsid w:val="00962489"/>
    <w:rsid w:val="00975073"/>
    <w:rsid w:val="00990C2C"/>
    <w:rsid w:val="009E1844"/>
    <w:rsid w:val="009E3201"/>
    <w:rsid w:val="009F0D1B"/>
    <w:rsid w:val="009F696D"/>
    <w:rsid w:val="009F6BC6"/>
    <w:rsid w:val="00A17328"/>
    <w:rsid w:val="00A23A20"/>
    <w:rsid w:val="00A268B9"/>
    <w:rsid w:val="00A2703A"/>
    <w:rsid w:val="00A33DFF"/>
    <w:rsid w:val="00A35115"/>
    <w:rsid w:val="00A36D9A"/>
    <w:rsid w:val="00A554AB"/>
    <w:rsid w:val="00A57062"/>
    <w:rsid w:val="00A725D4"/>
    <w:rsid w:val="00A92B53"/>
    <w:rsid w:val="00A94FA6"/>
    <w:rsid w:val="00AA49A0"/>
    <w:rsid w:val="00AA6710"/>
    <w:rsid w:val="00AB0681"/>
    <w:rsid w:val="00AD520B"/>
    <w:rsid w:val="00B425C3"/>
    <w:rsid w:val="00B440AD"/>
    <w:rsid w:val="00B479BB"/>
    <w:rsid w:val="00B53E7E"/>
    <w:rsid w:val="00B6342E"/>
    <w:rsid w:val="00B70269"/>
    <w:rsid w:val="00B7113F"/>
    <w:rsid w:val="00B85CAB"/>
    <w:rsid w:val="00BA73B6"/>
    <w:rsid w:val="00BA7E27"/>
    <w:rsid w:val="00BB2603"/>
    <w:rsid w:val="00BB4FCD"/>
    <w:rsid w:val="00BC04E9"/>
    <w:rsid w:val="00BD13EA"/>
    <w:rsid w:val="00BE3808"/>
    <w:rsid w:val="00BE72EB"/>
    <w:rsid w:val="00BF3EB9"/>
    <w:rsid w:val="00C062E9"/>
    <w:rsid w:val="00C07B64"/>
    <w:rsid w:val="00C13721"/>
    <w:rsid w:val="00C14FE4"/>
    <w:rsid w:val="00C3066D"/>
    <w:rsid w:val="00C52416"/>
    <w:rsid w:val="00C543F4"/>
    <w:rsid w:val="00C6291C"/>
    <w:rsid w:val="00C633CB"/>
    <w:rsid w:val="00C736B7"/>
    <w:rsid w:val="00C813BF"/>
    <w:rsid w:val="00C81D4A"/>
    <w:rsid w:val="00C8762C"/>
    <w:rsid w:val="00CA00F9"/>
    <w:rsid w:val="00CA2961"/>
    <w:rsid w:val="00CB50D7"/>
    <w:rsid w:val="00CB7177"/>
    <w:rsid w:val="00CC1998"/>
    <w:rsid w:val="00CC4946"/>
    <w:rsid w:val="00D209CA"/>
    <w:rsid w:val="00D270A4"/>
    <w:rsid w:val="00D31FE9"/>
    <w:rsid w:val="00D32693"/>
    <w:rsid w:val="00D34E1B"/>
    <w:rsid w:val="00D376BA"/>
    <w:rsid w:val="00D45634"/>
    <w:rsid w:val="00D5568A"/>
    <w:rsid w:val="00D63D73"/>
    <w:rsid w:val="00D64452"/>
    <w:rsid w:val="00D66E1E"/>
    <w:rsid w:val="00D75722"/>
    <w:rsid w:val="00D80CF5"/>
    <w:rsid w:val="00DA5BBA"/>
    <w:rsid w:val="00DB26D2"/>
    <w:rsid w:val="00DB67C9"/>
    <w:rsid w:val="00DC0C95"/>
    <w:rsid w:val="00DC4DC3"/>
    <w:rsid w:val="00DD6580"/>
    <w:rsid w:val="00E10AC8"/>
    <w:rsid w:val="00E17C72"/>
    <w:rsid w:val="00E21FC6"/>
    <w:rsid w:val="00E431A9"/>
    <w:rsid w:val="00E669E2"/>
    <w:rsid w:val="00E76135"/>
    <w:rsid w:val="00E82F4F"/>
    <w:rsid w:val="00E930C2"/>
    <w:rsid w:val="00EB45E5"/>
    <w:rsid w:val="00EC2844"/>
    <w:rsid w:val="00EC5500"/>
    <w:rsid w:val="00ED18F8"/>
    <w:rsid w:val="00EF20D8"/>
    <w:rsid w:val="00EF6C6C"/>
    <w:rsid w:val="00F01024"/>
    <w:rsid w:val="00F056FC"/>
    <w:rsid w:val="00F10476"/>
    <w:rsid w:val="00F135D8"/>
    <w:rsid w:val="00F31299"/>
    <w:rsid w:val="00F3534A"/>
    <w:rsid w:val="00F51609"/>
    <w:rsid w:val="00F729C5"/>
    <w:rsid w:val="00F81006"/>
    <w:rsid w:val="00F85325"/>
    <w:rsid w:val="00FA1F0F"/>
    <w:rsid w:val="00FC5832"/>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815A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6C3A35"/>
    <w:rPr>
      <w:sz w:val="26"/>
    </w:rPr>
  </w:style>
  <w:style w:type="paragraph" w:styleId="CommentSubject">
    <w:name w:val="annotation subject"/>
    <w:basedOn w:val="CommentText"/>
    <w:next w:val="CommentText"/>
    <w:link w:val="CommentSubjectChar"/>
    <w:rsid w:val="0061574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1574B"/>
    <w:rPr>
      <w:szCs w:val="24"/>
    </w:rPr>
  </w:style>
  <w:style w:type="character" w:customStyle="1" w:styleId="CommentSubjectChar">
    <w:name w:val="Comment Subject Char"/>
    <w:basedOn w:val="CommentTextChar"/>
    <w:link w:val="CommentSubject"/>
    <w:rsid w:val="0061574B"/>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815A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6C3A35"/>
    <w:rPr>
      <w:sz w:val="26"/>
    </w:rPr>
  </w:style>
  <w:style w:type="paragraph" w:styleId="CommentSubject">
    <w:name w:val="annotation subject"/>
    <w:basedOn w:val="CommentText"/>
    <w:next w:val="CommentText"/>
    <w:link w:val="CommentSubjectChar"/>
    <w:rsid w:val="0061574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1574B"/>
    <w:rPr>
      <w:szCs w:val="24"/>
    </w:rPr>
  </w:style>
  <w:style w:type="character" w:customStyle="1" w:styleId="CommentSubjectChar">
    <w:name w:val="Comment Subject Char"/>
    <w:basedOn w:val="CommentTextChar"/>
    <w:link w:val="CommentSubject"/>
    <w:rsid w:val="0061574B"/>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CDA7-9AA2-44EB-BDF3-BCB91349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326</TotalTime>
  <Pages>6</Pages>
  <Words>1377</Words>
  <Characters>7133</Characters>
  <Application>Microsoft Office Word</Application>
  <DocSecurity>0</DocSecurity>
  <Lines>475</Lines>
  <Paragraphs>405</Paragraphs>
  <ScaleCrop>false</ScaleCrop>
  <HeadingPairs>
    <vt:vector size="2" baseType="variant">
      <vt:variant>
        <vt:lpstr>Title</vt:lpstr>
      </vt:variant>
      <vt:variant>
        <vt:i4>1</vt:i4>
      </vt:variant>
    </vt:vector>
  </HeadingPairs>
  <TitlesOfParts>
    <vt:vector size="1" baseType="lpstr">
      <vt:lpstr>Anti-dumping activity</vt:lpstr>
    </vt:vector>
  </TitlesOfParts>
  <Company>Productivity Commission</Company>
  <LinksUpToDate>false</LinksUpToDate>
  <CharactersWithSpaces>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Anti-dumping activity</dc:title>
  <dc:subject>Trade &amp; Assistance Review 2011-12</dc:subject>
  <dc:creator>Productivity Commission</dc:creator>
  <cp:keywords/>
  <dc:description>C.</dc:description>
  <cp:lastModifiedBy>Productivity Commission</cp:lastModifiedBy>
  <cp:revision>49</cp:revision>
  <cp:lastPrinted>2013-06-03T23:43:00Z</cp:lastPrinted>
  <dcterms:created xsi:type="dcterms:W3CDTF">2013-05-02T02:49:00Z</dcterms:created>
  <dcterms:modified xsi:type="dcterms:W3CDTF">2013-06-11T00:11:00Z</dcterms:modified>
</cp:coreProperties>
</file>