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drawings/drawing2.xml" ContentType="application/vnd.openxmlformats-officedocument.drawingml.chartshapes+xml"/>
  <Override PartName="/word/charts/chart5.xml" ContentType="application/vnd.openxmlformats-officedocument.drawingml.chart+xml"/>
  <Override PartName="/word/charts/chart6.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655E7D" w:rsidP="00655E7D">
      <w:pPr>
        <w:pStyle w:val="Heading1"/>
        <w:spacing w:before="0"/>
      </w:pPr>
      <w:bookmarkStart w:id="0" w:name="ChapterNumber"/>
      <w:bookmarkStart w:id="1" w:name="_GoBack"/>
      <w:bookmarkEnd w:id="1"/>
      <w:r>
        <w:t>2</w:t>
      </w:r>
      <w:bookmarkEnd w:id="0"/>
      <w:r>
        <w:tab/>
      </w:r>
      <w:bookmarkStart w:id="2" w:name="ChapterTitle"/>
      <w:r>
        <w:t>Assistance estimates</w:t>
      </w:r>
      <w:bookmarkEnd w:id="2"/>
    </w:p>
    <w:p w:rsidR="00BF370E" w:rsidRDefault="00BF370E" w:rsidP="00BF370E">
      <w:pPr>
        <w:pStyle w:val="BodyText"/>
      </w:pPr>
      <w:r>
        <w:t>Industry is assisted through a wide array of government programs, regulatory instruments and policies. Each year, the Commission updates and publishes estimates of the assistance afforded by:</w:t>
      </w:r>
    </w:p>
    <w:p w:rsidR="00BF370E" w:rsidRDefault="00BF370E" w:rsidP="00BF370E">
      <w:pPr>
        <w:pStyle w:val="ListBullet"/>
      </w:pPr>
      <w:r>
        <w:t>import tariffs, which mainly assist the manufacturing sector while raising costs to consumers and to industries that use manufactured and other tariff-assisted inputs;</w:t>
      </w:r>
    </w:p>
    <w:p w:rsidR="00BF370E" w:rsidRDefault="00BF370E" w:rsidP="00BF370E">
      <w:pPr>
        <w:pStyle w:val="ListBullet"/>
      </w:pPr>
      <w:r>
        <w:t xml:space="preserve">Australian Government budgetary measures — divided into government outlays and tax concessions — which apply to the </w:t>
      </w:r>
      <w:r w:rsidR="00543E03">
        <w:t>primary production</w:t>
      </w:r>
      <w:r>
        <w:t>, mining, manufacturing and service sectors; and</w:t>
      </w:r>
    </w:p>
    <w:p w:rsidR="00BF370E" w:rsidRDefault="00BF370E" w:rsidP="00BF370E">
      <w:pPr>
        <w:pStyle w:val="ListBullet"/>
      </w:pPr>
      <w:r>
        <w:t>certain agricultural pricing and regulatory measures.</w:t>
      </w:r>
    </w:p>
    <w:p w:rsidR="00BF370E" w:rsidRPr="00F37193" w:rsidRDefault="00BF370E" w:rsidP="00BF370E">
      <w:pPr>
        <w:pStyle w:val="BodyText"/>
      </w:pPr>
      <w:r>
        <w:t xml:space="preserve">As well as providing estimates for these three categories, the Commission aggregates them to yield an estimate of the ‘combined’ assistance for four broad sectors of the Australian economy — ‘primary production’, ‘mining’, ‘manufacturing’ and ‘services’ — along with effective rates of assistance for </w:t>
      </w:r>
      <w:r w:rsidR="00C349BA">
        <w:t xml:space="preserve">the </w:t>
      </w:r>
      <w:r>
        <w:t xml:space="preserve">primary, mining and manufacturing industries. For each category of assistance, the </w:t>
      </w:r>
      <w:r w:rsidRPr="00F37193">
        <w:t>Commission provides more detailed estimates of assistance by 34 industry groupings</w:t>
      </w:r>
      <w:r w:rsidR="00611AA3" w:rsidRPr="00F37193">
        <w:t>. Estimates for which industry detail is not available are assigned to one of fo</w:t>
      </w:r>
      <w:r w:rsidR="00C349BA">
        <w:t>u</w:t>
      </w:r>
      <w:r w:rsidR="00611AA3" w:rsidRPr="00F37193">
        <w:t>r ‘unallocated</w:t>
      </w:r>
      <w:r w:rsidR="00F37193" w:rsidRPr="00F37193">
        <w:t>’</w:t>
      </w:r>
      <w:r w:rsidR="00611AA3" w:rsidRPr="00F37193">
        <w:t xml:space="preserve"> categories </w:t>
      </w:r>
      <w:r w:rsidR="00F37193" w:rsidRPr="00F37193">
        <w:t xml:space="preserve">(primary </w:t>
      </w:r>
      <w:r w:rsidR="00543E03">
        <w:t>production</w:t>
      </w:r>
      <w:r w:rsidR="00F37193" w:rsidRPr="00F37193">
        <w:t>, manufacturing, services or other)</w:t>
      </w:r>
      <w:r w:rsidRPr="00F37193">
        <w:t xml:space="preserve">. </w:t>
      </w:r>
    </w:p>
    <w:p w:rsidR="00BF370E" w:rsidRDefault="00BF370E" w:rsidP="00BF370E">
      <w:pPr>
        <w:pStyle w:val="BodyText"/>
      </w:pPr>
      <w:r>
        <w:t xml:space="preserve">The Commission also disaggregates its estimates of budgetary assistance into categories (such as R&amp;D, export assistance and support to small business) to facilitate more detailed assessments of changes in the composition and nature of assistance. </w:t>
      </w:r>
    </w:p>
    <w:p w:rsidR="00BF370E" w:rsidRDefault="00BF370E" w:rsidP="00BF370E">
      <w:pPr>
        <w:pStyle w:val="BodyText"/>
      </w:pPr>
      <w:r>
        <w:t>While the estimates cover a broad range of measures that afford support to industry, the estimates do not capture all Australian Government support for industry (box </w:t>
      </w:r>
      <w:r>
        <w:fldChar w:fldCharType="begin"/>
      </w:r>
      <w:r>
        <w:instrText xml:space="preserve"> LINK </w:instrText>
      </w:r>
      <w:r w:rsidR="00655E7D">
        <w:instrText xml:space="preserve">Word.Document.12 "\\\\nch1\\esb\\T A R\\2011-12\\AAreport\\12 - Ch2 - Assistance estimates.docx" OLE_LINK5 </w:instrText>
      </w:r>
      <w:r>
        <w:instrText xml:space="preserve">\a \t </w:instrText>
      </w:r>
      <w:r>
        <w:fldChar w:fldCharType="separate"/>
      </w:r>
      <w:r w:rsidR="00655E7D">
        <w:t>2.1</w:t>
      </w:r>
      <w:r>
        <w:fldChar w:fldCharType="end"/>
      </w:r>
      <w:r>
        <w:t>), nor State government assistance. The assistance provided through government regulation is also not represented in the estimates.</w:t>
      </w:r>
    </w:p>
    <w:p w:rsidR="00BF370E" w:rsidRDefault="00BF370E" w:rsidP="00BF370E">
      <w:pPr>
        <w:pStyle w:val="BodyText"/>
      </w:pPr>
      <w:r>
        <w:t>The following sections outline the coverage of the Commission’s assistance estimates, present the most recent (2011</w:t>
      </w:r>
      <w:r>
        <w:noBreakHyphen/>
        <w:t xml:space="preserve">12) estimates and report on broad changes in the structure of industry assistance over the last four decades. </w:t>
      </w:r>
    </w:p>
    <w:p w:rsidR="00BF370E" w:rsidRDefault="00BF370E" w:rsidP="00BF370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F370E" w:rsidTr="00386FA4">
        <w:tc>
          <w:tcPr>
            <w:tcW w:w="8771" w:type="dxa"/>
            <w:tcBorders>
              <w:top w:val="single" w:sz="6" w:space="0" w:color="auto"/>
              <w:bottom w:val="nil"/>
            </w:tcBorders>
          </w:tcPr>
          <w:p w:rsidR="00BF370E" w:rsidRDefault="00BF370E" w:rsidP="00386FA4">
            <w:pPr>
              <w:pStyle w:val="BoxTitle"/>
            </w:pPr>
            <w:r>
              <w:rPr>
                <w:b w:val="0"/>
              </w:rPr>
              <w:t xml:space="preserve">Box </w:t>
            </w:r>
            <w:bookmarkStart w:id="3" w:name="OLE_LINK5"/>
            <w:r>
              <w:rPr>
                <w:b w:val="0"/>
              </w:rPr>
              <w:fldChar w:fldCharType="begin"/>
            </w:r>
            <w:r>
              <w:rPr>
                <w:b w:val="0"/>
              </w:rPr>
              <w:instrText xml:space="preserve"> COMMENTS  \* MERGEFORMAT </w:instrText>
            </w:r>
            <w:r>
              <w:rPr>
                <w:b w:val="0"/>
              </w:rPr>
              <w:fldChar w:fldCharType="separate"/>
            </w:r>
            <w:r w:rsidR="00655E7D">
              <w:rPr>
                <w:b w:val="0"/>
              </w:rPr>
              <w:t>2.</w:t>
            </w:r>
            <w:r>
              <w:rPr>
                <w:b w:val="0"/>
              </w:rPr>
              <w:fldChar w:fldCharType="end"/>
            </w:r>
            <w:r>
              <w:rPr>
                <w:b w:val="0"/>
              </w:rPr>
              <w:fldChar w:fldCharType="begin"/>
            </w:r>
            <w:r>
              <w:rPr>
                <w:b w:val="0"/>
              </w:rPr>
              <w:instrText xml:space="preserve"> SEQ Box \* ARABIC </w:instrText>
            </w:r>
            <w:r>
              <w:rPr>
                <w:b w:val="0"/>
              </w:rPr>
              <w:fldChar w:fldCharType="separate"/>
            </w:r>
            <w:r w:rsidR="00E12ECE">
              <w:rPr>
                <w:b w:val="0"/>
                <w:noProof/>
              </w:rPr>
              <w:t>1</w:t>
            </w:r>
            <w:r>
              <w:rPr>
                <w:b w:val="0"/>
              </w:rPr>
              <w:fldChar w:fldCharType="end"/>
            </w:r>
            <w:bookmarkEnd w:id="3"/>
            <w:r>
              <w:tab/>
            </w:r>
            <w:r w:rsidRPr="008E18E0">
              <w:t>Coverage of the Commission’s assistance estimates</w:t>
            </w:r>
          </w:p>
        </w:tc>
      </w:tr>
      <w:tr w:rsidR="00BF370E" w:rsidTr="00386FA4">
        <w:trPr>
          <w:cantSplit/>
        </w:trPr>
        <w:tc>
          <w:tcPr>
            <w:tcW w:w="8771" w:type="dxa"/>
            <w:tcBorders>
              <w:top w:val="nil"/>
              <w:left w:val="single" w:sz="6" w:space="0" w:color="auto"/>
              <w:bottom w:val="nil"/>
              <w:right w:val="single" w:sz="6" w:space="0" w:color="auto"/>
            </w:tcBorders>
          </w:tcPr>
          <w:p w:rsidR="00BF370E" w:rsidRDefault="00BF370E" w:rsidP="00386FA4">
            <w:pPr>
              <w:pStyle w:val="Box"/>
            </w:pPr>
            <w:r>
              <w:t xml:space="preserve">The Commission’s assistance estimates cover only those measures which selectively benefit particular firms, industries or activities, and which can be quantified given practical constraints in measurement and data availability. Arrangements that may have assistance implications but are not part of the estimates include: </w:t>
            </w:r>
          </w:p>
          <w:p w:rsidR="00BF370E" w:rsidRDefault="00BF370E" w:rsidP="00386FA4">
            <w:pPr>
              <w:pStyle w:val="BoxListBullet"/>
            </w:pPr>
            <w:r>
              <w:t xml:space="preserve">quarantine restrictions and the allocation and pricing of water resources; </w:t>
            </w:r>
          </w:p>
          <w:p w:rsidR="00BF370E" w:rsidRDefault="00BF370E" w:rsidP="00386FA4">
            <w:pPr>
              <w:pStyle w:val="BoxListBullet"/>
            </w:pPr>
            <w:r>
              <w:t xml:space="preserve">the effects of government purchasing preferences and local content arrangements — for example, as they affect the manufacturing sector, IT industries and broadcasting; </w:t>
            </w:r>
          </w:p>
          <w:p w:rsidR="00BF370E" w:rsidRDefault="00BF370E" w:rsidP="00386FA4">
            <w:pPr>
              <w:pStyle w:val="BoxListBullet"/>
            </w:pPr>
            <w:r>
              <w:t xml:space="preserve">regulatory restrictions on competition — such as those relating to pharmacy, air services, importation of books and media and broadcasting; </w:t>
            </w:r>
          </w:p>
          <w:p w:rsidR="00BF370E" w:rsidRDefault="00BF370E" w:rsidP="00386FA4">
            <w:pPr>
              <w:pStyle w:val="BoxListBullet"/>
            </w:pPr>
            <w:r>
              <w:t xml:space="preserve">anti-dumping and countervailing measures; </w:t>
            </w:r>
          </w:p>
          <w:p w:rsidR="00BF370E" w:rsidRDefault="00BF370E" w:rsidP="00386FA4">
            <w:pPr>
              <w:pStyle w:val="BoxListBullet"/>
            </w:pPr>
            <w:r>
              <w:t xml:space="preserve">certain differential tax rates, including in relation to excises, the GST and superannuation; </w:t>
            </w:r>
          </w:p>
          <w:p w:rsidR="00BF370E" w:rsidRDefault="00BF370E" w:rsidP="00386FA4">
            <w:pPr>
              <w:pStyle w:val="BoxListBullet"/>
            </w:pPr>
            <w:r>
              <w:t xml:space="preserve">State and Territory government support to industry, other than designated agricultural marketing arrangements and rural support programs; </w:t>
            </w:r>
          </w:p>
          <w:p w:rsidR="00BF370E" w:rsidRDefault="00BF370E" w:rsidP="00386FA4">
            <w:pPr>
              <w:pStyle w:val="BoxListBullet"/>
            </w:pPr>
            <w:r>
              <w:t xml:space="preserve">government programs affecting a range of service industries, mainly relating to the provision of health, education, and community services; </w:t>
            </w:r>
          </w:p>
          <w:p w:rsidR="00BF370E" w:rsidRDefault="00BF370E" w:rsidP="00386FA4">
            <w:pPr>
              <w:pStyle w:val="BoxListBullet"/>
            </w:pPr>
            <w:r>
              <w:t xml:space="preserve">government programs affecting national security and public safety, including police and defence programs; </w:t>
            </w:r>
          </w:p>
          <w:p w:rsidR="00BF370E" w:rsidRDefault="00BF370E" w:rsidP="00386FA4">
            <w:pPr>
              <w:pStyle w:val="BoxListBullet"/>
            </w:pPr>
            <w:r>
              <w:t xml:space="preserve">government programs and taxation concessions affecting professional sport and the arts; </w:t>
            </w:r>
          </w:p>
          <w:p w:rsidR="00BF370E" w:rsidRDefault="00BF370E" w:rsidP="00386FA4">
            <w:pPr>
              <w:pStyle w:val="BoxListBullet"/>
            </w:pPr>
            <w:r>
              <w:t xml:space="preserve">government programs affecting the labour market; and </w:t>
            </w:r>
          </w:p>
          <w:p w:rsidR="00BF370E" w:rsidRDefault="00BF370E" w:rsidP="00386FA4">
            <w:pPr>
              <w:pStyle w:val="BoxListBullet"/>
            </w:pPr>
            <w:r>
              <w:t>resource access arrangements including to mining, forestry and fisheries.</w:t>
            </w:r>
          </w:p>
        </w:tc>
      </w:tr>
      <w:tr w:rsidR="00BF370E" w:rsidTr="00386FA4">
        <w:trPr>
          <w:cantSplit/>
        </w:trPr>
        <w:tc>
          <w:tcPr>
            <w:tcW w:w="8771" w:type="dxa"/>
            <w:tcBorders>
              <w:top w:val="nil"/>
              <w:left w:val="single" w:sz="6" w:space="0" w:color="auto"/>
              <w:bottom w:val="single" w:sz="6" w:space="0" w:color="auto"/>
              <w:right w:val="single" w:sz="6" w:space="0" w:color="auto"/>
            </w:tcBorders>
          </w:tcPr>
          <w:p w:rsidR="00BF370E" w:rsidRDefault="00BF370E" w:rsidP="00386FA4">
            <w:pPr>
              <w:pStyle w:val="Box"/>
              <w:spacing w:before="0" w:line="120" w:lineRule="exact"/>
            </w:pPr>
          </w:p>
        </w:tc>
      </w:tr>
      <w:tr w:rsidR="00BF370E" w:rsidRPr="000863A5" w:rsidTr="00386FA4">
        <w:tc>
          <w:tcPr>
            <w:tcW w:w="8771" w:type="dxa"/>
            <w:tcBorders>
              <w:top w:val="nil"/>
              <w:left w:val="nil"/>
              <w:bottom w:val="nil"/>
              <w:right w:val="nil"/>
            </w:tcBorders>
          </w:tcPr>
          <w:p w:rsidR="00BF370E" w:rsidRPr="00626D32" w:rsidRDefault="00BF370E" w:rsidP="00386FA4">
            <w:pPr>
              <w:pStyle w:val="BoxSpaceBelow"/>
            </w:pPr>
          </w:p>
        </w:tc>
      </w:tr>
    </w:tbl>
    <w:p w:rsidR="00BF370E" w:rsidRDefault="00BF370E" w:rsidP="00BF370E">
      <w:pPr>
        <w:pStyle w:val="BodyText"/>
      </w:pPr>
      <w:r>
        <w:t>The estimates reported in this chapter cover the years 2006</w:t>
      </w:r>
      <w:r>
        <w:noBreakHyphen/>
        <w:t>07 to 2011</w:t>
      </w:r>
      <w:r>
        <w:noBreakHyphen/>
        <w:t>12. The estimates presented this year mark the commencement of a new series and incorporate revisions in underlying data sources (box </w:t>
      </w:r>
      <w:r>
        <w:fldChar w:fldCharType="begin"/>
      </w:r>
      <w:r>
        <w:instrText xml:space="preserve"> LINK </w:instrText>
      </w:r>
      <w:r w:rsidR="00655E7D">
        <w:instrText xml:space="preserve">Word.Document.12 "\\\\nch1\\esb\\T A R\\2011-12\\AAreport\\12 - Ch2 - Assistance estimates.docx" OLE_LINK9 </w:instrText>
      </w:r>
      <w:r>
        <w:instrText xml:space="preserve">\a \t </w:instrText>
      </w:r>
      <w:r>
        <w:fldChar w:fldCharType="separate"/>
      </w:r>
      <w:r w:rsidR="00655E7D">
        <w:t>2.2</w:t>
      </w:r>
      <w:r>
        <w:fldChar w:fldCharType="end"/>
      </w:r>
      <w:r>
        <w:t xml:space="preserve">). As such, they differ </w:t>
      </w:r>
      <w:r w:rsidR="008B0682">
        <w:t>from</w:t>
      </w:r>
      <w:r>
        <w:t xml:space="preserve"> the estimates published in the previous edition of the </w:t>
      </w:r>
      <w:r w:rsidRPr="00842C6B">
        <w:rPr>
          <w:i/>
        </w:rPr>
        <w:t>Trade &amp; Assistance Review</w:t>
      </w:r>
      <w:r>
        <w:t xml:space="preserve">, with the key differences being noted in the body of this chapter. Further information on the assistance estimation methodology, program coverage, industry allocation and implementation of the new input-output series is to be provided in a (forthcoming) Methodological Annex to this </w:t>
      </w:r>
      <w:r w:rsidRPr="00B73D80">
        <w:rPr>
          <w:i/>
        </w:rPr>
        <w:t>Review</w:t>
      </w:r>
      <w:r>
        <w:t xml:space="preserve">. </w:t>
      </w:r>
    </w:p>
    <w:p w:rsidR="00BF370E" w:rsidRDefault="00BF370E" w:rsidP="00BF370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F370E" w:rsidTr="00386FA4">
        <w:tc>
          <w:tcPr>
            <w:tcW w:w="8771" w:type="dxa"/>
            <w:tcBorders>
              <w:top w:val="single" w:sz="6" w:space="0" w:color="auto"/>
              <w:bottom w:val="nil"/>
            </w:tcBorders>
          </w:tcPr>
          <w:p w:rsidR="00BF370E" w:rsidRDefault="00BF370E" w:rsidP="00386FA4">
            <w:pPr>
              <w:pStyle w:val="BoxTitle"/>
            </w:pPr>
            <w:r>
              <w:rPr>
                <w:b w:val="0"/>
              </w:rPr>
              <w:t xml:space="preserve">Box </w:t>
            </w:r>
            <w:bookmarkStart w:id="4" w:name="OLE_LINK9"/>
            <w:r>
              <w:rPr>
                <w:b w:val="0"/>
              </w:rPr>
              <w:fldChar w:fldCharType="begin"/>
            </w:r>
            <w:r>
              <w:rPr>
                <w:b w:val="0"/>
              </w:rPr>
              <w:instrText xml:space="preserve"> COMMENTS  \* MERGEFORMAT </w:instrText>
            </w:r>
            <w:r>
              <w:rPr>
                <w:b w:val="0"/>
              </w:rPr>
              <w:fldChar w:fldCharType="separate"/>
            </w:r>
            <w:r w:rsidR="00655E7D">
              <w:rPr>
                <w:b w:val="0"/>
              </w:rPr>
              <w:t>2.</w:t>
            </w:r>
            <w:r>
              <w:rPr>
                <w:b w:val="0"/>
              </w:rPr>
              <w:fldChar w:fldCharType="end"/>
            </w:r>
            <w:r>
              <w:rPr>
                <w:b w:val="0"/>
              </w:rPr>
              <w:fldChar w:fldCharType="begin"/>
            </w:r>
            <w:r>
              <w:rPr>
                <w:b w:val="0"/>
              </w:rPr>
              <w:instrText xml:space="preserve"> SEQ Box \* ARABIC </w:instrText>
            </w:r>
            <w:r>
              <w:rPr>
                <w:b w:val="0"/>
              </w:rPr>
              <w:fldChar w:fldCharType="separate"/>
            </w:r>
            <w:r w:rsidR="00E12ECE">
              <w:rPr>
                <w:b w:val="0"/>
                <w:noProof/>
              </w:rPr>
              <w:t>2</w:t>
            </w:r>
            <w:r>
              <w:rPr>
                <w:b w:val="0"/>
              </w:rPr>
              <w:fldChar w:fldCharType="end"/>
            </w:r>
            <w:bookmarkEnd w:id="4"/>
            <w:r>
              <w:tab/>
              <w:t>The ‘new series’ of assistance estimates</w:t>
            </w:r>
          </w:p>
        </w:tc>
      </w:tr>
      <w:tr w:rsidR="00BF370E" w:rsidTr="00386FA4">
        <w:trPr>
          <w:cantSplit/>
        </w:trPr>
        <w:tc>
          <w:tcPr>
            <w:tcW w:w="8771" w:type="dxa"/>
            <w:tcBorders>
              <w:top w:val="nil"/>
              <w:left w:val="single" w:sz="6" w:space="0" w:color="auto"/>
              <w:bottom w:val="nil"/>
              <w:right w:val="single" w:sz="6" w:space="0" w:color="auto"/>
            </w:tcBorders>
          </w:tcPr>
          <w:p w:rsidR="00BF370E" w:rsidRPr="00B73D80" w:rsidRDefault="00BF370E" w:rsidP="00386FA4">
            <w:pPr>
              <w:pStyle w:val="Box"/>
              <w:rPr>
                <w:i/>
              </w:rPr>
            </w:pPr>
            <w:r w:rsidRPr="00B73D80">
              <w:rPr>
                <w:i/>
              </w:rPr>
              <w:t xml:space="preserve">Updated input-output and import data </w:t>
            </w:r>
            <w:r w:rsidR="00C349BA">
              <w:rPr>
                <w:i/>
              </w:rPr>
              <w:t xml:space="preserve">used </w:t>
            </w:r>
            <w:r w:rsidRPr="00B73D80">
              <w:rPr>
                <w:i/>
              </w:rPr>
              <w:t>to estimate tariff assistance</w:t>
            </w:r>
          </w:p>
          <w:p w:rsidR="00BF370E" w:rsidRDefault="00BF370E" w:rsidP="00386FA4">
            <w:pPr>
              <w:pStyle w:val="Box"/>
            </w:pPr>
            <w:r>
              <w:t xml:space="preserve">The Commission’s previous series of tariff assistance estimates (last published in </w:t>
            </w:r>
            <w:r w:rsidRPr="00B73D80">
              <w:rPr>
                <w:i/>
              </w:rPr>
              <w:t>Trade &amp; Assistance Review 2010</w:t>
            </w:r>
            <w:r w:rsidRPr="00B73D80">
              <w:rPr>
                <w:i/>
              </w:rPr>
              <w:noBreakHyphen/>
              <w:t>11</w:t>
            </w:r>
            <w:r>
              <w:t>) were benchmarked to the Australian Bureau of Statistics (ABS) input-output and import data for the year 2004</w:t>
            </w:r>
            <w:r>
              <w:noBreakHyphen/>
              <w:t>05. For the new series, the Commission has re-benchmarked its estimates to ABS input-output and import data for the year 2008</w:t>
            </w:r>
            <w:r>
              <w:noBreakHyphen/>
              <w:t>09</w:t>
            </w:r>
            <w:r w:rsidR="00F11E13">
              <w:t xml:space="preserve"> (ABS 2012a)</w:t>
            </w:r>
            <w:r>
              <w:t xml:space="preserve">. </w:t>
            </w:r>
          </w:p>
          <w:p w:rsidR="00765F6A" w:rsidRDefault="00765F6A" w:rsidP="00386FA4">
            <w:pPr>
              <w:pStyle w:val="Box"/>
            </w:pPr>
            <w:r>
              <w:t xml:space="preserve">Because of structural changes in the economy </w:t>
            </w:r>
            <w:r w:rsidR="007C0321">
              <w:t xml:space="preserve">between input-output years </w:t>
            </w:r>
            <w:r>
              <w:t xml:space="preserve">and data revisions, estimated tariff assistance to outputs and tax penalty to inputs varies between series. The main </w:t>
            </w:r>
            <w:r w:rsidR="00886BE4">
              <w:t>changes from the 2004</w:t>
            </w:r>
            <w:r w:rsidR="00EC60C1">
              <w:noBreakHyphen/>
            </w:r>
            <w:r w:rsidR="00886BE4">
              <w:t>05 benchmark to the 2008</w:t>
            </w:r>
            <w:r w:rsidR="00EC60C1">
              <w:noBreakHyphen/>
            </w:r>
            <w:r w:rsidR="00886BE4">
              <w:t xml:space="preserve">09 benchmark </w:t>
            </w:r>
            <w:r>
              <w:t>are:</w:t>
            </w:r>
          </w:p>
          <w:p w:rsidR="00765F6A" w:rsidRDefault="00C349BA" w:rsidP="00765F6A">
            <w:pPr>
              <w:pStyle w:val="BoxListBullet"/>
            </w:pPr>
            <w:r>
              <w:t>lower</w:t>
            </w:r>
            <w:r w:rsidR="00034963">
              <w:t xml:space="preserve"> output in tariff assisted activities (mainly textiles, clothing and footwear and motor vehicles) lowering the level of output assistance;</w:t>
            </w:r>
          </w:p>
          <w:p w:rsidR="00034963" w:rsidRDefault="00C349BA" w:rsidP="00765F6A">
            <w:pPr>
              <w:pStyle w:val="BoxListBullet"/>
            </w:pPr>
            <w:r>
              <w:t>higher</w:t>
            </w:r>
            <w:r w:rsidR="00034963">
              <w:t xml:space="preserve"> activity levels of industries using tariff assisted products (including services) which act to raise the input penalty incurred; and</w:t>
            </w:r>
          </w:p>
          <w:p w:rsidR="00034963" w:rsidRDefault="00034963" w:rsidP="00765F6A">
            <w:pPr>
              <w:pStyle w:val="BoxListBullet"/>
            </w:pPr>
            <w:r>
              <w:t>a</w:t>
            </w:r>
            <w:r w:rsidR="00C349BA">
              <w:t>n apparent</w:t>
            </w:r>
            <w:r>
              <w:t xml:space="preserve"> shift </w:t>
            </w:r>
            <w:r w:rsidR="008110CB">
              <w:t>towards inputs with lower or zero tariffs (including services</w:t>
            </w:r>
            <w:r w:rsidR="00886BE4">
              <w:t xml:space="preserve"> inputs</w:t>
            </w:r>
            <w:r w:rsidR="008110CB">
              <w:t>) which acts to lower the input penalty incurred.</w:t>
            </w:r>
            <w:r>
              <w:t xml:space="preserve"> </w:t>
            </w:r>
          </w:p>
          <w:p w:rsidR="00765F6A" w:rsidRDefault="00765F6A" w:rsidP="00386FA4">
            <w:pPr>
              <w:pStyle w:val="Box"/>
            </w:pPr>
            <w:r>
              <w:t xml:space="preserve">The net effect of the changes </w:t>
            </w:r>
            <w:r w:rsidR="00034963">
              <w:t xml:space="preserve">has been to lower the estimated input penalty of tariffs relative to output assistance, raising </w:t>
            </w:r>
            <w:r w:rsidR="008110CB">
              <w:t xml:space="preserve">the estimated level of </w:t>
            </w:r>
            <w:r w:rsidR="00034963">
              <w:t>net tariff assistance (section</w:t>
            </w:r>
            <w:r w:rsidR="00541CE7">
              <w:t> </w:t>
            </w:r>
            <w:r w:rsidR="00034963">
              <w:t>2.1, below).</w:t>
            </w:r>
            <w:r w:rsidR="00886BE4">
              <w:t xml:space="preserve"> </w:t>
            </w:r>
          </w:p>
          <w:p w:rsidR="00BF370E" w:rsidRPr="00B73D80" w:rsidRDefault="00BF370E" w:rsidP="00386FA4">
            <w:pPr>
              <w:pStyle w:val="Box"/>
              <w:rPr>
                <w:i/>
              </w:rPr>
            </w:pPr>
            <w:r>
              <w:rPr>
                <w:i/>
              </w:rPr>
              <w:t xml:space="preserve">Latest </w:t>
            </w:r>
            <w:r w:rsidRPr="00B73D80">
              <w:rPr>
                <w:i/>
              </w:rPr>
              <w:t xml:space="preserve">ANZSIC </w:t>
            </w:r>
            <w:r>
              <w:rPr>
                <w:i/>
              </w:rPr>
              <w:t xml:space="preserve">industry </w:t>
            </w:r>
            <w:r w:rsidRPr="00B73D80">
              <w:rPr>
                <w:i/>
              </w:rPr>
              <w:t>classification</w:t>
            </w:r>
          </w:p>
          <w:p w:rsidR="00BF370E" w:rsidRDefault="00BF370E" w:rsidP="00386FA4">
            <w:pPr>
              <w:pStyle w:val="Box"/>
            </w:pPr>
            <w:r>
              <w:t xml:space="preserve">The Commission’s previous series of assistance estimates were reported according to the ABS’s 1993 version of the Australian and New Zealand Standard Industrial Classification (ANZSIC). As part of the re-benchmarking exercise carried out for this </w:t>
            </w:r>
            <w:r w:rsidRPr="00B73D80">
              <w:rPr>
                <w:i/>
              </w:rPr>
              <w:t>Review</w:t>
            </w:r>
            <w:r>
              <w:t>, the Commission’s new series of estimates are now reported according to the ABS’s latest classification, ANZSIC 2006</w:t>
            </w:r>
            <w:r w:rsidR="00F11E13">
              <w:t xml:space="preserve"> (ABS 2006)</w:t>
            </w:r>
            <w:r>
              <w:t xml:space="preserve">. </w:t>
            </w:r>
          </w:p>
          <w:p w:rsidR="00BF370E" w:rsidRDefault="00BF370E" w:rsidP="00386FA4">
            <w:pPr>
              <w:pStyle w:val="Box"/>
            </w:pPr>
            <w:r>
              <w:t xml:space="preserve">To facilitate comparability of industry estimates over time, as far as practicable, the </w:t>
            </w:r>
            <w:r w:rsidR="00DB361C">
              <w:t>ANZSIC </w:t>
            </w:r>
            <w:r w:rsidR="0000122C">
              <w:t>19</w:t>
            </w:r>
            <w:r w:rsidR="00DB361C">
              <w:t xml:space="preserve">93 industries adopted in the previous Reviews have been concorded with the </w:t>
            </w:r>
            <w:r>
              <w:t>34 ANZSIC </w:t>
            </w:r>
            <w:r w:rsidR="0000122C">
              <w:t>20</w:t>
            </w:r>
            <w:r>
              <w:t xml:space="preserve">06-based industries in the updated classification. </w:t>
            </w:r>
          </w:p>
          <w:p w:rsidR="00BF370E" w:rsidRPr="00B73D80" w:rsidRDefault="00BF370E" w:rsidP="00386FA4">
            <w:pPr>
              <w:pStyle w:val="Box"/>
              <w:rPr>
                <w:i/>
              </w:rPr>
            </w:pPr>
            <w:r w:rsidRPr="00B73D80">
              <w:rPr>
                <w:i/>
              </w:rPr>
              <w:t>Effective rates of assistance</w:t>
            </w:r>
          </w:p>
          <w:p w:rsidR="00BF370E" w:rsidRDefault="00BF370E" w:rsidP="00E4323E">
            <w:pPr>
              <w:pStyle w:val="Box"/>
            </w:pPr>
            <w:r>
              <w:t xml:space="preserve">The Commission’s previous estimates of the effective rate of assistance (published in </w:t>
            </w:r>
            <w:r w:rsidRPr="00B73D80">
              <w:rPr>
                <w:i/>
              </w:rPr>
              <w:t>Trade &amp; Assistance Review 2010</w:t>
            </w:r>
            <w:r w:rsidRPr="00B73D80">
              <w:rPr>
                <w:i/>
              </w:rPr>
              <w:noBreakHyphen/>
              <w:t>11</w:t>
            </w:r>
            <w:r>
              <w:t>) were calculated using 2004</w:t>
            </w:r>
            <w:r>
              <w:noBreakHyphen/>
              <w:t>05 input-output data to determine the ‘value added’ for the primary, mining and manufacturing industries. For the new series, the Commission has used input-output data for 2008</w:t>
            </w:r>
            <w:r>
              <w:noBreakHyphen/>
              <w:t xml:space="preserve">09 to determine value added by industry. Estimated effective rates for both the new and previous series are presented in this </w:t>
            </w:r>
            <w:r w:rsidRPr="00B73D80">
              <w:rPr>
                <w:i/>
              </w:rPr>
              <w:t>Review</w:t>
            </w:r>
            <w:r>
              <w:t xml:space="preserve"> (section 2.4</w:t>
            </w:r>
            <w:r w:rsidR="00E4323E">
              <w:t>,</w:t>
            </w:r>
            <w:r>
              <w:t xml:space="preserve"> below). Taking into account the impact of </w:t>
            </w:r>
            <w:r w:rsidR="00E4323E">
              <w:t xml:space="preserve">both </w:t>
            </w:r>
            <w:r>
              <w:t xml:space="preserve">tariff and budgetary assistance, the estimated </w:t>
            </w:r>
            <w:r w:rsidR="00765F6A">
              <w:t xml:space="preserve">effective rates of assistance </w:t>
            </w:r>
            <w:r>
              <w:t>and year-to-year changes provided for the two series broadly align (for the</w:t>
            </w:r>
            <w:r w:rsidR="00765F6A">
              <w:t xml:space="preserve"> overlapping</w:t>
            </w:r>
            <w:r>
              <w:t xml:space="preserve"> years). </w:t>
            </w:r>
          </w:p>
        </w:tc>
      </w:tr>
      <w:tr w:rsidR="00BF370E" w:rsidTr="00386FA4">
        <w:trPr>
          <w:cantSplit/>
        </w:trPr>
        <w:tc>
          <w:tcPr>
            <w:tcW w:w="8771" w:type="dxa"/>
            <w:tcBorders>
              <w:top w:val="nil"/>
              <w:left w:val="single" w:sz="6" w:space="0" w:color="auto"/>
              <w:bottom w:val="single" w:sz="6" w:space="0" w:color="auto"/>
              <w:right w:val="single" w:sz="6" w:space="0" w:color="auto"/>
            </w:tcBorders>
          </w:tcPr>
          <w:p w:rsidR="00BF370E" w:rsidRDefault="00BF370E" w:rsidP="00386FA4">
            <w:pPr>
              <w:pStyle w:val="Box"/>
              <w:spacing w:before="0" w:line="120" w:lineRule="exact"/>
            </w:pPr>
          </w:p>
        </w:tc>
      </w:tr>
      <w:tr w:rsidR="00BF370E" w:rsidRPr="000863A5" w:rsidTr="00386FA4">
        <w:tc>
          <w:tcPr>
            <w:tcW w:w="8771" w:type="dxa"/>
            <w:tcBorders>
              <w:top w:val="nil"/>
              <w:left w:val="nil"/>
              <w:bottom w:val="nil"/>
              <w:right w:val="nil"/>
            </w:tcBorders>
          </w:tcPr>
          <w:p w:rsidR="00BF370E" w:rsidRPr="00626D32" w:rsidRDefault="00BF370E" w:rsidP="00386FA4">
            <w:pPr>
              <w:pStyle w:val="BoxSpaceBelow"/>
            </w:pPr>
          </w:p>
        </w:tc>
      </w:tr>
    </w:tbl>
    <w:bookmarkStart w:id="5" w:name="OLE_LINK10"/>
    <w:p w:rsidR="00BF370E" w:rsidRDefault="00BF370E" w:rsidP="00BF370E">
      <w:pPr>
        <w:pStyle w:val="Heading2"/>
      </w:pPr>
      <w:r>
        <w:lastRenderedPageBreak/>
        <w:fldChar w:fldCharType="begin"/>
      </w:r>
      <w:r>
        <w:instrText xml:space="preserve"> COMMENTS  \* MERGEFORMAT </w:instrText>
      </w:r>
      <w:r>
        <w:fldChar w:fldCharType="separate"/>
      </w:r>
      <w:r w:rsidR="00655E7D">
        <w:t>2.</w:t>
      </w:r>
      <w:r>
        <w:fldChar w:fldCharType="end"/>
      </w:r>
      <w:fldSimple w:instr=" SEQ Heading2 ">
        <w:r w:rsidR="00E12ECE">
          <w:rPr>
            <w:noProof/>
          </w:rPr>
          <w:t>1</w:t>
        </w:r>
      </w:fldSimple>
      <w:bookmarkEnd w:id="5"/>
      <w:r>
        <w:tab/>
        <w:t>Tariff assistance</w:t>
      </w:r>
    </w:p>
    <w:p w:rsidR="00BF370E" w:rsidRDefault="00BF370E" w:rsidP="00BF370E">
      <w:pPr>
        <w:pStyle w:val="BodyText"/>
      </w:pPr>
      <w:r>
        <w:t xml:space="preserve">Tariffs have direct effects on the returns received by Australian producers. The Commission’s estimates of tariff assistance are divided into three main categories — ‘output’ assistance, ‘input’ assistance and ‘net’ assistance. </w:t>
      </w:r>
    </w:p>
    <w:p w:rsidR="00BF370E" w:rsidRDefault="00BF370E" w:rsidP="00BF370E">
      <w:pPr>
        <w:pStyle w:val="ListBullet"/>
      </w:pPr>
      <w:r>
        <w:t xml:space="preserve">Tariffs on imported goods increase the price at which those goods are sold on the Australian market, and thus allow scope for domestic producers of competing products to increase their prices. These effects are captured by the Commission’s estimates of output assistance. </w:t>
      </w:r>
    </w:p>
    <w:p w:rsidR="00BF370E" w:rsidRDefault="00BF370E" w:rsidP="00BF370E">
      <w:pPr>
        <w:pStyle w:val="ListBullet"/>
      </w:pPr>
      <w:r>
        <w:t xml:space="preserve">On the other hand, tariffs also increase the price of local and imported goods that are used as inputs and thus penalise local user industries. This ‘penalty’ is reduced if tariff concessions are available to Australian producers. The penalties are reflected in the Commission’s estimates of input assistance. </w:t>
      </w:r>
    </w:p>
    <w:p w:rsidR="00BF370E" w:rsidRDefault="00BF370E" w:rsidP="00BF370E">
      <w:pPr>
        <w:pStyle w:val="ListBullet"/>
      </w:pPr>
      <w:r>
        <w:t xml:space="preserve">Net tariff assistance represents the ‘effective’ assistance provided through tariffs to industry, and is calculated as output tariff assistance less the </w:t>
      </w:r>
      <w:r w:rsidR="00543E03">
        <w:t xml:space="preserve">input assistance, or </w:t>
      </w:r>
      <w:r>
        <w:t>input penalty</w:t>
      </w:r>
      <w:r w:rsidR="00543E03">
        <w:t>,</w:t>
      </w:r>
      <w:r>
        <w:t xml:space="preserve"> imposed by tariffs. </w:t>
      </w:r>
    </w:p>
    <w:p w:rsidR="00C349BA" w:rsidRDefault="00C349BA" w:rsidP="00C374BC">
      <w:pPr>
        <w:pStyle w:val="Heading3"/>
      </w:pPr>
      <w:r>
        <w:t>Output assistance</w:t>
      </w:r>
    </w:p>
    <w:p w:rsidR="00BF370E" w:rsidRPr="00C374BC" w:rsidRDefault="00BF370E" w:rsidP="00BF370E">
      <w:pPr>
        <w:pStyle w:val="BodyText"/>
      </w:pPr>
      <w:r>
        <w:t>Using the new 2008</w:t>
      </w:r>
      <w:r>
        <w:noBreakHyphen/>
        <w:t>09 benchmarked series, the Commission estimates that the gross value of tariff assistance to domestic production was around $</w:t>
      </w:r>
      <w:r w:rsidRPr="00C763BD">
        <w:t>7.9</w:t>
      </w:r>
      <w:r w:rsidRPr="00A031BD">
        <w:t> </w:t>
      </w:r>
      <w:r>
        <w:t>billion in 2011</w:t>
      </w:r>
      <w:r>
        <w:noBreakHyphen/>
        <w:t>12 (table </w:t>
      </w:r>
      <w:r>
        <w:fldChar w:fldCharType="begin"/>
      </w:r>
      <w:r>
        <w:instrText xml:space="preserve"> LINK </w:instrText>
      </w:r>
      <w:r w:rsidR="00655E7D">
        <w:instrText xml:space="preserve">Word.Document.12 "\\\\nch1\\esb\\T A R\\2011-12\\AAreport\\12 - Ch2 - Assistance estimates.docx" OLE_LINK6 </w:instrText>
      </w:r>
      <w:r>
        <w:instrText xml:space="preserve">\a \t </w:instrText>
      </w:r>
      <w:r>
        <w:fldChar w:fldCharType="separate"/>
      </w:r>
      <w:r w:rsidR="00655E7D">
        <w:t>2.1</w:t>
      </w:r>
      <w:r>
        <w:fldChar w:fldCharType="end"/>
      </w:r>
      <w:r>
        <w:t xml:space="preserve">). The </w:t>
      </w:r>
      <w:r w:rsidR="008E1CC5">
        <w:t xml:space="preserve">estimated </w:t>
      </w:r>
      <w:r w:rsidRPr="005A480F">
        <w:t>decline</w:t>
      </w:r>
      <w:r w:rsidR="008E1CC5">
        <w:t>s</w:t>
      </w:r>
      <w:r w:rsidRPr="005A480F">
        <w:t xml:space="preserve"> </w:t>
      </w:r>
      <w:r w:rsidR="008E1CC5">
        <w:t>in the years 2009</w:t>
      </w:r>
      <w:r w:rsidR="008E1CC5">
        <w:noBreakHyphen/>
        <w:t>10 and 2010</w:t>
      </w:r>
      <w:r w:rsidR="008E1CC5">
        <w:noBreakHyphen/>
        <w:t xml:space="preserve">11 </w:t>
      </w:r>
      <w:r>
        <w:t xml:space="preserve">mainly reflect reductions in assistance to passenger motor vehicles and parts, and textiles, clothing and footwear products in January 2010. </w:t>
      </w:r>
      <w:r w:rsidR="008E1CC5">
        <w:t xml:space="preserve">The estimated decline in </w:t>
      </w:r>
      <w:r w:rsidR="008E1CC5" w:rsidRPr="00C374BC">
        <w:t>2011</w:t>
      </w:r>
      <w:r w:rsidR="008E1CC5" w:rsidRPr="00C374BC">
        <w:noBreakHyphen/>
        <w:t>12 reflects lower output levels in tariff assisted activities (mainly</w:t>
      </w:r>
      <w:r w:rsidR="001251DC" w:rsidRPr="00C374BC">
        <w:t xml:space="preserve"> food, beverages and tobacco, wood and paper products, printing and recorded media, and non-metallic mineral products</w:t>
      </w:r>
      <w:r w:rsidR="008E1CC5" w:rsidRPr="00C374BC">
        <w:t xml:space="preserve">). </w:t>
      </w:r>
    </w:p>
    <w:p w:rsidR="008E1CC5" w:rsidRDefault="005879C4" w:rsidP="00BF370E">
      <w:pPr>
        <w:pStyle w:val="BodyText"/>
      </w:pPr>
      <w:r>
        <w:t>Reflecting lower levels of output in tariff assisted activities, as measured in the 2008</w:t>
      </w:r>
      <w:r>
        <w:noBreakHyphen/>
        <w:t>09 benchmark series relative to the 2004</w:t>
      </w:r>
      <w:r>
        <w:noBreakHyphen/>
        <w:t>05 series,</w:t>
      </w:r>
      <w:r w:rsidR="000E58B5">
        <w:t xml:space="preserve"> the estimated level of output assistance </w:t>
      </w:r>
      <w:r>
        <w:t>is lower in the re-benchmarked series (in the overlapping years</w:t>
      </w:r>
      <w:r w:rsidR="00261699">
        <w:t xml:space="preserve"> 200</w:t>
      </w:r>
      <w:r w:rsidR="002D0C96">
        <w:t>6</w:t>
      </w:r>
      <w:r w:rsidR="00261699">
        <w:noBreakHyphen/>
        <w:t>0</w:t>
      </w:r>
      <w:r w:rsidR="002D0C96">
        <w:t>7</w:t>
      </w:r>
      <w:r w:rsidR="00261699">
        <w:t xml:space="preserve"> </w:t>
      </w:r>
      <w:r w:rsidR="002D0C96">
        <w:t xml:space="preserve">to </w:t>
      </w:r>
      <w:r w:rsidR="00261699">
        <w:t>2008</w:t>
      </w:r>
      <w:r w:rsidR="00261699">
        <w:noBreakHyphen/>
        <w:t>09</w:t>
      </w:r>
      <w:r>
        <w:t xml:space="preserve">) than the previous series. </w:t>
      </w:r>
      <w:r w:rsidR="00E4323E">
        <w:t>(table </w:t>
      </w:r>
      <w:r w:rsidR="002D0C96">
        <w:fldChar w:fldCharType="begin"/>
      </w:r>
      <w:r w:rsidR="002D0C96">
        <w:instrText xml:space="preserve"> LINK </w:instrText>
      </w:r>
      <w:r w:rsidR="00655E7D">
        <w:instrText xml:space="preserve">Word.Document.12 "\\\\nch1\\esb\\T A R\\2011-12\\AAreport\\12 - Ch2 - Assistance estimates.docx" OLE_LINK6 </w:instrText>
      </w:r>
      <w:r w:rsidR="002D0C96">
        <w:instrText xml:space="preserve">\a \t </w:instrText>
      </w:r>
      <w:r w:rsidR="002D0C96">
        <w:fldChar w:fldCharType="separate"/>
      </w:r>
      <w:r w:rsidR="00655E7D">
        <w:t>2.1</w:t>
      </w:r>
      <w:r w:rsidR="002D0C96">
        <w:fldChar w:fldCharType="end"/>
      </w:r>
      <w:r w:rsidR="00E4323E">
        <w:t>)</w:t>
      </w:r>
      <w:r w:rsidR="000E58B5">
        <w:t xml:space="preserve">. </w:t>
      </w:r>
      <w:r w:rsidR="00261699">
        <w:t>The direction of change in both series</w:t>
      </w:r>
      <w:r w:rsidR="00E54097">
        <w:t xml:space="preserve"> in the overlapping years</w:t>
      </w:r>
      <w:r w:rsidR="00261699">
        <w:t xml:space="preserve"> is</w:t>
      </w:r>
      <w:r>
        <w:t xml:space="preserve">, nevertheless, </w:t>
      </w:r>
      <w:r w:rsidR="00261699">
        <w:t>the same</w:t>
      </w:r>
      <w:r>
        <w:t xml:space="preserve">. </w:t>
      </w:r>
      <w:r w:rsidR="00F640B0">
        <w:t>C</w:t>
      </w:r>
      <w:r w:rsidR="00941074">
        <w:t xml:space="preserve">hanges </w:t>
      </w:r>
      <w:r w:rsidR="00F640B0">
        <w:t xml:space="preserve">reported </w:t>
      </w:r>
      <w:r w:rsidR="00941074">
        <w:t>over the period 2006</w:t>
      </w:r>
      <w:r w:rsidR="00941074">
        <w:noBreakHyphen/>
        <w:t>07 to 2008</w:t>
      </w:r>
      <w:r w:rsidR="00941074">
        <w:noBreakHyphen/>
        <w:t xml:space="preserve">09 reflect changes in industry activity levels and not changes in tariffs. </w:t>
      </w:r>
    </w:p>
    <w:p w:rsidR="00BF370E" w:rsidRDefault="00BF370E" w:rsidP="00BF370E">
      <w:pPr>
        <w:pStyle w:val="TableTitle"/>
      </w:pPr>
      <w:r>
        <w:rPr>
          <w:b w:val="0"/>
        </w:rPr>
        <w:lastRenderedPageBreak/>
        <w:t xml:space="preserve">Table </w:t>
      </w:r>
      <w:bookmarkStart w:id="6" w:name="OLE_LINK6"/>
      <w:r>
        <w:rPr>
          <w:b w:val="0"/>
        </w:rPr>
        <w:fldChar w:fldCharType="begin"/>
      </w:r>
      <w:r>
        <w:rPr>
          <w:b w:val="0"/>
        </w:rPr>
        <w:instrText xml:space="preserve"> COMMENTS  \* MERGEFORMAT </w:instrText>
      </w:r>
      <w:r>
        <w:rPr>
          <w:b w:val="0"/>
        </w:rPr>
        <w:fldChar w:fldCharType="separate"/>
      </w:r>
      <w:r w:rsidR="00655E7D">
        <w:rPr>
          <w:b w:val="0"/>
        </w:rPr>
        <w:t>2.</w:t>
      </w:r>
      <w:r>
        <w:rPr>
          <w:b w:val="0"/>
        </w:rPr>
        <w:fldChar w:fldCharType="end"/>
      </w:r>
      <w:r>
        <w:rPr>
          <w:b w:val="0"/>
        </w:rPr>
        <w:fldChar w:fldCharType="begin"/>
      </w:r>
      <w:r>
        <w:rPr>
          <w:b w:val="0"/>
        </w:rPr>
        <w:instrText xml:space="preserve"> SEQ Table \* ARABIC </w:instrText>
      </w:r>
      <w:r>
        <w:rPr>
          <w:b w:val="0"/>
        </w:rPr>
        <w:fldChar w:fldCharType="separate"/>
      </w:r>
      <w:r w:rsidR="00E12ECE">
        <w:rPr>
          <w:b w:val="0"/>
          <w:noProof/>
        </w:rPr>
        <w:t>1</w:t>
      </w:r>
      <w:r>
        <w:rPr>
          <w:b w:val="0"/>
        </w:rPr>
        <w:fldChar w:fldCharType="end"/>
      </w:r>
      <w:bookmarkEnd w:id="6"/>
      <w:r>
        <w:tab/>
        <w:t>Tariff assistance, 2006</w:t>
      </w:r>
      <w:r>
        <w:noBreakHyphen/>
        <w:t>07 to 2011</w:t>
      </w:r>
      <w:r>
        <w:noBreakHyphen/>
        <w:t>12</w:t>
      </w:r>
      <w:r w:rsidRPr="008E18E0">
        <w:rPr>
          <w:rStyle w:val="NoteLabel"/>
        </w:rPr>
        <w:t>a</w:t>
      </w:r>
    </w:p>
    <w:p w:rsidR="00BF370E" w:rsidRDefault="00BF370E" w:rsidP="00BF370E">
      <w:pPr>
        <w:pStyle w:val="Subtitle"/>
      </w:pPr>
      <w:r>
        <w:t>$million (nominal)</w:t>
      </w:r>
    </w:p>
    <w:tbl>
      <w:tblPr>
        <w:tblW w:w="5007" w:type="pct"/>
        <w:tblCellMar>
          <w:left w:w="0" w:type="dxa"/>
          <w:right w:w="0" w:type="dxa"/>
        </w:tblCellMar>
        <w:tblLook w:val="0000" w:firstRow="0" w:lastRow="0" w:firstColumn="0" w:lastColumn="0" w:noHBand="0" w:noVBand="0"/>
      </w:tblPr>
      <w:tblGrid>
        <w:gridCol w:w="2333"/>
        <w:gridCol w:w="1085"/>
        <w:gridCol w:w="1079"/>
        <w:gridCol w:w="1077"/>
        <w:gridCol w:w="1065"/>
        <w:gridCol w:w="12"/>
        <w:gridCol w:w="1065"/>
        <w:gridCol w:w="12"/>
        <w:gridCol w:w="1061"/>
        <w:gridCol w:w="12"/>
      </w:tblGrid>
      <w:tr w:rsidR="00BF370E" w:rsidTr="00386FA4">
        <w:tc>
          <w:tcPr>
            <w:tcW w:w="1325" w:type="pct"/>
            <w:tcBorders>
              <w:top w:val="single" w:sz="6" w:space="0" w:color="auto"/>
              <w:bottom w:val="single" w:sz="6" w:space="0" w:color="auto"/>
            </w:tcBorders>
            <w:shd w:val="clear" w:color="auto" w:fill="auto"/>
          </w:tcPr>
          <w:p w:rsidR="00BF370E" w:rsidRDefault="00BF370E" w:rsidP="00386FA4">
            <w:pPr>
              <w:pStyle w:val="TableColumnHeading"/>
              <w:jc w:val="left"/>
            </w:pPr>
          </w:p>
        </w:tc>
        <w:tc>
          <w:tcPr>
            <w:tcW w:w="616" w:type="pct"/>
            <w:tcBorders>
              <w:top w:val="single" w:sz="6" w:space="0" w:color="auto"/>
              <w:bottom w:val="single" w:sz="6" w:space="0" w:color="auto"/>
            </w:tcBorders>
            <w:shd w:val="clear" w:color="auto" w:fill="auto"/>
            <w:vAlign w:val="center"/>
          </w:tcPr>
          <w:p w:rsidR="00BF370E" w:rsidRDefault="00BF370E" w:rsidP="00386FA4">
            <w:pPr>
              <w:pStyle w:val="TableColumnHeading"/>
              <w:ind w:right="28"/>
            </w:pPr>
            <w:r>
              <w:t>2006</w:t>
            </w:r>
            <w:r>
              <w:noBreakHyphen/>
              <w:t>07</w:t>
            </w:r>
          </w:p>
        </w:tc>
        <w:tc>
          <w:tcPr>
            <w:tcW w:w="613" w:type="pct"/>
            <w:tcBorders>
              <w:top w:val="single" w:sz="6" w:space="0" w:color="auto"/>
              <w:bottom w:val="single" w:sz="6" w:space="0" w:color="auto"/>
            </w:tcBorders>
            <w:vAlign w:val="center"/>
          </w:tcPr>
          <w:p w:rsidR="00BF370E" w:rsidRDefault="00BF370E" w:rsidP="00386FA4">
            <w:pPr>
              <w:pStyle w:val="TableColumnHeading"/>
              <w:ind w:right="28"/>
            </w:pPr>
            <w:r>
              <w:t>2007</w:t>
            </w:r>
            <w:r>
              <w:noBreakHyphen/>
              <w:t>08</w:t>
            </w:r>
          </w:p>
        </w:tc>
        <w:tc>
          <w:tcPr>
            <w:tcW w:w="612" w:type="pct"/>
            <w:tcBorders>
              <w:top w:val="single" w:sz="6" w:space="0" w:color="auto"/>
              <w:bottom w:val="single" w:sz="6" w:space="0" w:color="auto"/>
            </w:tcBorders>
            <w:vAlign w:val="center"/>
          </w:tcPr>
          <w:p w:rsidR="00BF370E" w:rsidRDefault="00BF370E" w:rsidP="00386FA4">
            <w:pPr>
              <w:pStyle w:val="TableColumnHeading"/>
              <w:ind w:right="28"/>
            </w:pPr>
            <w:r>
              <w:t>2008</w:t>
            </w:r>
            <w:r>
              <w:noBreakHyphen/>
              <w:t>09</w:t>
            </w:r>
          </w:p>
        </w:tc>
        <w:tc>
          <w:tcPr>
            <w:tcW w:w="612" w:type="pct"/>
            <w:gridSpan w:val="2"/>
            <w:tcBorders>
              <w:top w:val="single" w:sz="6" w:space="0" w:color="auto"/>
              <w:bottom w:val="single" w:sz="6" w:space="0" w:color="auto"/>
            </w:tcBorders>
            <w:vAlign w:val="center"/>
          </w:tcPr>
          <w:p w:rsidR="00BF370E" w:rsidRDefault="00BF370E" w:rsidP="00386FA4">
            <w:pPr>
              <w:pStyle w:val="TableColumnHeading"/>
              <w:ind w:right="28"/>
            </w:pPr>
            <w:r>
              <w:t>2009</w:t>
            </w:r>
            <w:r>
              <w:noBreakHyphen/>
              <w:t>10</w:t>
            </w:r>
          </w:p>
        </w:tc>
        <w:tc>
          <w:tcPr>
            <w:tcW w:w="612" w:type="pct"/>
            <w:gridSpan w:val="2"/>
            <w:tcBorders>
              <w:top w:val="single" w:sz="6" w:space="0" w:color="auto"/>
              <w:bottom w:val="single" w:sz="6" w:space="0" w:color="auto"/>
            </w:tcBorders>
            <w:vAlign w:val="center"/>
          </w:tcPr>
          <w:p w:rsidR="00BF370E" w:rsidRDefault="00BF370E" w:rsidP="00386FA4">
            <w:pPr>
              <w:pStyle w:val="TableColumnHeading"/>
              <w:ind w:right="28"/>
            </w:pPr>
            <w:r>
              <w:t>2010</w:t>
            </w:r>
            <w:r>
              <w:noBreakHyphen/>
              <w:t>11</w:t>
            </w:r>
          </w:p>
        </w:tc>
        <w:tc>
          <w:tcPr>
            <w:tcW w:w="610" w:type="pct"/>
            <w:gridSpan w:val="2"/>
            <w:tcBorders>
              <w:top w:val="single" w:sz="6" w:space="0" w:color="auto"/>
              <w:bottom w:val="single" w:sz="6" w:space="0" w:color="auto"/>
            </w:tcBorders>
            <w:shd w:val="clear" w:color="auto" w:fill="auto"/>
            <w:vAlign w:val="center"/>
          </w:tcPr>
          <w:p w:rsidR="00BF370E" w:rsidRDefault="00BF370E" w:rsidP="00386FA4">
            <w:pPr>
              <w:pStyle w:val="TableColumnHeading"/>
              <w:ind w:right="28"/>
            </w:pPr>
            <w:r>
              <w:t>2011</w:t>
            </w:r>
            <w:r>
              <w:noBreakHyphen/>
              <w:t>12</w:t>
            </w:r>
          </w:p>
        </w:tc>
      </w:tr>
      <w:tr w:rsidR="00D37AB8" w:rsidTr="00D37AB8">
        <w:trPr>
          <w:trHeight w:val="283"/>
        </w:trPr>
        <w:tc>
          <w:tcPr>
            <w:tcW w:w="5000" w:type="pct"/>
            <w:gridSpan w:val="10"/>
            <w:shd w:val="clear" w:color="auto" w:fill="auto"/>
            <w:vAlign w:val="center"/>
          </w:tcPr>
          <w:p w:rsidR="00D37AB8" w:rsidRPr="008E1CC5" w:rsidRDefault="00D37AB8" w:rsidP="00D37AB8">
            <w:pPr>
              <w:pStyle w:val="TableUnitsRow"/>
              <w:jc w:val="center"/>
              <w:rPr>
                <w:i/>
              </w:rPr>
            </w:pPr>
            <w:r w:rsidRPr="008E1CC5">
              <w:rPr>
                <w:i/>
              </w:rPr>
              <w:t>2008-09 series (preliminary)</w:t>
            </w:r>
          </w:p>
        </w:tc>
      </w:tr>
      <w:tr w:rsidR="005704A2" w:rsidTr="00322992">
        <w:trPr>
          <w:trHeight w:val="283"/>
        </w:trPr>
        <w:tc>
          <w:tcPr>
            <w:tcW w:w="1325" w:type="pct"/>
            <w:shd w:val="clear" w:color="auto" w:fill="auto"/>
            <w:vAlign w:val="center"/>
          </w:tcPr>
          <w:p w:rsidR="005704A2" w:rsidRDefault="005704A2" w:rsidP="00386FA4">
            <w:pPr>
              <w:pStyle w:val="TableBodyText"/>
              <w:spacing w:before="80"/>
              <w:jc w:val="left"/>
            </w:pPr>
            <w:r>
              <w:t>Output assistance</w:t>
            </w:r>
          </w:p>
        </w:tc>
        <w:tc>
          <w:tcPr>
            <w:tcW w:w="616" w:type="pct"/>
            <w:shd w:val="clear" w:color="auto" w:fill="auto"/>
            <w:vAlign w:val="center"/>
          </w:tcPr>
          <w:p w:rsidR="005704A2" w:rsidRPr="005704A2" w:rsidRDefault="002D0C96" w:rsidP="00386FA4">
            <w:pPr>
              <w:pStyle w:val="TableBodyText"/>
              <w:rPr>
                <w:i/>
              </w:rPr>
            </w:pPr>
            <w:r>
              <w:rPr>
                <w:i/>
              </w:rPr>
              <w:t>8472.0</w:t>
            </w:r>
          </w:p>
        </w:tc>
        <w:tc>
          <w:tcPr>
            <w:tcW w:w="613" w:type="pct"/>
            <w:tcBorders>
              <w:left w:val="nil"/>
            </w:tcBorders>
            <w:vAlign w:val="center"/>
          </w:tcPr>
          <w:p w:rsidR="005704A2" w:rsidRPr="005704A2" w:rsidRDefault="005704A2" w:rsidP="00386FA4">
            <w:pPr>
              <w:pStyle w:val="TableBodyText"/>
              <w:rPr>
                <w:i/>
              </w:rPr>
            </w:pPr>
            <w:r w:rsidRPr="005704A2">
              <w:rPr>
                <w:i/>
              </w:rPr>
              <w:t>9032.4</w:t>
            </w:r>
          </w:p>
        </w:tc>
        <w:tc>
          <w:tcPr>
            <w:tcW w:w="612" w:type="pct"/>
            <w:vAlign w:val="center"/>
          </w:tcPr>
          <w:p w:rsidR="005704A2" w:rsidRPr="00D3719C" w:rsidRDefault="005704A2" w:rsidP="00386FA4">
            <w:pPr>
              <w:pStyle w:val="TableBodyText"/>
            </w:pPr>
            <w:r w:rsidRPr="00D3719C">
              <w:t>8936.3</w:t>
            </w:r>
          </w:p>
        </w:tc>
        <w:tc>
          <w:tcPr>
            <w:tcW w:w="612" w:type="pct"/>
            <w:gridSpan w:val="2"/>
            <w:vAlign w:val="center"/>
          </w:tcPr>
          <w:p w:rsidR="005704A2" w:rsidRPr="00D3719C" w:rsidRDefault="005704A2" w:rsidP="00386FA4">
            <w:pPr>
              <w:pStyle w:val="TableBodyText"/>
            </w:pPr>
            <w:r w:rsidRPr="00D3719C">
              <w:t>8418.3</w:t>
            </w:r>
          </w:p>
        </w:tc>
        <w:tc>
          <w:tcPr>
            <w:tcW w:w="612" w:type="pct"/>
            <w:gridSpan w:val="2"/>
            <w:vAlign w:val="center"/>
          </w:tcPr>
          <w:p w:rsidR="005704A2" w:rsidRPr="00D3719C" w:rsidRDefault="005704A2" w:rsidP="00386FA4">
            <w:pPr>
              <w:pStyle w:val="TableBodyText"/>
            </w:pPr>
            <w:r w:rsidRPr="00D3719C">
              <w:t>8076.0</w:t>
            </w:r>
          </w:p>
        </w:tc>
        <w:tc>
          <w:tcPr>
            <w:tcW w:w="610" w:type="pct"/>
            <w:gridSpan w:val="2"/>
            <w:shd w:val="clear" w:color="auto" w:fill="auto"/>
            <w:vAlign w:val="center"/>
          </w:tcPr>
          <w:p w:rsidR="005704A2" w:rsidRPr="00D3719C" w:rsidRDefault="005704A2" w:rsidP="00386FA4">
            <w:pPr>
              <w:pStyle w:val="TableBodyText"/>
            </w:pPr>
            <w:r w:rsidRPr="00D3719C">
              <w:t>7895.0</w:t>
            </w:r>
          </w:p>
        </w:tc>
      </w:tr>
      <w:tr w:rsidR="005704A2" w:rsidTr="00322992">
        <w:trPr>
          <w:trHeight w:val="283"/>
        </w:trPr>
        <w:tc>
          <w:tcPr>
            <w:tcW w:w="1325" w:type="pct"/>
            <w:shd w:val="clear" w:color="auto" w:fill="auto"/>
            <w:vAlign w:val="center"/>
          </w:tcPr>
          <w:p w:rsidR="005704A2" w:rsidRDefault="005704A2" w:rsidP="00386FA4">
            <w:pPr>
              <w:pStyle w:val="TableBodyText"/>
              <w:jc w:val="left"/>
            </w:pPr>
            <w:r>
              <w:t>Input penalty</w:t>
            </w:r>
          </w:p>
        </w:tc>
        <w:tc>
          <w:tcPr>
            <w:tcW w:w="616" w:type="pct"/>
            <w:shd w:val="clear" w:color="auto" w:fill="auto"/>
            <w:vAlign w:val="center"/>
          </w:tcPr>
          <w:p w:rsidR="005704A2" w:rsidRPr="005704A2" w:rsidRDefault="002D0C96" w:rsidP="00386FA4">
            <w:pPr>
              <w:pStyle w:val="TableBodyText"/>
              <w:rPr>
                <w:i/>
              </w:rPr>
            </w:pPr>
            <w:r>
              <w:rPr>
                <w:i/>
              </w:rPr>
              <w:t>-5983.6</w:t>
            </w:r>
          </w:p>
        </w:tc>
        <w:tc>
          <w:tcPr>
            <w:tcW w:w="613" w:type="pct"/>
            <w:tcBorders>
              <w:left w:val="nil"/>
            </w:tcBorders>
            <w:vAlign w:val="center"/>
          </w:tcPr>
          <w:p w:rsidR="005704A2" w:rsidRPr="005704A2" w:rsidRDefault="005704A2" w:rsidP="00386FA4">
            <w:pPr>
              <w:pStyle w:val="TableBodyText"/>
              <w:rPr>
                <w:i/>
              </w:rPr>
            </w:pPr>
            <w:r w:rsidRPr="005704A2">
              <w:rPr>
                <w:i/>
              </w:rPr>
              <w:t>-6443.0</w:t>
            </w:r>
          </w:p>
        </w:tc>
        <w:tc>
          <w:tcPr>
            <w:tcW w:w="612" w:type="pct"/>
            <w:vAlign w:val="center"/>
          </w:tcPr>
          <w:p w:rsidR="005704A2" w:rsidRPr="00D3719C" w:rsidRDefault="005704A2" w:rsidP="00386FA4">
            <w:pPr>
              <w:pStyle w:val="TableBodyText"/>
            </w:pPr>
            <w:r w:rsidRPr="00D3719C">
              <w:t>-6717.0</w:t>
            </w:r>
          </w:p>
        </w:tc>
        <w:tc>
          <w:tcPr>
            <w:tcW w:w="612" w:type="pct"/>
            <w:gridSpan w:val="2"/>
            <w:vAlign w:val="center"/>
          </w:tcPr>
          <w:p w:rsidR="005704A2" w:rsidRPr="00D3719C" w:rsidRDefault="005704A2" w:rsidP="00386FA4">
            <w:pPr>
              <w:pStyle w:val="TableBodyText"/>
            </w:pPr>
            <w:r w:rsidRPr="00D3719C">
              <w:t>-6620.1</w:t>
            </w:r>
          </w:p>
        </w:tc>
        <w:tc>
          <w:tcPr>
            <w:tcW w:w="612" w:type="pct"/>
            <w:gridSpan w:val="2"/>
            <w:vAlign w:val="center"/>
          </w:tcPr>
          <w:p w:rsidR="005704A2" w:rsidRPr="00D3719C" w:rsidRDefault="005704A2" w:rsidP="00386FA4">
            <w:pPr>
              <w:pStyle w:val="TableBodyText"/>
            </w:pPr>
            <w:r w:rsidRPr="00D3719C">
              <w:t>-6652.5</w:t>
            </w:r>
          </w:p>
        </w:tc>
        <w:tc>
          <w:tcPr>
            <w:tcW w:w="610" w:type="pct"/>
            <w:gridSpan w:val="2"/>
            <w:shd w:val="clear" w:color="auto" w:fill="auto"/>
            <w:vAlign w:val="center"/>
          </w:tcPr>
          <w:p w:rsidR="005704A2" w:rsidRPr="00D3719C" w:rsidRDefault="005704A2" w:rsidP="00386FA4">
            <w:pPr>
              <w:pStyle w:val="TableBodyText"/>
            </w:pPr>
            <w:r w:rsidRPr="00D3719C">
              <w:t>-6813.8</w:t>
            </w:r>
          </w:p>
        </w:tc>
      </w:tr>
      <w:tr w:rsidR="005704A2" w:rsidTr="00322992">
        <w:trPr>
          <w:trHeight w:val="283"/>
        </w:trPr>
        <w:tc>
          <w:tcPr>
            <w:tcW w:w="1325" w:type="pct"/>
            <w:shd w:val="clear" w:color="auto" w:fill="auto"/>
            <w:vAlign w:val="center"/>
          </w:tcPr>
          <w:p w:rsidR="005704A2" w:rsidRDefault="005704A2" w:rsidP="00386FA4">
            <w:pPr>
              <w:pStyle w:val="TableBodyText"/>
              <w:jc w:val="left"/>
            </w:pPr>
            <w:r>
              <w:t>Net tariff assistance</w:t>
            </w:r>
          </w:p>
        </w:tc>
        <w:tc>
          <w:tcPr>
            <w:tcW w:w="616" w:type="pct"/>
            <w:shd w:val="clear" w:color="auto" w:fill="auto"/>
            <w:vAlign w:val="center"/>
          </w:tcPr>
          <w:p w:rsidR="005704A2" w:rsidRPr="005704A2" w:rsidRDefault="002D0C96" w:rsidP="00386FA4">
            <w:pPr>
              <w:pStyle w:val="TableBodyText"/>
              <w:rPr>
                <w:i/>
              </w:rPr>
            </w:pPr>
            <w:r>
              <w:rPr>
                <w:i/>
              </w:rPr>
              <w:t>2488.4</w:t>
            </w:r>
          </w:p>
        </w:tc>
        <w:tc>
          <w:tcPr>
            <w:tcW w:w="613" w:type="pct"/>
            <w:tcBorders>
              <w:left w:val="nil"/>
            </w:tcBorders>
            <w:vAlign w:val="center"/>
          </w:tcPr>
          <w:p w:rsidR="005704A2" w:rsidRPr="005704A2" w:rsidRDefault="005704A2" w:rsidP="00386FA4">
            <w:pPr>
              <w:pStyle w:val="TableBodyText"/>
              <w:rPr>
                <w:i/>
              </w:rPr>
            </w:pPr>
            <w:r w:rsidRPr="005704A2">
              <w:rPr>
                <w:i/>
              </w:rPr>
              <w:t>2589.4</w:t>
            </w:r>
          </w:p>
        </w:tc>
        <w:tc>
          <w:tcPr>
            <w:tcW w:w="612" w:type="pct"/>
            <w:vAlign w:val="center"/>
          </w:tcPr>
          <w:p w:rsidR="005704A2" w:rsidRPr="00D3719C" w:rsidRDefault="005704A2" w:rsidP="00386FA4">
            <w:pPr>
              <w:pStyle w:val="TableBodyText"/>
            </w:pPr>
            <w:r w:rsidRPr="00D3719C">
              <w:t>2219.3</w:t>
            </w:r>
          </w:p>
        </w:tc>
        <w:tc>
          <w:tcPr>
            <w:tcW w:w="612" w:type="pct"/>
            <w:gridSpan w:val="2"/>
            <w:vAlign w:val="center"/>
          </w:tcPr>
          <w:p w:rsidR="005704A2" w:rsidRPr="00D3719C" w:rsidRDefault="005704A2" w:rsidP="00386FA4">
            <w:pPr>
              <w:pStyle w:val="TableBodyText"/>
            </w:pPr>
            <w:r w:rsidRPr="00D3719C">
              <w:t>1798.2</w:t>
            </w:r>
          </w:p>
        </w:tc>
        <w:tc>
          <w:tcPr>
            <w:tcW w:w="612" w:type="pct"/>
            <w:gridSpan w:val="2"/>
            <w:vAlign w:val="center"/>
          </w:tcPr>
          <w:p w:rsidR="005704A2" w:rsidRPr="00D3719C" w:rsidRDefault="005704A2" w:rsidP="00386FA4">
            <w:pPr>
              <w:pStyle w:val="TableBodyText"/>
            </w:pPr>
            <w:r w:rsidRPr="00D3719C">
              <w:t>1423.5</w:t>
            </w:r>
          </w:p>
        </w:tc>
        <w:tc>
          <w:tcPr>
            <w:tcW w:w="610" w:type="pct"/>
            <w:gridSpan w:val="2"/>
            <w:shd w:val="clear" w:color="auto" w:fill="auto"/>
            <w:vAlign w:val="center"/>
          </w:tcPr>
          <w:p w:rsidR="005704A2" w:rsidRPr="00D3719C" w:rsidRDefault="005704A2" w:rsidP="00386FA4">
            <w:pPr>
              <w:pStyle w:val="TableBodyText"/>
            </w:pPr>
            <w:r w:rsidRPr="00D3719C">
              <w:t>1081.2</w:t>
            </w:r>
          </w:p>
        </w:tc>
      </w:tr>
      <w:tr w:rsidR="00D37AB8" w:rsidTr="00D37AB8">
        <w:trPr>
          <w:trHeight w:val="283"/>
        </w:trPr>
        <w:tc>
          <w:tcPr>
            <w:tcW w:w="1325" w:type="pct"/>
            <w:shd w:val="clear" w:color="auto" w:fill="auto"/>
            <w:vAlign w:val="center"/>
          </w:tcPr>
          <w:p w:rsidR="00D37AB8" w:rsidRDefault="00D37AB8" w:rsidP="00386FA4">
            <w:pPr>
              <w:pStyle w:val="TableBodyText"/>
              <w:jc w:val="left"/>
            </w:pPr>
          </w:p>
        </w:tc>
        <w:tc>
          <w:tcPr>
            <w:tcW w:w="616" w:type="pct"/>
            <w:shd w:val="clear" w:color="auto" w:fill="auto"/>
            <w:vAlign w:val="center"/>
          </w:tcPr>
          <w:p w:rsidR="00D37AB8" w:rsidRPr="005704A2" w:rsidRDefault="00D37AB8" w:rsidP="00386FA4">
            <w:pPr>
              <w:pStyle w:val="TableBodyText"/>
              <w:rPr>
                <w:i/>
              </w:rPr>
            </w:pPr>
          </w:p>
        </w:tc>
        <w:tc>
          <w:tcPr>
            <w:tcW w:w="613" w:type="pct"/>
            <w:vAlign w:val="center"/>
          </w:tcPr>
          <w:p w:rsidR="00D37AB8" w:rsidRPr="005704A2" w:rsidRDefault="00D37AB8" w:rsidP="00386FA4">
            <w:pPr>
              <w:pStyle w:val="TableBodyText"/>
              <w:rPr>
                <w:i/>
              </w:rPr>
            </w:pPr>
          </w:p>
        </w:tc>
        <w:tc>
          <w:tcPr>
            <w:tcW w:w="612" w:type="pct"/>
            <w:vAlign w:val="center"/>
          </w:tcPr>
          <w:p w:rsidR="00D37AB8" w:rsidRPr="00D3719C" w:rsidRDefault="00D37AB8" w:rsidP="00386FA4">
            <w:pPr>
              <w:pStyle w:val="TableBodyText"/>
            </w:pPr>
          </w:p>
        </w:tc>
        <w:tc>
          <w:tcPr>
            <w:tcW w:w="612" w:type="pct"/>
            <w:gridSpan w:val="2"/>
            <w:vAlign w:val="center"/>
          </w:tcPr>
          <w:p w:rsidR="00D37AB8" w:rsidRPr="00D3719C" w:rsidRDefault="00D37AB8" w:rsidP="00386FA4">
            <w:pPr>
              <w:pStyle w:val="TableBodyText"/>
            </w:pPr>
          </w:p>
        </w:tc>
        <w:tc>
          <w:tcPr>
            <w:tcW w:w="612" w:type="pct"/>
            <w:gridSpan w:val="2"/>
            <w:vAlign w:val="center"/>
          </w:tcPr>
          <w:p w:rsidR="00D37AB8" w:rsidRPr="00D3719C" w:rsidRDefault="00D37AB8" w:rsidP="00386FA4">
            <w:pPr>
              <w:pStyle w:val="TableBodyText"/>
            </w:pPr>
          </w:p>
        </w:tc>
        <w:tc>
          <w:tcPr>
            <w:tcW w:w="610" w:type="pct"/>
            <w:gridSpan w:val="2"/>
            <w:shd w:val="clear" w:color="auto" w:fill="auto"/>
            <w:vAlign w:val="center"/>
          </w:tcPr>
          <w:p w:rsidR="00D37AB8" w:rsidRPr="00D3719C" w:rsidRDefault="00D37AB8" w:rsidP="00386FA4">
            <w:pPr>
              <w:pStyle w:val="TableBodyText"/>
            </w:pPr>
          </w:p>
        </w:tc>
      </w:tr>
      <w:tr w:rsidR="008E1CC5" w:rsidTr="008E1CC5">
        <w:trPr>
          <w:trHeight w:val="283"/>
        </w:trPr>
        <w:tc>
          <w:tcPr>
            <w:tcW w:w="5000" w:type="pct"/>
            <w:gridSpan w:val="10"/>
            <w:shd w:val="clear" w:color="auto" w:fill="auto"/>
            <w:vAlign w:val="center"/>
          </w:tcPr>
          <w:p w:rsidR="008E1CC5" w:rsidRPr="008E1CC5" w:rsidRDefault="008E1CC5" w:rsidP="008E1CC5">
            <w:pPr>
              <w:pStyle w:val="TableUnitsRow"/>
              <w:jc w:val="center"/>
              <w:rPr>
                <w:i/>
              </w:rPr>
            </w:pPr>
            <w:r w:rsidRPr="008E1CC5">
              <w:rPr>
                <w:i/>
              </w:rPr>
              <w:t>2004-05 series</w:t>
            </w:r>
            <w:r w:rsidR="00F640B0" w:rsidRPr="00115B98">
              <w:rPr>
                <w:rStyle w:val="NoteLabel"/>
              </w:rPr>
              <w:t>b</w:t>
            </w:r>
          </w:p>
        </w:tc>
      </w:tr>
      <w:tr w:rsidR="00D37AB8" w:rsidTr="00115B98">
        <w:trPr>
          <w:gridAfter w:val="1"/>
          <w:wAfter w:w="7" w:type="pct"/>
          <w:trHeight w:val="283"/>
        </w:trPr>
        <w:tc>
          <w:tcPr>
            <w:tcW w:w="1325" w:type="pct"/>
            <w:shd w:val="clear" w:color="auto" w:fill="auto"/>
            <w:vAlign w:val="center"/>
          </w:tcPr>
          <w:p w:rsidR="00D37AB8" w:rsidRDefault="00D37AB8" w:rsidP="008E1CC5">
            <w:pPr>
              <w:pStyle w:val="TableBodyText"/>
              <w:spacing w:before="80"/>
              <w:jc w:val="left"/>
            </w:pPr>
            <w:r>
              <w:t>Output assistance</w:t>
            </w:r>
          </w:p>
        </w:tc>
        <w:tc>
          <w:tcPr>
            <w:tcW w:w="616" w:type="pct"/>
            <w:shd w:val="clear" w:color="auto" w:fill="auto"/>
            <w:vAlign w:val="center"/>
          </w:tcPr>
          <w:p w:rsidR="00D37AB8" w:rsidRDefault="00D37AB8" w:rsidP="00C126FD">
            <w:pPr>
              <w:pStyle w:val="TableBodyText"/>
            </w:pPr>
            <w:r>
              <w:t>9215.3</w:t>
            </w:r>
          </w:p>
        </w:tc>
        <w:tc>
          <w:tcPr>
            <w:tcW w:w="613" w:type="pct"/>
            <w:vAlign w:val="center"/>
          </w:tcPr>
          <w:p w:rsidR="00D37AB8" w:rsidRDefault="00D37AB8" w:rsidP="00C126FD">
            <w:pPr>
              <w:pStyle w:val="TableBodyText"/>
            </w:pPr>
            <w:r>
              <w:t>9847.0</w:t>
            </w:r>
          </w:p>
        </w:tc>
        <w:tc>
          <w:tcPr>
            <w:tcW w:w="612" w:type="pct"/>
            <w:tcBorders>
              <w:right w:val="single" w:sz="18" w:space="0" w:color="auto"/>
            </w:tcBorders>
            <w:vAlign w:val="center"/>
          </w:tcPr>
          <w:p w:rsidR="00D37AB8" w:rsidRDefault="00D37AB8" w:rsidP="00F11E13">
            <w:pPr>
              <w:pStyle w:val="TableBodyText"/>
            </w:pPr>
            <w:r>
              <w:t>9591.9</w:t>
            </w:r>
          </w:p>
        </w:tc>
        <w:tc>
          <w:tcPr>
            <w:tcW w:w="605" w:type="pct"/>
            <w:tcBorders>
              <w:left w:val="single" w:sz="18" w:space="0" w:color="auto"/>
            </w:tcBorders>
            <w:vAlign w:val="center"/>
          </w:tcPr>
          <w:p w:rsidR="00D37AB8" w:rsidRPr="00D3719C" w:rsidRDefault="00D37AB8" w:rsidP="00386FA4">
            <w:pPr>
              <w:pStyle w:val="TableBodyText"/>
            </w:pPr>
          </w:p>
        </w:tc>
        <w:tc>
          <w:tcPr>
            <w:tcW w:w="612" w:type="pct"/>
            <w:gridSpan w:val="2"/>
            <w:vAlign w:val="center"/>
          </w:tcPr>
          <w:p w:rsidR="00D37AB8" w:rsidRPr="00D3719C" w:rsidRDefault="00D37AB8" w:rsidP="00386FA4">
            <w:pPr>
              <w:pStyle w:val="TableBodyText"/>
            </w:pPr>
          </w:p>
        </w:tc>
        <w:tc>
          <w:tcPr>
            <w:tcW w:w="610" w:type="pct"/>
            <w:gridSpan w:val="2"/>
            <w:shd w:val="clear" w:color="auto" w:fill="auto"/>
            <w:vAlign w:val="center"/>
          </w:tcPr>
          <w:p w:rsidR="00D37AB8" w:rsidRPr="00D3719C" w:rsidRDefault="00D37AB8" w:rsidP="00386FA4">
            <w:pPr>
              <w:pStyle w:val="TableBodyText"/>
            </w:pPr>
          </w:p>
        </w:tc>
      </w:tr>
      <w:tr w:rsidR="00D37AB8" w:rsidTr="00115B98">
        <w:trPr>
          <w:gridAfter w:val="1"/>
          <w:wAfter w:w="7" w:type="pct"/>
          <w:trHeight w:val="283"/>
        </w:trPr>
        <w:tc>
          <w:tcPr>
            <w:tcW w:w="1325" w:type="pct"/>
            <w:shd w:val="clear" w:color="auto" w:fill="auto"/>
            <w:vAlign w:val="center"/>
          </w:tcPr>
          <w:p w:rsidR="00D37AB8" w:rsidRDefault="00D37AB8" w:rsidP="008E1CC5">
            <w:pPr>
              <w:pStyle w:val="TableBodyText"/>
              <w:jc w:val="left"/>
            </w:pPr>
            <w:r>
              <w:t>Input penalty</w:t>
            </w:r>
          </w:p>
        </w:tc>
        <w:tc>
          <w:tcPr>
            <w:tcW w:w="616" w:type="pct"/>
            <w:shd w:val="clear" w:color="auto" w:fill="auto"/>
            <w:vAlign w:val="center"/>
          </w:tcPr>
          <w:p w:rsidR="00D37AB8" w:rsidRDefault="00D37AB8" w:rsidP="00C126FD">
            <w:pPr>
              <w:pStyle w:val="TableBodyText"/>
            </w:pPr>
            <w:r>
              <w:t>-7387.6</w:t>
            </w:r>
          </w:p>
        </w:tc>
        <w:tc>
          <w:tcPr>
            <w:tcW w:w="613" w:type="pct"/>
            <w:vAlign w:val="center"/>
          </w:tcPr>
          <w:p w:rsidR="00D37AB8" w:rsidRDefault="00D37AB8" w:rsidP="00C126FD">
            <w:pPr>
              <w:pStyle w:val="TableBodyText"/>
            </w:pPr>
            <w:r>
              <w:t>-7963.4</w:t>
            </w:r>
          </w:p>
        </w:tc>
        <w:tc>
          <w:tcPr>
            <w:tcW w:w="612" w:type="pct"/>
            <w:tcBorders>
              <w:right w:val="single" w:sz="18" w:space="0" w:color="auto"/>
            </w:tcBorders>
            <w:vAlign w:val="center"/>
          </w:tcPr>
          <w:p w:rsidR="00D37AB8" w:rsidRDefault="00D37AB8" w:rsidP="00C126FD">
            <w:pPr>
              <w:pStyle w:val="TableBodyText"/>
            </w:pPr>
            <w:r>
              <w:t>-8254.1</w:t>
            </w:r>
          </w:p>
        </w:tc>
        <w:tc>
          <w:tcPr>
            <w:tcW w:w="605" w:type="pct"/>
            <w:tcBorders>
              <w:left w:val="single" w:sz="18" w:space="0" w:color="auto"/>
            </w:tcBorders>
            <w:vAlign w:val="center"/>
          </w:tcPr>
          <w:p w:rsidR="00D37AB8" w:rsidRPr="00D3719C" w:rsidRDefault="00D37AB8" w:rsidP="00386FA4">
            <w:pPr>
              <w:pStyle w:val="TableBodyText"/>
            </w:pPr>
          </w:p>
        </w:tc>
        <w:tc>
          <w:tcPr>
            <w:tcW w:w="612" w:type="pct"/>
            <w:gridSpan w:val="2"/>
            <w:vAlign w:val="center"/>
          </w:tcPr>
          <w:p w:rsidR="00D37AB8" w:rsidRPr="00D3719C" w:rsidRDefault="00D37AB8" w:rsidP="00386FA4">
            <w:pPr>
              <w:pStyle w:val="TableBodyText"/>
            </w:pPr>
          </w:p>
        </w:tc>
        <w:tc>
          <w:tcPr>
            <w:tcW w:w="610" w:type="pct"/>
            <w:gridSpan w:val="2"/>
            <w:shd w:val="clear" w:color="auto" w:fill="auto"/>
            <w:vAlign w:val="center"/>
          </w:tcPr>
          <w:p w:rsidR="00D37AB8" w:rsidRPr="00D3719C" w:rsidRDefault="00D37AB8" w:rsidP="00386FA4">
            <w:pPr>
              <w:pStyle w:val="TableBodyText"/>
            </w:pPr>
          </w:p>
        </w:tc>
      </w:tr>
      <w:tr w:rsidR="00D37AB8" w:rsidTr="00115B98">
        <w:trPr>
          <w:gridAfter w:val="1"/>
          <w:wAfter w:w="7" w:type="pct"/>
          <w:trHeight w:val="283"/>
        </w:trPr>
        <w:tc>
          <w:tcPr>
            <w:tcW w:w="1325" w:type="pct"/>
            <w:shd w:val="clear" w:color="auto" w:fill="auto"/>
            <w:vAlign w:val="center"/>
          </w:tcPr>
          <w:p w:rsidR="00D37AB8" w:rsidRDefault="00D37AB8" w:rsidP="008E1CC5">
            <w:pPr>
              <w:pStyle w:val="TableBodyText"/>
              <w:jc w:val="left"/>
            </w:pPr>
            <w:r>
              <w:t>Net tariff assistance</w:t>
            </w:r>
          </w:p>
        </w:tc>
        <w:tc>
          <w:tcPr>
            <w:tcW w:w="616" w:type="pct"/>
            <w:shd w:val="clear" w:color="auto" w:fill="auto"/>
            <w:vAlign w:val="center"/>
          </w:tcPr>
          <w:p w:rsidR="00D37AB8" w:rsidRDefault="00D37AB8" w:rsidP="00C126FD">
            <w:pPr>
              <w:pStyle w:val="TableBodyText"/>
            </w:pPr>
            <w:r>
              <w:t>1827.7</w:t>
            </w:r>
          </w:p>
        </w:tc>
        <w:tc>
          <w:tcPr>
            <w:tcW w:w="613" w:type="pct"/>
            <w:vAlign w:val="center"/>
          </w:tcPr>
          <w:p w:rsidR="00D37AB8" w:rsidRDefault="00D37AB8" w:rsidP="00C126FD">
            <w:pPr>
              <w:pStyle w:val="TableBodyText"/>
            </w:pPr>
            <w:r>
              <w:t>1883.7</w:t>
            </w:r>
          </w:p>
        </w:tc>
        <w:tc>
          <w:tcPr>
            <w:tcW w:w="612" w:type="pct"/>
            <w:tcBorders>
              <w:right w:val="single" w:sz="18" w:space="0" w:color="auto"/>
            </w:tcBorders>
            <w:vAlign w:val="center"/>
          </w:tcPr>
          <w:p w:rsidR="00D37AB8" w:rsidRDefault="00D37AB8" w:rsidP="00C126FD">
            <w:pPr>
              <w:pStyle w:val="TableBodyText"/>
            </w:pPr>
            <w:r>
              <w:t>1337.8</w:t>
            </w:r>
          </w:p>
        </w:tc>
        <w:tc>
          <w:tcPr>
            <w:tcW w:w="605" w:type="pct"/>
            <w:tcBorders>
              <w:left w:val="single" w:sz="18" w:space="0" w:color="auto"/>
            </w:tcBorders>
            <w:vAlign w:val="center"/>
          </w:tcPr>
          <w:p w:rsidR="00D37AB8" w:rsidRPr="00D3719C" w:rsidRDefault="00D37AB8" w:rsidP="00386FA4">
            <w:pPr>
              <w:pStyle w:val="TableBodyText"/>
            </w:pPr>
          </w:p>
        </w:tc>
        <w:tc>
          <w:tcPr>
            <w:tcW w:w="612" w:type="pct"/>
            <w:gridSpan w:val="2"/>
            <w:vAlign w:val="center"/>
          </w:tcPr>
          <w:p w:rsidR="00D37AB8" w:rsidRPr="00D3719C" w:rsidRDefault="00D37AB8" w:rsidP="00386FA4">
            <w:pPr>
              <w:pStyle w:val="TableBodyText"/>
            </w:pPr>
          </w:p>
        </w:tc>
        <w:tc>
          <w:tcPr>
            <w:tcW w:w="610" w:type="pct"/>
            <w:gridSpan w:val="2"/>
            <w:shd w:val="clear" w:color="auto" w:fill="auto"/>
            <w:vAlign w:val="center"/>
          </w:tcPr>
          <w:p w:rsidR="00D37AB8" w:rsidRPr="00D3719C" w:rsidRDefault="00D37AB8" w:rsidP="00386FA4">
            <w:pPr>
              <w:pStyle w:val="TableBodyText"/>
            </w:pPr>
          </w:p>
        </w:tc>
      </w:tr>
      <w:tr w:rsidR="00D37AB8" w:rsidTr="00386FA4">
        <w:trPr>
          <w:trHeight w:val="283"/>
        </w:trPr>
        <w:tc>
          <w:tcPr>
            <w:tcW w:w="1325" w:type="pct"/>
            <w:tcBorders>
              <w:bottom w:val="single" w:sz="4" w:space="0" w:color="auto"/>
            </w:tcBorders>
            <w:shd w:val="clear" w:color="auto" w:fill="auto"/>
            <w:vAlign w:val="center"/>
          </w:tcPr>
          <w:p w:rsidR="00D37AB8" w:rsidRDefault="00D37AB8" w:rsidP="00386FA4">
            <w:pPr>
              <w:pStyle w:val="TableBodyText"/>
              <w:jc w:val="left"/>
            </w:pPr>
          </w:p>
        </w:tc>
        <w:tc>
          <w:tcPr>
            <w:tcW w:w="616" w:type="pct"/>
            <w:tcBorders>
              <w:bottom w:val="single" w:sz="4" w:space="0" w:color="auto"/>
            </w:tcBorders>
            <w:shd w:val="clear" w:color="auto" w:fill="auto"/>
            <w:vAlign w:val="center"/>
          </w:tcPr>
          <w:p w:rsidR="00D37AB8" w:rsidRPr="005704A2" w:rsidRDefault="00D37AB8" w:rsidP="00386FA4">
            <w:pPr>
              <w:pStyle w:val="TableBodyText"/>
              <w:rPr>
                <w:i/>
              </w:rPr>
            </w:pPr>
          </w:p>
        </w:tc>
        <w:tc>
          <w:tcPr>
            <w:tcW w:w="613" w:type="pct"/>
            <w:tcBorders>
              <w:bottom w:val="single" w:sz="4" w:space="0" w:color="auto"/>
            </w:tcBorders>
            <w:vAlign w:val="center"/>
          </w:tcPr>
          <w:p w:rsidR="00D37AB8" w:rsidRPr="005704A2" w:rsidRDefault="00D37AB8" w:rsidP="00386FA4">
            <w:pPr>
              <w:pStyle w:val="TableBodyText"/>
              <w:rPr>
                <w:i/>
              </w:rPr>
            </w:pPr>
          </w:p>
        </w:tc>
        <w:tc>
          <w:tcPr>
            <w:tcW w:w="612" w:type="pct"/>
            <w:tcBorders>
              <w:bottom w:val="single" w:sz="4" w:space="0" w:color="auto"/>
            </w:tcBorders>
            <w:vAlign w:val="center"/>
          </w:tcPr>
          <w:p w:rsidR="00D37AB8" w:rsidRPr="00D3719C" w:rsidRDefault="00D37AB8" w:rsidP="00386FA4">
            <w:pPr>
              <w:pStyle w:val="TableBodyText"/>
            </w:pPr>
          </w:p>
        </w:tc>
        <w:tc>
          <w:tcPr>
            <w:tcW w:w="612" w:type="pct"/>
            <w:gridSpan w:val="2"/>
            <w:tcBorders>
              <w:bottom w:val="single" w:sz="4" w:space="0" w:color="auto"/>
            </w:tcBorders>
            <w:vAlign w:val="center"/>
          </w:tcPr>
          <w:p w:rsidR="00D37AB8" w:rsidRPr="00D3719C" w:rsidRDefault="00D37AB8" w:rsidP="00386FA4">
            <w:pPr>
              <w:pStyle w:val="TableBodyText"/>
            </w:pPr>
          </w:p>
        </w:tc>
        <w:tc>
          <w:tcPr>
            <w:tcW w:w="612" w:type="pct"/>
            <w:gridSpan w:val="2"/>
            <w:tcBorders>
              <w:bottom w:val="single" w:sz="4" w:space="0" w:color="auto"/>
            </w:tcBorders>
            <w:vAlign w:val="center"/>
          </w:tcPr>
          <w:p w:rsidR="00D37AB8" w:rsidRPr="00D3719C" w:rsidRDefault="00D37AB8" w:rsidP="00386FA4">
            <w:pPr>
              <w:pStyle w:val="TableBodyText"/>
            </w:pPr>
          </w:p>
        </w:tc>
        <w:tc>
          <w:tcPr>
            <w:tcW w:w="610" w:type="pct"/>
            <w:gridSpan w:val="2"/>
            <w:tcBorders>
              <w:bottom w:val="single" w:sz="4" w:space="0" w:color="auto"/>
            </w:tcBorders>
            <w:shd w:val="clear" w:color="auto" w:fill="auto"/>
            <w:vAlign w:val="center"/>
          </w:tcPr>
          <w:p w:rsidR="00D37AB8" w:rsidRPr="00D3719C" w:rsidRDefault="00D37AB8" w:rsidP="00386FA4">
            <w:pPr>
              <w:pStyle w:val="TableBodyText"/>
            </w:pPr>
          </w:p>
        </w:tc>
      </w:tr>
    </w:tbl>
    <w:p w:rsidR="00BF370E" w:rsidRDefault="00F640B0" w:rsidP="00BF370E">
      <w:pPr>
        <w:pStyle w:val="Note"/>
      </w:pPr>
      <w:r w:rsidRPr="008E77FE">
        <w:rPr>
          <w:rStyle w:val="NoteLabel"/>
        </w:rPr>
        <w:t>a</w:t>
      </w:r>
      <w:r>
        <w:t> </w:t>
      </w:r>
      <w:r w:rsidR="00BF370E" w:rsidRPr="00EB7027">
        <w:t xml:space="preserve">Nominal tariff assistance estimates </w:t>
      </w:r>
      <w:r w:rsidR="00BF370E">
        <w:t xml:space="preserve">are </w:t>
      </w:r>
      <w:r w:rsidR="00BF370E" w:rsidRPr="00EB7027">
        <w:t>derived by re-indexing a reference series based on 200</w:t>
      </w:r>
      <w:r w:rsidR="00BF370E">
        <w:t>8</w:t>
      </w:r>
      <w:r w:rsidR="00BF370E">
        <w:noBreakHyphen/>
        <w:t>09</w:t>
      </w:r>
      <w:r w:rsidR="00BF370E" w:rsidRPr="00EB7027">
        <w:t xml:space="preserve"> </w:t>
      </w:r>
      <w:r w:rsidR="008E1CC5">
        <w:t>(and 2004-0</w:t>
      </w:r>
      <w:r w:rsidR="002D0C96">
        <w:t>5</w:t>
      </w:r>
      <w:r w:rsidR="002B3722">
        <w:t>, as appropriate</w:t>
      </w:r>
      <w:r w:rsidR="008E1CC5">
        <w:t xml:space="preserve">) </w:t>
      </w:r>
      <w:r w:rsidR="00BF370E" w:rsidRPr="00EB7027">
        <w:t>ABS input-output data, using ABS Industry Gross Value Added at current prices data</w:t>
      </w:r>
      <w:r w:rsidR="00F11E13">
        <w:t xml:space="preserve"> (ABS 2012b)</w:t>
      </w:r>
      <w:r w:rsidR="00BF370E" w:rsidRPr="00EB7027">
        <w:t>. This information is subject to periodic revision by the ABS.</w:t>
      </w:r>
      <w:r w:rsidR="000647CB">
        <w:t xml:space="preserve"> </w:t>
      </w:r>
      <w:r w:rsidR="00BF370E">
        <w:t xml:space="preserve"> </w:t>
      </w:r>
      <w:r>
        <w:rPr>
          <w:rStyle w:val="NoteLabel"/>
        </w:rPr>
        <w:t>b</w:t>
      </w:r>
      <w:r>
        <w:t> Overlapping estimates shown for comparison of trends between the old (2004</w:t>
      </w:r>
      <w:r>
        <w:noBreakHyphen/>
        <w:t>05-based) and new (2008</w:t>
      </w:r>
      <w:r>
        <w:noBreakHyphen/>
        <w:t xml:space="preserve">09-based) series. </w:t>
      </w:r>
    </w:p>
    <w:p w:rsidR="00BF370E" w:rsidRPr="008E77FE" w:rsidRDefault="00BF370E" w:rsidP="00BF370E">
      <w:pPr>
        <w:pStyle w:val="Source"/>
      </w:pPr>
      <w:r>
        <w:rPr>
          <w:i/>
        </w:rPr>
        <w:t>Source</w:t>
      </w:r>
      <w:r>
        <w:t xml:space="preserve">: Commission estimates. </w:t>
      </w:r>
    </w:p>
    <w:p w:rsidR="00C349BA" w:rsidRDefault="00C349BA" w:rsidP="00C374BC">
      <w:pPr>
        <w:pStyle w:val="Heading3"/>
      </w:pPr>
      <w:r>
        <w:t>Input penalty</w:t>
      </w:r>
    </w:p>
    <w:p w:rsidR="00BF370E" w:rsidRDefault="00BF370E" w:rsidP="00BF370E">
      <w:pPr>
        <w:pStyle w:val="BodyText"/>
      </w:pPr>
      <w:r>
        <w:t xml:space="preserve">In the new </w:t>
      </w:r>
      <w:r w:rsidR="00261699">
        <w:t>— 2008</w:t>
      </w:r>
      <w:r w:rsidR="002D0C96">
        <w:noBreakHyphen/>
      </w:r>
      <w:r w:rsidR="00261699">
        <w:t xml:space="preserve">09 — </w:t>
      </w:r>
      <w:r>
        <w:t>series, the estimated cost penalty on inputs to user industries (including primary, manufacturing and service industries) arising from tariffs was around $</w:t>
      </w:r>
      <w:r w:rsidRPr="003036A9">
        <w:t>6.</w:t>
      </w:r>
      <w:r>
        <w:t>8 billion in 2011</w:t>
      </w:r>
      <w:r>
        <w:noBreakHyphen/>
        <w:t xml:space="preserve">12. This compares with a </w:t>
      </w:r>
      <w:r w:rsidR="00541CE7">
        <w:t>penalty</w:t>
      </w:r>
      <w:r>
        <w:t xml:space="preserve"> of </w:t>
      </w:r>
      <w:r w:rsidR="002D0C96">
        <w:t xml:space="preserve">around </w:t>
      </w:r>
      <w:r>
        <w:t>$</w:t>
      </w:r>
      <w:r w:rsidRPr="003036A9">
        <w:t>6</w:t>
      </w:r>
      <w:r w:rsidRPr="00A031BD">
        <w:t> </w:t>
      </w:r>
      <w:r>
        <w:t xml:space="preserve">billion in </w:t>
      </w:r>
      <w:r w:rsidRPr="00CA542B">
        <w:t>200</w:t>
      </w:r>
      <w:r w:rsidR="002D0C96">
        <w:t>6</w:t>
      </w:r>
      <w:r w:rsidRPr="00CA542B">
        <w:noBreakHyphen/>
        <w:t>0</w:t>
      </w:r>
      <w:r w:rsidR="002D0C96">
        <w:t>7</w:t>
      </w:r>
      <w:r>
        <w:t xml:space="preserve">. </w:t>
      </w:r>
      <w:r w:rsidR="00C62EF5">
        <w:t>Given the input-output structure of the 2008</w:t>
      </w:r>
      <w:r w:rsidR="00C62EF5">
        <w:noBreakHyphen/>
        <w:t>09 input-output tables, t</w:t>
      </w:r>
      <w:r>
        <w:t xml:space="preserve">he estimated penalty has increased in nominal terms with the general growth in the economy and rising price levels. This increase was moderated </w:t>
      </w:r>
      <w:r w:rsidR="00C62EF5">
        <w:t>in 2009</w:t>
      </w:r>
      <w:r w:rsidR="00C62EF5">
        <w:noBreakHyphen/>
        <w:t>10 and 2010</w:t>
      </w:r>
      <w:r w:rsidR="00C62EF5">
        <w:noBreakHyphen/>
        <w:t xml:space="preserve">11 </w:t>
      </w:r>
      <w:r>
        <w:t xml:space="preserve">by reductions in tariffs on passenger motor vehicles and parts, and textiles, clothing and footwear products in </w:t>
      </w:r>
      <w:r w:rsidR="00C62EF5">
        <w:t>January </w:t>
      </w:r>
      <w:r>
        <w:t xml:space="preserve">2010. </w:t>
      </w:r>
    </w:p>
    <w:p w:rsidR="00261699" w:rsidRDefault="00261699" w:rsidP="00261699">
      <w:pPr>
        <w:pStyle w:val="BodyText"/>
      </w:pPr>
      <w:r>
        <w:t>The changing structure of the economy</w:t>
      </w:r>
      <w:r w:rsidR="00CD3289">
        <w:t>, as reflected in ABS input-output tables,</w:t>
      </w:r>
      <w:r>
        <w:t xml:space="preserve"> has been associate</w:t>
      </w:r>
      <w:r w:rsidR="00C349BA">
        <w:t>d</w:t>
      </w:r>
      <w:r>
        <w:t xml:space="preserve"> </w:t>
      </w:r>
      <w:r w:rsidR="00C62EF5">
        <w:t xml:space="preserve">both </w:t>
      </w:r>
      <w:r>
        <w:t xml:space="preserve">with an increase in the size of non-tariff assisted activities and </w:t>
      </w:r>
      <w:r w:rsidR="00CD3289">
        <w:t>a shift towards the use of inputs that have lower or zero tariffs (including services). As noted (box </w:t>
      </w:r>
      <w:r w:rsidR="002D0C96">
        <w:fldChar w:fldCharType="begin"/>
      </w:r>
      <w:r w:rsidR="002D0C96">
        <w:instrText xml:space="preserve"> LINK </w:instrText>
      </w:r>
      <w:r w:rsidR="00655E7D">
        <w:instrText xml:space="preserve">Word.Document.12 "\\\\nch1\\esb\\T A R\\2011-12\\AAreport\\12 - Ch2 - Assistance estimates.docx" OLE_LINK9 </w:instrText>
      </w:r>
      <w:r w:rsidR="002D0C96">
        <w:instrText xml:space="preserve">\a \t </w:instrText>
      </w:r>
      <w:r w:rsidR="002D0C96">
        <w:fldChar w:fldCharType="separate"/>
      </w:r>
      <w:r w:rsidR="00655E7D">
        <w:t>2.2</w:t>
      </w:r>
      <w:r w:rsidR="002D0C96">
        <w:fldChar w:fldCharType="end"/>
      </w:r>
      <w:r w:rsidR="00CD3289">
        <w:t xml:space="preserve">), the first of these changes would raise the cost of the tariffs to local producers (as the demand for inputs expands) </w:t>
      </w:r>
      <w:r w:rsidR="00C62EF5">
        <w:t>and is reflected in year-to-year estimated</w:t>
      </w:r>
      <w:r w:rsidR="00C349BA" w:rsidRPr="00C349BA">
        <w:t xml:space="preserve"> </w:t>
      </w:r>
      <w:r w:rsidR="00C349BA">
        <w:t>assistance</w:t>
      </w:r>
      <w:r w:rsidR="00C62EF5">
        <w:t>. T</w:t>
      </w:r>
      <w:r w:rsidR="00CD3289">
        <w:t>he second</w:t>
      </w:r>
      <w:r w:rsidR="00C62EF5">
        <w:t>, however,</w:t>
      </w:r>
      <w:r w:rsidR="00CD3289">
        <w:t xml:space="preserve"> would lower the cost of tariffs (as producers use of goods with low or zero tariffs and services, increase)</w:t>
      </w:r>
      <w:r w:rsidR="00C62EF5">
        <w:t xml:space="preserve"> and is captured with the re-benchmarking of assistance estimates</w:t>
      </w:r>
      <w:r w:rsidR="00CD3289">
        <w:t xml:space="preserve">. Overall, the cost lowering effect </w:t>
      </w:r>
      <w:r w:rsidR="00C62EF5">
        <w:t xml:space="preserve">of structural changes between the input-output years appears to have exceeded the cost raising effects, so that the </w:t>
      </w:r>
      <w:r>
        <w:t xml:space="preserve">estimated level of </w:t>
      </w:r>
      <w:r w:rsidR="00C62EF5">
        <w:t xml:space="preserve">input penalty is lower </w:t>
      </w:r>
      <w:r>
        <w:t>in the re-benchmarked series (in the overlapping years) than the previous series. (table </w:t>
      </w:r>
      <w:r w:rsidR="002D0C96">
        <w:fldChar w:fldCharType="begin"/>
      </w:r>
      <w:r w:rsidR="002D0C96">
        <w:instrText xml:space="preserve"> LINK </w:instrText>
      </w:r>
      <w:r w:rsidR="00655E7D">
        <w:instrText xml:space="preserve">Word.Document.12 "\\\\nch1\\esb\\T A R\\2011-12\\AAreport\\12 - Ch2 - Assistance estimates.docx" OLE_LINK6 </w:instrText>
      </w:r>
      <w:r w:rsidR="002D0C96">
        <w:instrText xml:space="preserve">\a \t </w:instrText>
      </w:r>
      <w:r w:rsidR="002D0C96">
        <w:fldChar w:fldCharType="separate"/>
      </w:r>
      <w:r w:rsidR="00655E7D">
        <w:t>2.1</w:t>
      </w:r>
      <w:r w:rsidR="002D0C96">
        <w:fldChar w:fldCharType="end"/>
      </w:r>
      <w:r>
        <w:t xml:space="preserve">). </w:t>
      </w:r>
    </w:p>
    <w:p w:rsidR="00C349BA" w:rsidRDefault="00C349BA" w:rsidP="00C374BC">
      <w:pPr>
        <w:pStyle w:val="Heading3"/>
      </w:pPr>
      <w:r>
        <w:lastRenderedPageBreak/>
        <w:t>Net tariff assistance</w:t>
      </w:r>
    </w:p>
    <w:p w:rsidR="00BF370E" w:rsidRDefault="00BF370E" w:rsidP="00BF370E">
      <w:pPr>
        <w:pStyle w:val="BodyText"/>
      </w:pPr>
      <w:r>
        <w:t>After deducting the tariff input penalty from the output assistance, net tariff assistance (for the Australian economy) was estimated to be around $1</w:t>
      </w:r>
      <w:r w:rsidRPr="003036A9">
        <w:t>.</w:t>
      </w:r>
      <w:r>
        <w:t>1 billion in 2011</w:t>
      </w:r>
      <w:r>
        <w:noBreakHyphen/>
        <w:t xml:space="preserve">12, down from </w:t>
      </w:r>
      <w:r w:rsidR="002E5303">
        <w:t xml:space="preserve">nearly </w:t>
      </w:r>
      <w:r>
        <w:t>$</w:t>
      </w:r>
      <w:r w:rsidRPr="003036A9">
        <w:t>2.</w:t>
      </w:r>
      <w:r w:rsidR="002D0C96">
        <w:t>5</w:t>
      </w:r>
      <w:r w:rsidRPr="00A031BD">
        <w:t> </w:t>
      </w:r>
      <w:r>
        <w:t>billion in 200</w:t>
      </w:r>
      <w:r w:rsidR="002D0C96">
        <w:t>6</w:t>
      </w:r>
      <w:r>
        <w:noBreakHyphen/>
        <w:t>0</w:t>
      </w:r>
      <w:r w:rsidR="002D0C96">
        <w:t>7</w:t>
      </w:r>
      <w:r>
        <w:t xml:space="preserve">. This reflects both high relative growth in the services sector (which incurs significant tariff penalties), especially relative to the manufacturing sector (a significant beneficiary of tariff assistance), together with some reductions in tariffs applied to manufactured products. </w:t>
      </w:r>
    </w:p>
    <w:p w:rsidR="00596A29" w:rsidRDefault="00A60228" w:rsidP="00BF370E">
      <w:pPr>
        <w:pStyle w:val="BodyText"/>
      </w:pPr>
      <w:r>
        <w:t>Reflecting</w:t>
      </w:r>
      <w:r w:rsidR="002E5303">
        <w:t xml:space="preserve"> structural changes between</w:t>
      </w:r>
      <w:r w:rsidR="00596A29">
        <w:t xml:space="preserve"> input-output years and data revisions</w:t>
      </w:r>
      <w:r w:rsidR="002E5303">
        <w:t xml:space="preserve">, </w:t>
      </w:r>
      <w:r>
        <w:t xml:space="preserve">estimates of </w:t>
      </w:r>
      <w:r w:rsidR="009306D4">
        <w:t>net tariff assistance</w:t>
      </w:r>
      <w:r w:rsidR="00596A29">
        <w:t xml:space="preserve"> var</w:t>
      </w:r>
      <w:r>
        <w:t>y</w:t>
      </w:r>
      <w:r w:rsidR="00596A29">
        <w:t xml:space="preserve"> between series </w:t>
      </w:r>
      <w:r>
        <w:t>in</w:t>
      </w:r>
      <w:r w:rsidR="00596A29">
        <w:t xml:space="preserve"> the years </w:t>
      </w:r>
      <w:r>
        <w:t xml:space="preserve">for which estimates </w:t>
      </w:r>
      <w:r w:rsidR="00596A29">
        <w:t>overlap (figure </w:t>
      </w:r>
      <w:r w:rsidR="007B29E1">
        <w:fldChar w:fldCharType="begin"/>
      </w:r>
      <w:r w:rsidR="007B29E1">
        <w:instrText xml:space="preserve"> LINK </w:instrText>
      </w:r>
      <w:r w:rsidR="00655E7D">
        <w:instrText xml:space="preserve">Word.Document.12 "\\\\nch1\\esb\\T A R\\2011-12\\AAreport\\12 - Ch2 - Assistance estimates.docx" OLE_LINK16 </w:instrText>
      </w:r>
      <w:r w:rsidR="007B29E1">
        <w:instrText xml:space="preserve">\a \t </w:instrText>
      </w:r>
      <w:r w:rsidR="007B29E1">
        <w:fldChar w:fldCharType="separate"/>
      </w:r>
      <w:r w:rsidR="00655E7D">
        <w:t>2.1</w:t>
      </w:r>
      <w:r w:rsidR="007B29E1">
        <w:fldChar w:fldCharType="end"/>
      </w:r>
      <w:r w:rsidR="00596A29">
        <w:t>)</w:t>
      </w:r>
      <w:r w:rsidR="009306D4">
        <w:t xml:space="preserve">. </w:t>
      </w:r>
      <w:r w:rsidR="007B29E1" w:rsidRPr="00596A29">
        <w:t xml:space="preserve">The difference between </w:t>
      </w:r>
      <w:r w:rsidR="00440F1D">
        <w:t xml:space="preserve">the </w:t>
      </w:r>
      <w:r>
        <w:t>2004</w:t>
      </w:r>
      <w:r>
        <w:noBreakHyphen/>
        <w:t>05 and the new 2008</w:t>
      </w:r>
      <w:r>
        <w:noBreakHyphen/>
        <w:t xml:space="preserve">09 </w:t>
      </w:r>
      <w:r w:rsidR="007B29E1" w:rsidRPr="00596A29">
        <w:t>series is not large compared</w:t>
      </w:r>
      <w:r w:rsidR="00440F1D">
        <w:t xml:space="preserve"> with</w:t>
      </w:r>
      <w:r w:rsidR="007B29E1" w:rsidRPr="00596A29">
        <w:t xml:space="preserve"> </w:t>
      </w:r>
      <w:r w:rsidR="00440F1D">
        <w:t xml:space="preserve">the difference between </w:t>
      </w:r>
      <w:r w:rsidR="007B29E1" w:rsidRPr="00596A29">
        <w:t>the 2001</w:t>
      </w:r>
      <w:r w:rsidR="007B29E1">
        <w:noBreakHyphen/>
      </w:r>
      <w:r w:rsidR="007B29E1" w:rsidRPr="00596A29">
        <w:t xml:space="preserve">02 </w:t>
      </w:r>
      <w:r w:rsidR="00440F1D">
        <w:t>and</w:t>
      </w:r>
      <w:r w:rsidR="007B29E1" w:rsidRPr="00596A29">
        <w:t xml:space="preserve"> 2004</w:t>
      </w:r>
      <w:r w:rsidR="007B29E1">
        <w:noBreakHyphen/>
      </w:r>
      <w:r w:rsidR="007B29E1" w:rsidRPr="00596A29">
        <w:t>05</w:t>
      </w:r>
      <w:r w:rsidR="00440F1D">
        <w:t xml:space="preserve"> </w:t>
      </w:r>
      <w:r w:rsidR="00440F1D" w:rsidRPr="00596A29">
        <w:t>series</w:t>
      </w:r>
      <w:r w:rsidR="007B29E1" w:rsidRPr="00596A29">
        <w:t>, or compared with the size of the economy in 2008</w:t>
      </w:r>
      <w:r w:rsidR="008B0682">
        <w:noBreakHyphen/>
        <w:t>09</w:t>
      </w:r>
      <w:r w:rsidR="007B29E1" w:rsidRPr="00596A29">
        <w:t xml:space="preserve"> (around $1.3</w:t>
      </w:r>
      <w:r w:rsidR="007B29E1">
        <w:t> </w:t>
      </w:r>
      <w:r w:rsidR="007B29E1" w:rsidRPr="00596A29">
        <w:t>trillion).</w:t>
      </w:r>
      <w:r w:rsidR="007B29E1">
        <w:t xml:space="preserve"> </w:t>
      </w:r>
      <w:r w:rsidR="009306D4">
        <w:t xml:space="preserve">The main factor influencing this change is the evident shift </w:t>
      </w:r>
      <w:r w:rsidR="00541CE7">
        <w:t xml:space="preserve">in activity </w:t>
      </w:r>
      <w:r w:rsidR="009306D4">
        <w:t xml:space="preserve">in favour of inputs with relatively low tariffs and services. </w:t>
      </w:r>
      <w:r w:rsidR="007B29E1">
        <w:t>Further, the</w:t>
      </w:r>
      <w:r w:rsidR="007B29E1" w:rsidRPr="00596A29">
        <w:t xml:space="preserve"> last two series (2004</w:t>
      </w:r>
      <w:r>
        <w:noBreakHyphen/>
      </w:r>
      <w:r w:rsidR="007B29E1" w:rsidRPr="00596A29">
        <w:t>05 and 2008</w:t>
      </w:r>
      <w:r>
        <w:noBreakHyphen/>
      </w:r>
      <w:r w:rsidR="007B29E1" w:rsidRPr="00596A29">
        <w:t>09)</w:t>
      </w:r>
      <w:r w:rsidR="007B29E1">
        <w:t xml:space="preserve"> </w:t>
      </w:r>
      <w:r w:rsidR="007B29E1" w:rsidRPr="00596A29">
        <w:t xml:space="preserve">are </w:t>
      </w:r>
      <w:r w:rsidR="007B29E1">
        <w:t xml:space="preserve">also </w:t>
      </w:r>
      <w:r w:rsidR="007B29E1" w:rsidRPr="00596A29">
        <w:t>consistent in revealing the broad downward path in net tariff assistance associated with tariff reductions and the growth in relative importance of the services sector (which is not tariff assisted).</w:t>
      </w:r>
      <w:r w:rsidR="007B29E1">
        <w:t xml:space="preserve"> </w:t>
      </w:r>
    </w:p>
    <w:p w:rsidR="007B29E1" w:rsidRDefault="007B29E1">
      <w:pPr>
        <w:pStyle w:val="FigureTitle"/>
      </w:pPr>
      <w:r>
        <w:rPr>
          <w:b w:val="0"/>
        </w:rPr>
        <w:t xml:space="preserve">Figure </w:t>
      </w:r>
      <w:bookmarkStart w:id="7" w:name="OLE_LINK16"/>
      <w:r>
        <w:rPr>
          <w:b w:val="0"/>
        </w:rPr>
        <w:fldChar w:fldCharType="begin"/>
      </w:r>
      <w:r>
        <w:rPr>
          <w:b w:val="0"/>
        </w:rPr>
        <w:instrText xml:space="preserve"> COMMENTS  \* MERGEFORMAT </w:instrText>
      </w:r>
      <w:r>
        <w:rPr>
          <w:b w:val="0"/>
        </w:rPr>
        <w:fldChar w:fldCharType="separate"/>
      </w:r>
      <w:r w:rsidR="00655E7D">
        <w:rPr>
          <w:b w:val="0"/>
        </w:rPr>
        <w:t>2.</w:t>
      </w:r>
      <w:r>
        <w:rPr>
          <w:b w:val="0"/>
        </w:rPr>
        <w:fldChar w:fldCharType="end"/>
      </w:r>
      <w:r>
        <w:rPr>
          <w:b w:val="0"/>
        </w:rPr>
        <w:fldChar w:fldCharType="begin"/>
      </w:r>
      <w:r>
        <w:rPr>
          <w:b w:val="0"/>
        </w:rPr>
        <w:instrText xml:space="preserve"> SEQ Figure \* ARABIC </w:instrText>
      </w:r>
      <w:r>
        <w:rPr>
          <w:b w:val="0"/>
        </w:rPr>
        <w:fldChar w:fldCharType="separate"/>
      </w:r>
      <w:r w:rsidR="00E12ECE">
        <w:rPr>
          <w:b w:val="0"/>
          <w:noProof/>
        </w:rPr>
        <w:t>1</w:t>
      </w:r>
      <w:r>
        <w:rPr>
          <w:b w:val="0"/>
        </w:rPr>
        <w:fldChar w:fldCharType="end"/>
      </w:r>
      <w:bookmarkEnd w:id="7"/>
      <w:r>
        <w:tab/>
        <w:t>Net tariff assistance, 2001</w:t>
      </w:r>
      <w:r>
        <w:noBreakHyphen/>
        <w:t>02, 2004</w:t>
      </w:r>
      <w:r>
        <w:noBreakHyphen/>
        <w:t>05 and 2008</w:t>
      </w:r>
      <w:r>
        <w:noBreakHyphen/>
        <w:t xml:space="preserve">09 </w:t>
      </w:r>
      <w:r w:rsidR="00AD25B0">
        <w:t>S</w:t>
      </w:r>
      <w:r>
        <w:t>eries</w:t>
      </w:r>
    </w:p>
    <w:p w:rsidR="007B29E1" w:rsidRDefault="007B29E1">
      <w:pPr>
        <w:pStyle w:val="Subtitle"/>
      </w:pPr>
      <w:r>
        <w:t>$million (nominal)</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7B29E1" w:rsidTr="0094771B">
        <w:tc>
          <w:tcPr>
            <w:tcW w:w="8777" w:type="dxa"/>
          </w:tcPr>
          <w:p w:rsidR="007B29E1" w:rsidRDefault="0094771B">
            <w:pPr>
              <w:pStyle w:val="Figure"/>
            </w:pPr>
            <w:r>
              <w:rPr>
                <w:noProof/>
              </w:rPr>
              <w:drawing>
                <wp:inline distT="0" distB="0" distL="0" distR="0" wp14:anchorId="165FC2A8" wp14:editId="1B240107">
                  <wp:extent cx="5419725" cy="3343275"/>
                  <wp:effectExtent l="0" t="0" r="9525" b="9525"/>
                  <wp:docPr id="6" name="Chart 6" descr="Figure 2.1. Net tariff assistance for the 2001-02, 2004-05 and 2008-09 series of assistance estimates. This figure shows estimates of net tariff assistance for three different series of assistance estimates. The difference between the series for the latest revision, the 2008-09 series, is not large when compared with the rebasing from the 2001-02 to 2004-05 series. The last two series, 2004-05 and 2008-09, are also consistent in revealing the broad downward path in net tariff assistance.   "/>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7B29E1" w:rsidRDefault="007B29E1">
      <w:pPr>
        <w:pStyle w:val="Source"/>
      </w:pPr>
      <w:r>
        <w:rPr>
          <w:i/>
        </w:rPr>
        <w:t>Source</w:t>
      </w:r>
      <w:r w:rsidRPr="00167F06">
        <w:t xml:space="preserve">: </w:t>
      </w:r>
      <w:r>
        <w:t xml:space="preserve">Commission estimates. </w:t>
      </w:r>
    </w:p>
    <w:p w:rsidR="00BF370E" w:rsidRDefault="00BF370E" w:rsidP="00BF370E">
      <w:pPr>
        <w:pStyle w:val="BodyText"/>
      </w:pPr>
      <w:r>
        <w:lastRenderedPageBreak/>
        <w:t>In the Commission’s tariff assistance estimates, preferences granted under Australia’s preferential trading agreements are treated on the basis that domestic prices in Australia remain unchanged (box </w:t>
      </w:r>
      <w:r>
        <w:fldChar w:fldCharType="begin"/>
      </w:r>
      <w:r>
        <w:instrText xml:space="preserve"> LINK </w:instrText>
      </w:r>
      <w:r w:rsidR="00655E7D">
        <w:instrText xml:space="preserve">Word.Document.12 "\\\\nch1\\esb\\T A R\\2011-12\\AAreport\\12 - Ch2 - Assistance estimates.docx" OLE_LINK1 </w:instrText>
      </w:r>
      <w:r>
        <w:instrText xml:space="preserve">\a \t </w:instrText>
      </w:r>
      <w:r>
        <w:fldChar w:fldCharType="separate"/>
      </w:r>
      <w:r w:rsidR="00655E7D">
        <w:t>2.3</w:t>
      </w:r>
      <w:r>
        <w:fldChar w:fldCharType="end"/>
      </w:r>
      <w:r>
        <w:t xml:space="preserve">). </w:t>
      </w:r>
    </w:p>
    <w:p w:rsidR="00BF370E" w:rsidRDefault="00BF370E" w:rsidP="00BF370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F370E" w:rsidTr="00386FA4">
        <w:tc>
          <w:tcPr>
            <w:tcW w:w="8771" w:type="dxa"/>
            <w:tcBorders>
              <w:top w:val="single" w:sz="6" w:space="0" w:color="auto"/>
              <w:bottom w:val="nil"/>
            </w:tcBorders>
          </w:tcPr>
          <w:p w:rsidR="00BF370E" w:rsidRDefault="00BF370E" w:rsidP="00386FA4">
            <w:pPr>
              <w:pStyle w:val="BoxTitle"/>
            </w:pPr>
            <w:r>
              <w:rPr>
                <w:b w:val="0"/>
              </w:rPr>
              <w:t xml:space="preserve">Box </w:t>
            </w:r>
            <w:bookmarkStart w:id="8" w:name="OLE_LINK1"/>
            <w:r>
              <w:rPr>
                <w:b w:val="0"/>
              </w:rPr>
              <w:fldChar w:fldCharType="begin"/>
            </w:r>
            <w:r>
              <w:rPr>
                <w:b w:val="0"/>
              </w:rPr>
              <w:instrText xml:space="preserve"> COMMENTS  \* MERGEFORMAT </w:instrText>
            </w:r>
            <w:r>
              <w:rPr>
                <w:b w:val="0"/>
              </w:rPr>
              <w:fldChar w:fldCharType="separate"/>
            </w:r>
            <w:r w:rsidR="00655E7D">
              <w:rPr>
                <w:b w:val="0"/>
              </w:rPr>
              <w:t>2.</w:t>
            </w:r>
            <w:r>
              <w:rPr>
                <w:b w:val="0"/>
              </w:rPr>
              <w:fldChar w:fldCharType="end"/>
            </w:r>
            <w:r>
              <w:rPr>
                <w:b w:val="0"/>
              </w:rPr>
              <w:fldChar w:fldCharType="begin"/>
            </w:r>
            <w:r>
              <w:rPr>
                <w:b w:val="0"/>
              </w:rPr>
              <w:instrText xml:space="preserve"> SEQ Box \* ARABIC </w:instrText>
            </w:r>
            <w:r>
              <w:rPr>
                <w:b w:val="0"/>
              </w:rPr>
              <w:fldChar w:fldCharType="separate"/>
            </w:r>
            <w:r w:rsidR="00E12ECE">
              <w:rPr>
                <w:b w:val="0"/>
                <w:noProof/>
              </w:rPr>
              <w:t>3</w:t>
            </w:r>
            <w:r>
              <w:rPr>
                <w:b w:val="0"/>
              </w:rPr>
              <w:fldChar w:fldCharType="end"/>
            </w:r>
            <w:bookmarkEnd w:id="8"/>
            <w:r>
              <w:tab/>
              <w:t>Treatment of preferential tariffs in assistance estimates</w:t>
            </w:r>
          </w:p>
        </w:tc>
      </w:tr>
      <w:tr w:rsidR="00BF370E" w:rsidTr="00386FA4">
        <w:trPr>
          <w:cantSplit/>
        </w:trPr>
        <w:tc>
          <w:tcPr>
            <w:tcW w:w="8771" w:type="dxa"/>
            <w:tcBorders>
              <w:top w:val="nil"/>
              <w:left w:val="single" w:sz="6" w:space="0" w:color="auto"/>
              <w:bottom w:val="nil"/>
              <w:right w:val="single" w:sz="6" w:space="0" w:color="auto"/>
            </w:tcBorders>
          </w:tcPr>
          <w:p w:rsidR="00BF370E" w:rsidRDefault="00BF370E" w:rsidP="00386FA4">
            <w:pPr>
              <w:pStyle w:val="Box"/>
            </w:pPr>
            <w:r>
              <w:t xml:space="preserve">The tariff preferences provided under Australia’s preferential trading agreements (PTAs) need not result in any change in prices in the domestic market and, thus, in assistance to Australian industry provided by the general (Most Favoured Nation (MFN)) tariff regime. This would be the case if producers in the partner country effectively ‘pocketed’ the tariff concessions, rather than reduced their prices below the prevailing (tariff-inflated) price of rival imports. </w:t>
            </w:r>
          </w:p>
          <w:p w:rsidR="00BF370E" w:rsidRDefault="00BF370E" w:rsidP="00386FA4">
            <w:pPr>
              <w:pStyle w:val="Box"/>
            </w:pPr>
            <w:r>
              <w:t>However, to the extent that tariff concessions provided by PTAs reduce the prices of imported products in the Australian market, assistance to the relevant industry’s outputs would be lower than that implied by the MFN rate. At the same time though, where the price of imported inputs falls as a result of PTA preferences, the penalties (or negative assistance) on the industry’s inputs will also be lower than implied by the MFN rate. Whether this leads to a net overstatement or understatement of assistance to the Australian industry in question would depend on trade patterns with the PTA partner countries, which products are subject to price reductions, and their relative magnitudes.</w:t>
            </w:r>
          </w:p>
        </w:tc>
      </w:tr>
      <w:tr w:rsidR="00BF370E" w:rsidTr="00386FA4">
        <w:trPr>
          <w:cantSplit/>
        </w:trPr>
        <w:tc>
          <w:tcPr>
            <w:tcW w:w="8771" w:type="dxa"/>
            <w:tcBorders>
              <w:top w:val="nil"/>
              <w:left w:val="single" w:sz="6" w:space="0" w:color="auto"/>
              <w:bottom w:val="nil"/>
              <w:right w:val="single" w:sz="6" w:space="0" w:color="auto"/>
            </w:tcBorders>
          </w:tcPr>
          <w:p w:rsidR="00BF370E" w:rsidRDefault="00BF370E" w:rsidP="006541A7">
            <w:pPr>
              <w:pStyle w:val="BoxSource"/>
            </w:pPr>
            <w:r>
              <w:rPr>
                <w:i/>
              </w:rPr>
              <w:t>Sources</w:t>
            </w:r>
            <w:r w:rsidRPr="00167F06">
              <w:t xml:space="preserve">: </w:t>
            </w:r>
            <w:r w:rsidR="007D71C1">
              <w:t>PC (2004a; 2004b; 2008</w:t>
            </w:r>
            <w:r>
              <w:t xml:space="preserve">). </w:t>
            </w:r>
          </w:p>
        </w:tc>
      </w:tr>
      <w:tr w:rsidR="00BF370E" w:rsidTr="00386FA4">
        <w:trPr>
          <w:cantSplit/>
        </w:trPr>
        <w:tc>
          <w:tcPr>
            <w:tcW w:w="8771" w:type="dxa"/>
            <w:tcBorders>
              <w:top w:val="nil"/>
              <w:left w:val="single" w:sz="6" w:space="0" w:color="auto"/>
              <w:bottom w:val="single" w:sz="6" w:space="0" w:color="auto"/>
              <w:right w:val="single" w:sz="6" w:space="0" w:color="auto"/>
            </w:tcBorders>
          </w:tcPr>
          <w:p w:rsidR="00BF370E" w:rsidRDefault="00BF370E" w:rsidP="00386FA4">
            <w:pPr>
              <w:pStyle w:val="Box"/>
              <w:spacing w:before="0" w:line="120" w:lineRule="exact"/>
            </w:pPr>
          </w:p>
        </w:tc>
      </w:tr>
      <w:tr w:rsidR="00BF370E" w:rsidRPr="000863A5" w:rsidTr="00386FA4">
        <w:tc>
          <w:tcPr>
            <w:tcW w:w="8771" w:type="dxa"/>
            <w:tcBorders>
              <w:top w:val="nil"/>
              <w:left w:val="nil"/>
              <w:bottom w:val="nil"/>
              <w:right w:val="nil"/>
            </w:tcBorders>
          </w:tcPr>
          <w:p w:rsidR="00BF370E" w:rsidRPr="00626D32" w:rsidRDefault="00BF370E" w:rsidP="00386FA4">
            <w:pPr>
              <w:pStyle w:val="BoxSpaceBelow"/>
            </w:pPr>
          </w:p>
        </w:tc>
      </w:tr>
    </w:tbl>
    <w:p w:rsidR="00BF370E" w:rsidRDefault="00BF370E" w:rsidP="00BF370E">
      <w:pPr>
        <w:pStyle w:val="Heading3"/>
      </w:pPr>
      <w:r>
        <w:t>Tariff assistance by industry</w:t>
      </w:r>
      <w:r w:rsidR="001D3023">
        <w:t xml:space="preserve"> grouping</w:t>
      </w:r>
    </w:p>
    <w:p w:rsidR="00BF370E" w:rsidRDefault="00BF370E" w:rsidP="00BF370E">
      <w:pPr>
        <w:pStyle w:val="BodyText"/>
      </w:pPr>
      <w:r>
        <w:t xml:space="preserve">Most tariff assistance on outputs is directed towards the manufacturing sector, and in particular the </w:t>
      </w:r>
      <w:r w:rsidRPr="00896E20">
        <w:rPr>
          <w:i/>
        </w:rPr>
        <w:t>Metal and fabricated metal products</w:t>
      </w:r>
      <w:r>
        <w:t xml:space="preserve"> ($1.8 billion), </w:t>
      </w:r>
      <w:r w:rsidRPr="00896E20">
        <w:rPr>
          <w:i/>
        </w:rPr>
        <w:t xml:space="preserve">Food, beverages </w:t>
      </w:r>
      <w:r>
        <w:rPr>
          <w:i/>
        </w:rPr>
        <w:t>and</w:t>
      </w:r>
      <w:r w:rsidRPr="00896E20">
        <w:rPr>
          <w:i/>
        </w:rPr>
        <w:t xml:space="preserve"> tobacco</w:t>
      </w:r>
      <w:r>
        <w:t xml:space="preserve"> ($1.7 billion), </w:t>
      </w:r>
      <w:r w:rsidRPr="00896E20">
        <w:rPr>
          <w:i/>
        </w:rPr>
        <w:t>Petroleum, coal, chemical and rubber products</w:t>
      </w:r>
      <w:r w:rsidRPr="00C763BD">
        <w:t xml:space="preserve"> (</w:t>
      </w:r>
      <w:r>
        <w:t>$1 billion</w:t>
      </w:r>
      <w:r w:rsidRPr="00C763BD">
        <w:t>)</w:t>
      </w:r>
      <w:r>
        <w:t xml:space="preserve">, and </w:t>
      </w:r>
      <w:r w:rsidRPr="00896E20">
        <w:rPr>
          <w:i/>
        </w:rPr>
        <w:t>Motor vehicles and parts</w:t>
      </w:r>
      <w:r>
        <w:t xml:space="preserve"> ($0.8 billion) industry groups (table </w:t>
      </w:r>
      <w:r>
        <w:fldChar w:fldCharType="begin"/>
      </w:r>
      <w:r>
        <w:instrText xml:space="preserve"> LINK </w:instrText>
      </w:r>
      <w:r w:rsidR="00655E7D">
        <w:instrText xml:space="preserve">Word.Document.12 "\\\\nch1\\esb\\T A R\\2011-12\\AAreport\\12 - Ch2 - Assistance estimates.docx" OLE_LINK2 </w:instrText>
      </w:r>
      <w:r>
        <w:instrText xml:space="preserve">\a \t </w:instrText>
      </w:r>
      <w:r>
        <w:fldChar w:fldCharType="separate"/>
      </w:r>
      <w:r w:rsidR="00655E7D">
        <w:t>2.2</w:t>
      </w:r>
      <w:r>
        <w:fldChar w:fldCharType="end"/>
      </w:r>
      <w:r>
        <w:t xml:space="preserve"> left hand column). </w:t>
      </w:r>
    </w:p>
    <w:p w:rsidR="00BF370E" w:rsidRDefault="00BF370E" w:rsidP="00BF370E">
      <w:pPr>
        <w:pStyle w:val="BodyText"/>
      </w:pPr>
      <w:r>
        <w:t>Mining and primary production industries receive little tariff assistance on outputs, and tariffs are not levied on services. On the other hand, tariffs impose input-cost penalties on all industries (because of their cost-raising effects on inputs) (table </w:t>
      </w:r>
      <w:r>
        <w:fldChar w:fldCharType="begin"/>
      </w:r>
      <w:r>
        <w:instrText xml:space="preserve"> LINK </w:instrText>
      </w:r>
      <w:r w:rsidR="00655E7D">
        <w:instrText xml:space="preserve">Word.Document.12 "\\\\nch1\\esb\\T A R\\2011-12\\AAreport\\12 - Ch2 - Assistance estimates.docx" OLE_LINK2 </w:instrText>
      </w:r>
      <w:r>
        <w:instrText xml:space="preserve">\a \t </w:instrText>
      </w:r>
      <w:r>
        <w:fldChar w:fldCharType="separate"/>
      </w:r>
      <w:r w:rsidR="00655E7D">
        <w:t>2.2</w:t>
      </w:r>
      <w:r>
        <w:fldChar w:fldCharType="end"/>
      </w:r>
      <w:r>
        <w:t xml:space="preserve"> middle column). </w:t>
      </w:r>
    </w:p>
    <w:p w:rsidR="00C55A19" w:rsidRDefault="00C55A19" w:rsidP="00C55A19">
      <w:pPr>
        <w:pStyle w:val="BodyText"/>
      </w:pPr>
      <w:r>
        <w:t>All manufacturing industries are estimated to receive positive net tariff assistance, as the value of tariff assistance on outputs outweigh</w:t>
      </w:r>
      <w:r w:rsidR="002B3722">
        <w:t>s</w:t>
      </w:r>
      <w:r>
        <w:t xml:space="preserve"> the cost impost of tariffs on inputs for each industry group (table </w:t>
      </w:r>
      <w:r>
        <w:fldChar w:fldCharType="begin"/>
      </w:r>
      <w:r>
        <w:instrText xml:space="preserve"> LINK </w:instrText>
      </w:r>
      <w:r w:rsidR="00655E7D">
        <w:instrText xml:space="preserve">Word.Document.12 "\\\\nch1\\esb\\T A R\\2011-12\\AAreport\\12 - Ch2 - Assistance estimates.docx" OLE_LINK2 </w:instrText>
      </w:r>
      <w:r>
        <w:instrText xml:space="preserve">\a \t \u </w:instrText>
      </w:r>
      <w:r>
        <w:fldChar w:fldCharType="separate"/>
      </w:r>
      <w:r w:rsidR="00655E7D">
        <w:t>2.2</w:t>
      </w:r>
      <w:r>
        <w:fldChar w:fldCharType="end"/>
      </w:r>
      <w:r>
        <w:t xml:space="preserve"> right hand column). </w:t>
      </w:r>
    </w:p>
    <w:p w:rsidR="00BF370E" w:rsidRDefault="00BF370E" w:rsidP="00BF370E">
      <w:pPr>
        <w:pStyle w:val="TableTitle"/>
      </w:pPr>
      <w:r>
        <w:rPr>
          <w:b w:val="0"/>
        </w:rPr>
        <w:lastRenderedPageBreak/>
        <w:t xml:space="preserve">Table </w:t>
      </w:r>
      <w:bookmarkStart w:id="9" w:name="OLE_LINK2"/>
      <w:r>
        <w:rPr>
          <w:b w:val="0"/>
        </w:rPr>
        <w:fldChar w:fldCharType="begin"/>
      </w:r>
      <w:r>
        <w:rPr>
          <w:b w:val="0"/>
        </w:rPr>
        <w:instrText xml:space="preserve"> COMMENTS  \* MERGEFORMAT </w:instrText>
      </w:r>
      <w:r>
        <w:rPr>
          <w:b w:val="0"/>
        </w:rPr>
        <w:fldChar w:fldCharType="separate"/>
      </w:r>
      <w:r w:rsidR="00655E7D">
        <w:rPr>
          <w:b w:val="0"/>
        </w:rPr>
        <w:t>2.</w:t>
      </w:r>
      <w:r>
        <w:rPr>
          <w:b w:val="0"/>
        </w:rPr>
        <w:fldChar w:fldCharType="end"/>
      </w:r>
      <w:r>
        <w:rPr>
          <w:b w:val="0"/>
        </w:rPr>
        <w:fldChar w:fldCharType="begin"/>
      </w:r>
      <w:r>
        <w:rPr>
          <w:b w:val="0"/>
        </w:rPr>
        <w:instrText xml:space="preserve"> SEQ Table \* ARABIC </w:instrText>
      </w:r>
      <w:r>
        <w:rPr>
          <w:b w:val="0"/>
        </w:rPr>
        <w:fldChar w:fldCharType="separate"/>
      </w:r>
      <w:r w:rsidR="00E12ECE">
        <w:rPr>
          <w:b w:val="0"/>
          <w:noProof/>
        </w:rPr>
        <w:t>2</w:t>
      </w:r>
      <w:r>
        <w:rPr>
          <w:b w:val="0"/>
        </w:rPr>
        <w:fldChar w:fldCharType="end"/>
      </w:r>
      <w:bookmarkEnd w:id="9"/>
      <w:r>
        <w:tab/>
        <w:t>Tariff assistance by industry grouping, 2011</w:t>
      </w:r>
      <w:r>
        <w:noBreakHyphen/>
        <w:t>12</w:t>
      </w:r>
      <w:r w:rsidRPr="002A4215">
        <w:rPr>
          <w:rStyle w:val="NoteLabel"/>
        </w:rPr>
        <w:t>a</w:t>
      </w:r>
      <w:r w:rsidR="00BC656C">
        <w:rPr>
          <w:rStyle w:val="NoteLabel"/>
        </w:rPr>
        <w:t>,</w:t>
      </w:r>
      <w:r w:rsidRPr="002A4215">
        <w:rPr>
          <w:rStyle w:val="NoteLabel"/>
        </w:rPr>
        <w:t>b</w:t>
      </w:r>
    </w:p>
    <w:p w:rsidR="00BF370E" w:rsidRDefault="00BF370E" w:rsidP="00BF370E">
      <w:pPr>
        <w:pStyle w:val="Subtitle"/>
      </w:pPr>
      <w:r>
        <w:t>$million (nominal)</w:t>
      </w:r>
    </w:p>
    <w:tbl>
      <w:tblPr>
        <w:tblW w:w="4998" w:type="pct"/>
        <w:tblCellMar>
          <w:left w:w="0" w:type="dxa"/>
          <w:right w:w="0" w:type="dxa"/>
        </w:tblCellMar>
        <w:tblLook w:val="0000" w:firstRow="0" w:lastRow="0" w:firstColumn="0" w:lastColumn="0" w:noHBand="0" w:noVBand="0"/>
      </w:tblPr>
      <w:tblGrid>
        <w:gridCol w:w="4112"/>
        <w:gridCol w:w="1558"/>
        <w:gridCol w:w="1557"/>
        <w:gridCol w:w="1558"/>
      </w:tblGrid>
      <w:tr w:rsidR="00BF370E" w:rsidTr="008B0682">
        <w:tc>
          <w:tcPr>
            <w:tcW w:w="2340" w:type="pct"/>
            <w:tcBorders>
              <w:top w:val="single" w:sz="6" w:space="0" w:color="auto"/>
              <w:bottom w:val="single" w:sz="6" w:space="0" w:color="auto"/>
            </w:tcBorders>
            <w:shd w:val="clear" w:color="auto" w:fill="auto"/>
            <w:vAlign w:val="bottom"/>
          </w:tcPr>
          <w:p w:rsidR="00BF370E" w:rsidRDefault="00BF370E" w:rsidP="008B0682">
            <w:pPr>
              <w:pStyle w:val="TableColumnHeading"/>
              <w:jc w:val="left"/>
            </w:pPr>
            <w:r>
              <w:t>Industry grouping</w:t>
            </w:r>
          </w:p>
        </w:tc>
        <w:tc>
          <w:tcPr>
            <w:tcW w:w="887" w:type="pct"/>
            <w:tcBorders>
              <w:top w:val="single" w:sz="6" w:space="0" w:color="auto"/>
              <w:bottom w:val="single" w:sz="6" w:space="0" w:color="auto"/>
            </w:tcBorders>
            <w:shd w:val="clear" w:color="auto" w:fill="auto"/>
          </w:tcPr>
          <w:p w:rsidR="00BF370E" w:rsidRDefault="00BF370E" w:rsidP="00386FA4">
            <w:pPr>
              <w:pStyle w:val="TableColumnHeading"/>
            </w:pPr>
            <w:r>
              <w:t>Output assistance</w:t>
            </w:r>
          </w:p>
        </w:tc>
        <w:tc>
          <w:tcPr>
            <w:tcW w:w="886" w:type="pct"/>
            <w:tcBorders>
              <w:top w:val="single" w:sz="6" w:space="0" w:color="auto"/>
              <w:bottom w:val="single" w:sz="6" w:space="0" w:color="auto"/>
            </w:tcBorders>
          </w:tcPr>
          <w:p w:rsidR="00BF370E" w:rsidRDefault="00BF370E" w:rsidP="00386FA4">
            <w:pPr>
              <w:pStyle w:val="TableColumnHeading"/>
              <w:ind w:right="28"/>
            </w:pPr>
            <w:r>
              <w:t>Input cost penalty</w:t>
            </w:r>
          </w:p>
        </w:tc>
        <w:tc>
          <w:tcPr>
            <w:tcW w:w="887" w:type="pct"/>
            <w:tcBorders>
              <w:top w:val="single" w:sz="6" w:space="0" w:color="auto"/>
              <w:bottom w:val="single" w:sz="6" w:space="0" w:color="auto"/>
            </w:tcBorders>
            <w:shd w:val="clear" w:color="auto" w:fill="auto"/>
          </w:tcPr>
          <w:p w:rsidR="00BF370E" w:rsidRDefault="00BF370E" w:rsidP="00386FA4">
            <w:pPr>
              <w:pStyle w:val="TableColumnHeading"/>
              <w:ind w:right="28"/>
            </w:pPr>
            <w:r>
              <w:t>Net tariff assistance</w:t>
            </w:r>
          </w:p>
        </w:tc>
      </w:tr>
      <w:tr w:rsidR="00BF370E" w:rsidRPr="003C026A" w:rsidTr="00386FA4">
        <w:trPr>
          <w:trHeight w:val="283"/>
        </w:trPr>
        <w:tc>
          <w:tcPr>
            <w:tcW w:w="2340" w:type="pct"/>
            <w:vAlign w:val="center"/>
          </w:tcPr>
          <w:p w:rsidR="00BF370E" w:rsidRPr="003C026A" w:rsidRDefault="00BF370E" w:rsidP="00386FA4">
            <w:pPr>
              <w:pStyle w:val="TableBodyText"/>
              <w:jc w:val="left"/>
              <w:rPr>
                <w:b/>
              </w:rPr>
            </w:pPr>
            <w:r w:rsidRPr="003C026A">
              <w:rPr>
                <w:b/>
              </w:rPr>
              <w:t>Primary production</w:t>
            </w:r>
          </w:p>
        </w:tc>
        <w:tc>
          <w:tcPr>
            <w:tcW w:w="887" w:type="pct"/>
            <w:vAlign w:val="bottom"/>
          </w:tcPr>
          <w:p w:rsidR="00BF370E" w:rsidRPr="00D3719C" w:rsidRDefault="00BF370E" w:rsidP="00386FA4">
            <w:pPr>
              <w:pStyle w:val="TableBodyText"/>
              <w:rPr>
                <w:b/>
              </w:rPr>
            </w:pPr>
            <w:r w:rsidRPr="00D3719C">
              <w:rPr>
                <w:b/>
              </w:rPr>
              <w:t>209.5</w:t>
            </w:r>
          </w:p>
        </w:tc>
        <w:tc>
          <w:tcPr>
            <w:tcW w:w="886" w:type="pct"/>
            <w:vAlign w:val="bottom"/>
          </w:tcPr>
          <w:p w:rsidR="00BF370E" w:rsidRPr="00D3719C" w:rsidRDefault="00BF370E" w:rsidP="00386FA4">
            <w:pPr>
              <w:pStyle w:val="TableBodyText"/>
              <w:rPr>
                <w:b/>
              </w:rPr>
            </w:pPr>
            <w:r w:rsidRPr="00D3719C">
              <w:rPr>
                <w:b/>
              </w:rPr>
              <w:t>-73.4</w:t>
            </w:r>
          </w:p>
        </w:tc>
        <w:tc>
          <w:tcPr>
            <w:tcW w:w="887" w:type="pct"/>
            <w:vAlign w:val="bottom"/>
          </w:tcPr>
          <w:p w:rsidR="00BF370E" w:rsidRPr="00D3719C" w:rsidRDefault="00BF370E" w:rsidP="00386FA4">
            <w:pPr>
              <w:pStyle w:val="TableBodyText"/>
              <w:rPr>
                <w:b/>
              </w:rPr>
            </w:pPr>
            <w:r w:rsidRPr="00D3719C">
              <w:rPr>
                <w:b/>
              </w:rPr>
              <w:t>136.1</w:t>
            </w:r>
          </w:p>
        </w:tc>
      </w:tr>
      <w:tr w:rsidR="00BF370E" w:rsidTr="00386FA4">
        <w:tc>
          <w:tcPr>
            <w:tcW w:w="2340" w:type="pct"/>
            <w:vAlign w:val="center"/>
          </w:tcPr>
          <w:p w:rsidR="00BF370E" w:rsidRDefault="00BF370E" w:rsidP="00386FA4">
            <w:pPr>
              <w:pStyle w:val="TableBodyText"/>
              <w:jc w:val="left"/>
            </w:pPr>
            <w:r>
              <w:t>Horticulture and fruit growing</w:t>
            </w:r>
          </w:p>
        </w:tc>
        <w:tc>
          <w:tcPr>
            <w:tcW w:w="887" w:type="pct"/>
            <w:vAlign w:val="bottom"/>
          </w:tcPr>
          <w:p w:rsidR="00BF370E" w:rsidRPr="005C773C" w:rsidRDefault="00BF370E" w:rsidP="00386FA4">
            <w:pPr>
              <w:pStyle w:val="TableBodyText"/>
            </w:pPr>
            <w:r>
              <w:t>154.3</w:t>
            </w:r>
          </w:p>
        </w:tc>
        <w:tc>
          <w:tcPr>
            <w:tcW w:w="886" w:type="pct"/>
            <w:vAlign w:val="bottom"/>
          </w:tcPr>
          <w:p w:rsidR="00BF370E" w:rsidRPr="005C773C" w:rsidRDefault="00BF370E" w:rsidP="00386FA4">
            <w:pPr>
              <w:pStyle w:val="TableBodyText"/>
            </w:pPr>
            <w:r>
              <w:t>-8.3</w:t>
            </w:r>
          </w:p>
        </w:tc>
        <w:tc>
          <w:tcPr>
            <w:tcW w:w="887" w:type="pct"/>
            <w:vAlign w:val="bottom"/>
          </w:tcPr>
          <w:p w:rsidR="00BF370E" w:rsidRPr="005C773C" w:rsidRDefault="00BF370E" w:rsidP="00386FA4">
            <w:pPr>
              <w:pStyle w:val="TableBodyText"/>
            </w:pPr>
            <w:r>
              <w:t>146.0</w:t>
            </w:r>
          </w:p>
        </w:tc>
      </w:tr>
      <w:tr w:rsidR="00BF370E" w:rsidTr="00386FA4">
        <w:tc>
          <w:tcPr>
            <w:tcW w:w="2340" w:type="pct"/>
            <w:vAlign w:val="center"/>
          </w:tcPr>
          <w:p w:rsidR="00BF370E" w:rsidRDefault="00BF370E" w:rsidP="00386FA4">
            <w:pPr>
              <w:pStyle w:val="TableBodyText"/>
              <w:jc w:val="left"/>
            </w:pPr>
            <w:r>
              <w:t>Sheep, beef cattle and grain farming</w:t>
            </w:r>
          </w:p>
        </w:tc>
        <w:tc>
          <w:tcPr>
            <w:tcW w:w="887" w:type="pct"/>
            <w:vAlign w:val="bottom"/>
          </w:tcPr>
          <w:p w:rsidR="00BF370E" w:rsidRPr="005C773C" w:rsidRDefault="00BF370E" w:rsidP="00386FA4">
            <w:pPr>
              <w:pStyle w:val="TableBodyText"/>
            </w:pPr>
            <w:r>
              <w:t>0.2</w:t>
            </w:r>
          </w:p>
        </w:tc>
        <w:tc>
          <w:tcPr>
            <w:tcW w:w="886" w:type="pct"/>
            <w:vAlign w:val="bottom"/>
          </w:tcPr>
          <w:p w:rsidR="00BF370E" w:rsidRPr="005C773C" w:rsidRDefault="00BF370E" w:rsidP="00386FA4">
            <w:pPr>
              <w:pStyle w:val="TableBodyText"/>
            </w:pPr>
            <w:r>
              <w:t>-17.2</w:t>
            </w:r>
          </w:p>
        </w:tc>
        <w:tc>
          <w:tcPr>
            <w:tcW w:w="887" w:type="pct"/>
            <w:vAlign w:val="bottom"/>
          </w:tcPr>
          <w:p w:rsidR="00BF370E" w:rsidRPr="005C773C" w:rsidRDefault="00BF370E" w:rsidP="00386FA4">
            <w:pPr>
              <w:pStyle w:val="TableBodyText"/>
            </w:pPr>
            <w:r>
              <w:t>-17.1</w:t>
            </w:r>
          </w:p>
        </w:tc>
      </w:tr>
      <w:tr w:rsidR="00BF370E" w:rsidTr="00386FA4">
        <w:tc>
          <w:tcPr>
            <w:tcW w:w="2340" w:type="pct"/>
            <w:vAlign w:val="center"/>
          </w:tcPr>
          <w:p w:rsidR="00BF370E" w:rsidRDefault="00BF370E" w:rsidP="00386FA4">
            <w:pPr>
              <w:pStyle w:val="TableBodyText"/>
              <w:jc w:val="left"/>
            </w:pPr>
            <w:r>
              <w:t>Other crop growing</w:t>
            </w:r>
          </w:p>
        </w:tc>
        <w:tc>
          <w:tcPr>
            <w:tcW w:w="887" w:type="pct"/>
            <w:vAlign w:val="bottom"/>
          </w:tcPr>
          <w:p w:rsidR="00BF370E" w:rsidRPr="005C773C" w:rsidRDefault="00BF370E" w:rsidP="00386FA4">
            <w:pPr>
              <w:pStyle w:val="TableBodyText"/>
            </w:pPr>
            <w:r>
              <w:t>2.0</w:t>
            </w:r>
          </w:p>
        </w:tc>
        <w:tc>
          <w:tcPr>
            <w:tcW w:w="886" w:type="pct"/>
            <w:vAlign w:val="bottom"/>
          </w:tcPr>
          <w:p w:rsidR="00BF370E" w:rsidRPr="005C773C" w:rsidRDefault="00BF370E" w:rsidP="00386FA4">
            <w:pPr>
              <w:pStyle w:val="TableBodyText"/>
            </w:pPr>
            <w:r>
              <w:t>-3.8</w:t>
            </w:r>
          </w:p>
        </w:tc>
        <w:tc>
          <w:tcPr>
            <w:tcW w:w="887" w:type="pct"/>
            <w:vAlign w:val="bottom"/>
          </w:tcPr>
          <w:p w:rsidR="00BF370E" w:rsidRPr="005C773C" w:rsidRDefault="00BF370E" w:rsidP="00386FA4">
            <w:pPr>
              <w:pStyle w:val="TableBodyText"/>
            </w:pPr>
            <w:r>
              <w:t>-1.8</w:t>
            </w:r>
          </w:p>
        </w:tc>
      </w:tr>
      <w:tr w:rsidR="00BF370E" w:rsidTr="00386FA4">
        <w:tc>
          <w:tcPr>
            <w:tcW w:w="2340" w:type="pct"/>
            <w:vAlign w:val="center"/>
          </w:tcPr>
          <w:p w:rsidR="00BF370E" w:rsidRDefault="00BF370E" w:rsidP="00386FA4">
            <w:pPr>
              <w:pStyle w:val="TableBodyText"/>
              <w:jc w:val="left"/>
            </w:pPr>
            <w:r>
              <w:t>Dairy cattle farming</w:t>
            </w:r>
          </w:p>
        </w:tc>
        <w:tc>
          <w:tcPr>
            <w:tcW w:w="887" w:type="pct"/>
            <w:vAlign w:val="bottom"/>
          </w:tcPr>
          <w:p w:rsidR="00BF370E" w:rsidRPr="005C773C" w:rsidRDefault="00E36811" w:rsidP="00E36811">
            <w:pPr>
              <w:pStyle w:val="TableBodyText"/>
            </w:pPr>
            <w:r>
              <w:t>–</w:t>
            </w:r>
          </w:p>
        </w:tc>
        <w:tc>
          <w:tcPr>
            <w:tcW w:w="886" w:type="pct"/>
            <w:vAlign w:val="bottom"/>
          </w:tcPr>
          <w:p w:rsidR="00BF370E" w:rsidRPr="005C773C" w:rsidRDefault="00BF370E" w:rsidP="00386FA4">
            <w:pPr>
              <w:pStyle w:val="TableBodyText"/>
            </w:pPr>
            <w:r>
              <w:t>-2.8</w:t>
            </w:r>
          </w:p>
        </w:tc>
        <w:tc>
          <w:tcPr>
            <w:tcW w:w="887" w:type="pct"/>
            <w:vAlign w:val="bottom"/>
          </w:tcPr>
          <w:p w:rsidR="00BF370E" w:rsidRPr="005C773C" w:rsidRDefault="00BF370E" w:rsidP="00386FA4">
            <w:pPr>
              <w:pStyle w:val="TableBodyText"/>
            </w:pPr>
            <w:r>
              <w:t>-2.8</w:t>
            </w:r>
          </w:p>
        </w:tc>
      </w:tr>
      <w:tr w:rsidR="00BF370E" w:rsidTr="00386FA4">
        <w:tc>
          <w:tcPr>
            <w:tcW w:w="2340" w:type="pct"/>
            <w:vAlign w:val="center"/>
          </w:tcPr>
          <w:p w:rsidR="00BF370E" w:rsidRDefault="00BF370E" w:rsidP="00386FA4">
            <w:pPr>
              <w:pStyle w:val="TableBodyText"/>
              <w:jc w:val="left"/>
            </w:pPr>
            <w:r>
              <w:t>Other livestock farming</w:t>
            </w:r>
          </w:p>
        </w:tc>
        <w:tc>
          <w:tcPr>
            <w:tcW w:w="887" w:type="pct"/>
            <w:vAlign w:val="bottom"/>
          </w:tcPr>
          <w:p w:rsidR="00BF370E" w:rsidRPr="005C773C" w:rsidRDefault="00E36811" w:rsidP="00E36811">
            <w:pPr>
              <w:pStyle w:val="TableBodyText"/>
            </w:pPr>
            <w:r>
              <w:t>–</w:t>
            </w:r>
          </w:p>
        </w:tc>
        <w:tc>
          <w:tcPr>
            <w:tcW w:w="886" w:type="pct"/>
            <w:vAlign w:val="bottom"/>
          </w:tcPr>
          <w:p w:rsidR="00BF370E" w:rsidRPr="005C773C" w:rsidRDefault="00BF370E" w:rsidP="00386FA4">
            <w:pPr>
              <w:pStyle w:val="TableBodyText"/>
            </w:pPr>
            <w:r>
              <w:t>-4.0</w:t>
            </w:r>
          </w:p>
        </w:tc>
        <w:tc>
          <w:tcPr>
            <w:tcW w:w="887" w:type="pct"/>
            <w:vAlign w:val="bottom"/>
          </w:tcPr>
          <w:p w:rsidR="00BF370E" w:rsidRPr="005C773C" w:rsidRDefault="00BF370E" w:rsidP="00386FA4">
            <w:pPr>
              <w:pStyle w:val="TableBodyText"/>
            </w:pPr>
            <w:r>
              <w:t>-4.0</w:t>
            </w:r>
          </w:p>
        </w:tc>
      </w:tr>
      <w:tr w:rsidR="00BF370E" w:rsidTr="00386FA4">
        <w:tc>
          <w:tcPr>
            <w:tcW w:w="2340" w:type="pct"/>
            <w:vAlign w:val="center"/>
          </w:tcPr>
          <w:p w:rsidR="00BF370E" w:rsidRDefault="00BF370E" w:rsidP="00386FA4">
            <w:pPr>
              <w:pStyle w:val="TableBodyText"/>
              <w:jc w:val="left"/>
            </w:pPr>
            <w:r>
              <w:t>Aquaculture and fishing</w:t>
            </w:r>
          </w:p>
        </w:tc>
        <w:tc>
          <w:tcPr>
            <w:tcW w:w="887" w:type="pct"/>
            <w:vAlign w:val="bottom"/>
          </w:tcPr>
          <w:p w:rsidR="00BF370E" w:rsidRPr="005C773C" w:rsidRDefault="00BF370E" w:rsidP="00386FA4">
            <w:pPr>
              <w:pStyle w:val="TableBodyText"/>
            </w:pPr>
            <w:r>
              <w:t>0.8</w:t>
            </w:r>
          </w:p>
        </w:tc>
        <w:tc>
          <w:tcPr>
            <w:tcW w:w="886" w:type="pct"/>
            <w:vAlign w:val="bottom"/>
          </w:tcPr>
          <w:p w:rsidR="00BF370E" w:rsidRPr="005C773C" w:rsidRDefault="00BF370E" w:rsidP="00386FA4">
            <w:pPr>
              <w:pStyle w:val="TableBodyText"/>
            </w:pPr>
            <w:r>
              <w:t>-13.1</w:t>
            </w:r>
          </w:p>
        </w:tc>
        <w:tc>
          <w:tcPr>
            <w:tcW w:w="887" w:type="pct"/>
            <w:vAlign w:val="bottom"/>
          </w:tcPr>
          <w:p w:rsidR="00BF370E" w:rsidRPr="005C773C" w:rsidRDefault="00BF370E" w:rsidP="00386FA4">
            <w:pPr>
              <w:pStyle w:val="TableBodyText"/>
            </w:pPr>
            <w:r>
              <w:t>-12.2</w:t>
            </w:r>
          </w:p>
        </w:tc>
      </w:tr>
      <w:tr w:rsidR="00BF370E" w:rsidTr="00386FA4">
        <w:tc>
          <w:tcPr>
            <w:tcW w:w="2340" w:type="pct"/>
            <w:vAlign w:val="center"/>
          </w:tcPr>
          <w:p w:rsidR="00BF370E" w:rsidRDefault="00BF370E" w:rsidP="00386FA4">
            <w:pPr>
              <w:pStyle w:val="TableBodyText"/>
              <w:jc w:val="left"/>
            </w:pPr>
            <w:r>
              <w:t>Forestry and logging</w:t>
            </w:r>
          </w:p>
        </w:tc>
        <w:tc>
          <w:tcPr>
            <w:tcW w:w="887" w:type="pct"/>
            <w:vAlign w:val="bottom"/>
          </w:tcPr>
          <w:p w:rsidR="00BF370E" w:rsidRPr="005C773C" w:rsidRDefault="00BF370E" w:rsidP="00386FA4">
            <w:pPr>
              <w:pStyle w:val="TableBodyText"/>
            </w:pPr>
            <w:r>
              <w:t>52.3</w:t>
            </w:r>
          </w:p>
        </w:tc>
        <w:tc>
          <w:tcPr>
            <w:tcW w:w="886" w:type="pct"/>
            <w:vAlign w:val="bottom"/>
          </w:tcPr>
          <w:p w:rsidR="00BF370E" w:rsidRPr="005C773C" w:rsidRDefault="00BF370E" w:rsidP="00386FA4">
            <w:pPr>
              <w:pStyle w:val="TableBodyText"/>
            </w:pPr>
            <w:r>
              <w:t>-10.3</w:t>
            </w:r>
          </w:p>
        </w:tc>
        <w:tc>
          <w:tcPr>
            <w:tcW w:w="887" w:type="pct"/>
            <w:vAlign w:val="bottom"/>
          </w:tcPr>
          <w:p w:rsidR="00BF370E" w:rsidRPr="005C773C" w:rsidRDefault="00BF370E" w:rsidP="00386FA4">
            <w:pPr>
              <w:pStyle w:val="TableBodyText"/>
            </w:pPr>
            <w:r>
              <w:t>41.9</w:t>
            </w:r>
          </w:p>
        </w:tc>
      </w:tr>
      <w:tr w:rsidR="00BF370E" w:rsidTr="00386FA4">
        <w:tc>
          <w:tcPr>
            <w:tcW w:w="2340" w:type="pct"/>
            <w:vAlign w:val="center"/>
          </w:tcPr>
          <w:p w:rsidR="00BF370E" w:rsidRDefault="00BF370E" w:rsidP="00386FA4">
            <w:pPr>
              <w:pStyle w:val="TableBodyText"/>
              <w:jc w:val="left"/>
            </w:pPr>
            <w:r>
              <w:t>Primary production support services</w:t>
            </w:r>
          </w:p>
        </w:tc>
        <w:tc>
          <w:tcPr>
            <w:tcW w:w="887" w:type="pct"/>
            <w:vAlign w:val="bottom"/>
          </w:tcPr>
          <w:p w:rsidR="00BF370E" w:rsidRPr="005C773C" w:rsidRDefault="00E36811" w:rsidP="00E36811">
            <w:pPr>
              <w:pStyle w:val="TableBodyText"/>
            </w:pPr>
            <w:r>
              <w:t>–</w:t>
            </w:r>
          </w:p>
        </w:tc>
        <w:tc>
          <w:tcPr>
            <w:tcW w:w="886" w:type="pct"/>
            <w:vAlign w:val="bottom"/>
          </w:tcPr>
          <w:p w:rsidR="00BF370E" w:rsidRPr="005C773C" w:rsidRDefault="00BF370E" w:rsidP="00386FA4">
            <w:pPr>
              <w:pStyle w:val="TableBodyText"/>
            </w:pPr>
            <w:r>
              <w:t>-13.8</w:t>
            </w:r>
          </w:p>
        </w:tc>
        <w:tc>
          <w:tcPr>
            <w:tcW w:w="887" w:type="pct"/>
            <w:vAlign w:val="bottom"/>
          </w:tcPr>
          <w:p w:rsidR="00BF370E" w:rsidRPr="005C773C" w:rsidRDefault="00BF370E" w:rsidP="00386FA4">
            <w:pPr>
              <w:pStyle w:val="TableBodyText"/>
            </w:pPr>
            <w:r>
              <w:t>-13.8</w:t>
            </w:r>
          </w:p>
        </w:tc>
      </w:tr>
      <w:tr w:rsidR="00BF370E" w:rsidRPr="00ED5AA3" w:rsidTr="00386FA4">
        <w:trPr>
          <w:trHeight w:val="283"/>
        </w:trPr>
        <w:tc>
          <w:tcPr>
            <w:tcW w:w="2340" w:type="pct"/>
            <w:vAlign w:val="center"/>
          </w:tcPr>
          <w:p w:rsidR="00BF370E" w:rsidRPr="00ED5AA3" w:rsidRDefault="00BF370E" w:rsidP="00386FA4">
            <w:pPr>
              <w:pStyle w:val="TableBodyText"/>
              <w:jc w:val="left"/>
              <w:rPr>
                <w:b/>
              </w:rPr>
            </w:pPr>
            <w:r w:rsidRPr="00ED5AA3">
              <w:rPr>
                <w:b/>
              </w:rPr>
              <w:t>Mining</w:t>
            </w:r>
          </w:p>
        </w:tc>
        <w:tc>
          <w:tcPr>
            <w:tcW w:w="887" w:type="pct"/>
            <w:vAlign w:val="bottom"/>
          </w:tcPr>
          <w:p w:rsidR="00BF370E" w:rsidRPr="00D3719C" w:rsidRDefault="00BF370E" w:rsidP="00386FA4">
            <w:pPr>
              <w:pStyle w:val="TableBodyText"/>
              <w:rPr>
                <w:b/>
              </w:rPr>
            </w:pPr>
            <w:r w:rsidRPr="00D3719C">
              <w:rPr>
                <w:b/>
              </w:rPr>
              <w:t>1.0</w:t>
            </w:r>
          </w:p>
        </w:tc>
        <w:tc>
          <w:tcPr>
            <w:tcW w:w="886" w:type="pct"/>
            <w:vAlign w:val="bottom"/>
          </w:tcPr>
          <w:p w:rsidR="00BF370E" w:rsidRPr="00D3719C" w:rsidRDefault="00BF370E" w:rsidP="00386FA4">
            <w:pPr>
              <w:pStyle w:val="TableBodyText"/>
              <w:rPr>
                <w:b/>
              </w:rPr>
            </w:pPr>
            <w:r w:rsidRPr="00D3719C">
              <w:rPr>
                <w:b/>
              </w:rPr>
              <w:t>-208.5</w:t>
            </w:r>
          </w:p>
        </w:tc>
        <w:tc>
          <w:tcPr>
            <w:tcW w:w="887" w:type="pct"/>
            <w:vAlign w:val="bottom"/>
          </w:tcPr>
          <w:p w:rsidR="00BF370E" w:rsidRPr="00D3719C" w:rsidRDefault="00BF370E" w:rsidP="00386FA4">
            <w:pPr>
              <w:pStyle w:val="TableBodyText"/>
              <w:rPr>
                <w:b/>
              </w:rPr>
            </w:pPr>
            <w:r w:rsidRPr="00D3719C">
              <w:rPr>
                <w:b/>
              </w:rPr>
              <w:t>-207.5</w:t>
            </w:r>
          </w:p>
        </w:tc>
      </w:tr>
      <w:tr w:rsidR="00BF370E" w:rsidRPr="00ED5AA3" w:rsidTr="00386FA4">
        <w:trPr>
          <w:trHeight w:val="283"/>
        </w:trPr>
        <w:tc>
          <w:tcPr>
            <w:tcW w:w="2340" w:type="pct"/>
            <w:vAlign w:val="center"/>
          </w:tcPr>
          <w:p w:rsidR="00BF370E" w:rsidRPr="00ED5AA3" w:rsidRDefault="00BF370E" w:rsidP="00386FA4">
            <w:pPr>
              <w:pStyle w:val="TableBodyText"/>
              <w:jc w:val="left"/>
              <w:rPr>
                <w:b/>
              </w:rPr>
            </w:pPr>
            <w:r w:rsidRPr="00ED5AA3">
              <w:rPr>
                <w:b/>
              </w:rPr>
              <w:t>Manufacturing</w:t>
            </w:r>
          </w:p>
        </w:tc>
        <w:tc>
          <w:tcPr>
            <w:tcW w:w="887" w:type="pct"/>
            <w:vAlign w:val="bottom"/>
          </w:tcPr>
          <w:p w:rsidR="00BF370E" w:rsidRPr="00D3719C" w:rsidRDefault="00BF370E" w:rsidP="00386FA4">
            <w:pPr>
              <w:pStyle w:val="TableBodyText"/>
              <w:rPr>
                <w:b/>
              </w:rPr>
            </w:pPr>
            <w:r w:rsidRPr="00D3719C">
              <w:rPr>
                <w:b/>
              </w:rPr>
              <w:t>7684.5</w:t>
            </w:r>
          </w:p>
        </w:tc>
        <w:tc>
          <w:tcPr>
            <w:tcW w:w="886" w:type="pct"/>
            <w:vAlign w:val="bottom"/>
          </w:tcPr>
          <w:p w:rsidR="00BF370E" w:rsidRPr="00D3719C" w:rsidRDefault="00BF370E" w:rsidP="00386FA4">
            <w:pPr>
              <w:pStyle w:val="TableBodyText"/>
              <w:rPr>
                <w:b/>
              </w:rPr>
            </w:pPr>
            <w:r w:rsidRPr="00D3719C">
              <w:rPr>
                <w:b/>
              </w:rPr>
              <w:t>-2083.9</w:t>
            </w:r>
          </w:p>
        </w:tc>
        <w:tc>
          <w:tcPr>
            <w:tcW w:w="887" w:type="pct"/>
            <w:vAlign w:val="bottom"/>
          </w:tcPr>
          <w:p w:rsidR="00BF370E" w:rsidRPr="00D3719C" w:rsidRDefault="00BF370E" w:rsidP="00386FA4">
            <w:pPr>
              <w:pStyle w:val="TableBodyText"/>
              <w:rPr>
                <w:b/>
              </w:rPr>
            </w:pPr>
            <w:r w:rsidRPr="00D3719C">
              <w:rPr>
                <w:b/>
              </w:rPr>
              <w:t>5600.7</w:t>
            </w:r>
          </w:p>
        </w:tc>
      </w:tr>
      <w:tr w:rsidR="00BF370E" w:rsidTr="00386FA4">
        <w:tc>
          <w:tcPr>
            <w:tcW w:w="2340" w:type="pct"/>
            <w:vAlign w:val="center"/>
          </w:tcPr>
          <w:p w:rsidR="00BF370E" w:rsidRDefault="00BF370E" w:rsidP="00386FA4">
            <w:pPr>
              <w:pStyle w:val="TableBodyText"/>
              <w:jc w:val="left"/>
            </w:pPr>
            <w:r>
              <w:t>Food, beverages and tobacco</w:t>
            </w:r>
          </w:p>
        </w:tc>
        <w:tc>
          <w:tcPr>
            <w:tcW w:w="887" w:type="pct"/>
            <w:vAlign w:val="bottom"/>
          </w:tcPr>
          <w:p w:rsidR="00BF370E" w:rsidRDefault="00BF370E" w:rsidP="00386FA4">
            <w:pPr>
              <w:pStyle w:val="TableBodyText"/>
            </w:pPr>
            <w:r>
              <w:t>1698.5</w:t>
            </w:r>
          </w:p>
        </w:tc>
        <w:tc>
          <w:tcPr>
            <w:tcW w:w="886" w:type="pct"/>
            <w:vAlign w:val="bottom"/>
          </w:tcPr>
          <w:p w:rsidR="00BF370E" w:rsidRDefault="00BF370E" w:rsidP="00386FA4">
            <w:pPr>
              <w:pStyle w:val="TableBodyText"/>
            </w:pPr>
            <w:r>
              <w:t>-486.4</w:t>
            </w:r>
          </w:p>
        </w:tc>
        <w:tc>
          <w:tcPr>
            <w:tcW w:w="887" w:type="pct"/>
            <w:vAlign w:val="bottom"/>
          </w:tcPr>
          <w:p w:rsidR="00BF370E" w:rsidRPr="00A96993" w:rsidRDefault="00BF370E" w:rsidP="00386FA4">
            <w:pPr>
              <w:pStyle w:val="TableBodyText"/>
            </w:pPr>
            <w:r>
              <w:t>1212.1</w:t>
            </w:r>
          </w:p>
        </w:tc>
      </w:tr>
      <w:tr w:rsidR="00BF370E" w:rsidTr="00386FA4">
        <w:tc>
          <w:tcPr>
            <w:tcW w:w="2340" w:type="pct"/>
            <w:vAlign w:val="center"/>
          </w:tcPr>
          <w:p w:rsidR="00BF370E" w:rsidRDefault="00BF370E" w:rsidP="00386FA4">
            <w:pPr>
              <w:pStyle w:val="TableBodyText"/>
              <w:jc w:val="left"/>
            </w:pPr>
            <w:r>
              <w:t>Textile, leather, clothing and footwear</w:t>
            </w:r>
          </w:p>
        </w:tc>
        <w:tc>
          <w:tcPr>
            <w:tcW w:w="887" w:type="pct"/>
            <w:vAlign w:val="bottom"/>
          </w:tcPr>
          <w:p w:rsidR="00BF370E" w:rsidRDefault="00BF370E" w:rsidP="00386FA4">
            <w:pPr>
              <w:pStyle w:val="TableBodyText"/>
            </w:pPr>
            <w:r>
              <w:t>295.6</w:t>
            </w:r>
          </w:p>
        </w:tc>
        <w:tc>
          <w:tcPr>
            <w:tcW w:w="886" w:type="pct"/>
            <w:vAlign w:val="bottom"/>
          </w:tcPr>
          <w:p w:rsidR="00BF370E" w:rsidRDefault="00BF370E" w:rsidP="00386FA4">
            <w:pPr>
              <w:pStyle w:val="TableBodyText"/>
            </w:pPr>
            <w:r>
              <w:t>-60.4</w:t>
            </w:r>
          </w:p>
        </w:tc>
        <w:tc>
          <w:tcPr>
            <w:tcW w:w="887" w:type="pct"/>
            <w:vAlign w:val="bottom"/>
          </w:tcPr>
          <w:p w:rsidR="00BF370E" w:rsidRPr="00A96993" w:rsidRDefault="00BF370E" w:rsidP="00386FA4">
            <w:pPr>
              <w:pStyle w:val="TableBodyText"/>
            </w:pPr>
            <w:r>
              <w:t>235.3</w:t>
            </w:r>
          </w:p>
        </w:tc>
      </w:tr>
      <w:tr w:rsidR="00BF370E" w:rsidTr="00386FA4">
        <w:tc>
          <w:tcPr>
            <w:tcW w:w="2340" w:type="pct"/>
            <w:vAlign w:val="center"/>
          </w:tcPr>
          <w:p w:rsidR="00BF370E" w:rsidRDefault="00BF370E" w:rsidP="00386FA4">
            <w:pPr>
              <w:pStyle w:val="TableBodyText"/>
              <w:jc w:val="left"/>
            </w:pPr>
            <w:r>
              <w:t>Wood and paper products</w:t>
            </w:r>
          </w:p>
        </w:tc>
        <w:tc>
          <w:tcPr>
            <w:tcW w:w="887" w:type="pct"/>
            <w:vAlign w:val="bottom"/>
          </w:tcPr>
          <w:p w:rsidR="00BF370E" w:rsidRDefault="00BF370E" w:rsidP="00386FA4">
            <w:pPr>
              <w:pStyle w:val="TableBodyText"/>
            </w:pPr>
            <w:r>
              <w:t>720.6</w:t>
            </w:r>
          </w:p>
        </w:tc>
        <w:tc>
          <w:tcPr>
            <w:tcW w:w="886" w:type="pct"/>
            <w:vAlign w:val="bottom"/>
          </w:tcPr>
          <w:p w:rsidR="00BF370E" w:rsidRDefault="00BF370E" w:rsidP="00386FA4">
            <w:pPr>
              <w:pStyle w:val="TableBodyText"/>
            </w:pPr>
            <w:r>
              <w:t>-145.8</w:t>
            </w:r>
          </w:p>
        </w:tc>
        <w:tc>
          <w:tcPr>
            <w:tcW w:w="887" w:type="pct"/>
            <w:vAlign w:val="bottom"/>
          </w:tcPr>
          <w:p w:rsidR="00BF370E" w:rsidRPr="00A96993" w:rsidRDefault="00BF370E" w:rsidP="00386FA4">
            <w:pPr>
              <w:pStyle w:val="TableBodyText"/>
            </w:pPr>
            <w:r>
              <w:t>574.8</w:t>
            </w:r>
          </w:p>
        </w:tc>
      </w:tr>
      <w:tr w:rsidR="00BF370E" w:rsidTr="00386FA4">
        <w:tc>
          <w:tcPr>
            <w:tcW w:w="2340" w:type="pct"/>
            <w:vAlign w:val="center"/>
          </w:tcPr>
          <w:p w:rsidR="00BF370E" w:rsidRDefault="00BF370E" w:rsidP="00386FA4">
            <w:pPr>
              <w:pStyle w:val="TableBodyText"/>
              <w:jc w:val="left"/>
            </w:pPr>
            <w:r>
              <w:t>Printing and recorded media</w:t>
            </w:r>
          </w:p>
        </w:tc>
        <w:tc>
          <w:tcPr>
            <w:tcW w:w="887" w:type="pct"/>
            <w:vAlign w:val="bottom"/>
          </w:tcPr>
          <w:p w:rsidR="00BF370E" w:rsidRDefault="00BF370E" w:rsidP="00386FA4">
            <w:pPr>
              <w:pStyle w:val="TableBodyText"/>
            </w:pPr>
            <w:r>
              <w:t>219.0</w:t>
            </w:r>
          </w:p>
        </w:tc>
        <w:tc>
          <w:tcPr>
            <w:tcW w:w="886" w:type="pct"/>
            <w:vAlign w:val="bottom"/>
          </w:tcPr>
          <w:p w:rsidR="00BF370E" w:rsidRDefault="00BF370E" w:rsidP="00386FA4">
            <w:pPr>
              <w:pStyle w:val="TableBodyText"/>
            </w:pPr>
            <w:r>
              <w:t>-35.5</w:t>
            </w:r>
          </w:p>
        </w:tc>
        <w:tc>
          <w:tcPr>
            <w:tcW w:w="887" w:type="pct"/>
            <w:vAlign w:val="bottom"/>
          </w:tcPr>
          <w:p w:rsidR="00BF370E" w:rsidRPr="00A96993" w:rsidRDefault="00BF370E" w:rsidP="00386FA4">
            <w:pPr>
              <w:pStyle w:val="TableBodyText"/>
            </w:pPr>
            <w:r>
              <w:t>183.5</w:t>
            </w:r>
          </w:p>
        </w:tc>
      </w:tr>
      <w:tr w:rsidR="00BF370E" w:rsidTr="00386FA4">
        <w:tc>
          <w:tcPr>
            <w:tcW w:w="2340" w:type="pct"/>
            <w:vAlign w:val="center"/>
          </w:tcPr>
          <w:p w:rsidR="00BF370E" w:rsidRDefault="00BF370E" w:rsidP="00386FA4">
            <w:pPr>
              <w:pStyle w:val="TableBodyText"/>
              <w:jc w:val="left"/>
            </w:pPr>
            <w:r>
              <w:t>Petroleum, coal, chemical &amp; rubber products</w:t>
            </w:r>
          </w:p>
        </w:tc>
        <w:tc>
          <w:tcPr>
            <w:tcW w:w="887" w:type="pct"/>
            <w:vAlign w:val="bottom"/>
          </w:tcPr>
          <w:p w:rsidR="00BF370E" w:rsidRDefault="00BF370E" w:rsidP="00386FA4">
            <w:pPr>
              <w:pStyle w:val="TableBodyText"/>
            </w:pPr>
            <w:r>
              <w:t>991.5</w:t>
            </w:r>
          </w:p>
        </w:tc>
        <w:tc>
          <w:tcPr>
            <w:tcW w:w="886" w:type="pct"/>
            <w:vAlign w:val="bottom"/>
          </w:tcPr>
          <w:p w:rsidR="00BF370E" w:rsidRDefault="00BF370E" w:rsidP="00386FA4">
            <w:pPr>
              <w:pStyle w:val="TableBodyText"/>
            </w:pPr>
            <w:r>
              <w:t>-288.5</w:t>
            </w:r>
          </w:p>
        </w:tc>
        <w:tc>
          <w:tcPr>
            <w:tcW w:w="887" w:type="pct"/>
            <w:vAlign w:val="bottom"/>
          </w:tcPr>
          <w:p w:rsidR="00BF370E" w:rsidRPr="00A96993" w:rsidRDefault="00BF370E" w:rsidP="00386FA4">
            <w:pPr>
              <w:pStyle w:val="TableBodyText"/>
            </w:pPr>
            <w:r>
              <w:t>703.1</w:t>
            </w:r>
          </w:p>
        </w:tc>
      </w:tr>
      <w:tr w:rsidR="00BF370E" w:rsidTr="00386FA4">
        <w:tc>
          <w:tcPr>
            <w:tcW w:w="2340" w:type="pct"/>
            <w:vAlign w:val="center"/>
          </w:tcPr>
          <w:p w:rsidR="00BF370E" w:rsidRDefault="00BF370E" w:rsidP="00386FA4">
            <w:pPr>
              <w:pStyle w:val="TableBodyText"/>
              <w:jc w:val="left"/>
            </w:pPr>
            <w:r>
              <w:t>Non-metallic mineral products</w:t>
            </w:r>
          </w:p>
        </w:tc>
        <w:tc>
          <w:tcPr>
            <w:tcW w:w="887" w:type="pct"/>
            <w:vAlign w:val="bottom"/>
          </w:tcPr>
          <w:p w:rsidR="00BF370E" w:rsidRDefault="00BF370E" w:rsidP="00386FA4">
            <w:pPr>
              <w:pStyle w:val="TableBodyText"/>
            </w:pPr>
            <w:r>
              <w:t>246.3</w:t>
            </w:r>
          </w:p>
        </w:tc>
        <w:tc>
          <w:tcPr>
            <w:tcW w:w="886" w:type="pct"/>
            <w:vAlign w:val="bottom"/>
          </w:tcPr>
          <w:p w:rsidR="00BF370E" w:rsidRDefault="00BF370E" w:rsidP="00386FA4">
            <w:pPr>
              <w:pStyle w:val="TableBodyText"/>
            </w:pPr>
            <w:r>
              <w:t>-42.2</w:t>
            </w:r>
          </w:p>
        </w:tc>
        <w:tc>
          <w:tcPr>
            <w:tcW w:w="887" w:type="pct"/>
            <w:vAlign w:val="bottom"/>
          </w:tcPr>
          <w:p w:rsidR="00BF370E" w:rsidRPr="00A96993" w:rsidRDefault="00BF370E" w:rsidP="00386FA4">
            <w:pPr>
              <w:pStyle w:val="TableBodyText"/>
            </w:pPr>
            <w:r>
              <w:t>204.0</w:t>
            </w:r>
          </w:p>
        </w:tc>
      </w:tr>
      <w:tr w:rsidR="00BF370E" w:rsidTr="00386FA4">
        <w:tc>
          <w:tcPr>
            <w:tcW w:w="2340" w:type="pct"/>
            <w:vAlign w:val="center"/>
          </w:tcPr>
          <w:p w:rsidR="00BF370E" w:rsidRDefault="00BF370E" w:rsidP="00386FA4">
            <w:pPr>
              <w:pStyle w:val="TableBodyText"/>
              <w:jc w:val="left"/>
            </w:pPr>
            <w:r>
              <w:t>Metal and fabricated metal products</w:t>
            </w:r>
          </w:p>
        </w:tc>
        <w:tc>
          <w:tcPr>
            <w:tcW w:w="887" w:type="pct"/>
            <w:vAlign w:val="bottom"/>
          </w:tcPr>
          <w:p w:rsidR="00BF370E" w:rsidRDefault="00BF370E" w:rsidP="00386FA4">
            <w:pPr>
              <w:pStyle w:val="TableBodyText"/>
            </w:pPr>
            <w:r>
              <w:t>1780.4</w:t>
            </w:r>
          </w:p>
        </w:tc>
        <w:tc>
          <w:tcPr>
            <w:tcW w:w="886" w:type="pct"/>
            <w:vAlign w:val="bottom"/>
          </w:tcPr>
          <w:p w:rsidR="00BF370E" w:rsidRDefault="00BF370E" w:rsidP="00386FA4">
            <w:pPr>
              <w:pStyle w:val="TableBodyText"/>
            </w:pPr>
            <w:r>
              <w:t>-423.6</w:t>
            </w:r>
          </w:p>
        </w:tc>
        <w:tc>
          <w:tcPr>
            <w:tcW w:w="887" w:type="pct"/>
            <w:vAlign w:val="bottom"/>
          </w:tcPr>
          <w:p w:rsidR="00BF370E" w:rsidRPr="00A96993" w:rsidRDefault="00BF370E" w:rsidP="00386FA4">
            <w:pPr>
              <w:pStyle w:val="TableBodyText"/>
            </w:pPr>
            <w:r>
              <w:t>1356.8</w:t>
            </w:r>
          </w:p>
        </w:tc>
      </w:tr>
      <w:tr w:rsidR="00BF370E" w:rsidTr="00386FA4">
        <w:tc>
          <w:tcPr>
            <w:tcW w:w="2340" w:type="pct"/>
            <w:vAlign w:val="center"/>
          </w:tcPr>
          <w:p w:rsidR="00BF370E" w:rsidRDefault="00BF370E" w:rsidP="00386FA4">
            <w:pPr>
              <w:pStyle w:val="TableBodyText"/>
              <w:jc w:val="left"/>
            </w:pPr>
            <w:r>
              <w:t>Motor vehicle and parts</w:t>
            </w:r>
          </w:p>
        </w:tc>
        <w:tc>
          <w:tcPr>
            <w:tcW w:w="887" w:type="pct"/>
            <w:vAlign w:val="bottom"/>
          </w:tcPr>
          <w:p w:rsidR="00BF370E" w:rsidRDefault="00BF370E" w:rsidP="00386FA4">
            <w:pPr>
              <w:pStyle w:val="TableBodyText"/>
            </w:pPr>
            <w:r>
              <w:t>785.2</w:t>
            </w:r>
          </w:p>
        </w:tc>
        <w:tc>
          <w:tcPr>
            <w:tcW w:w="886" w:type="pct"/>
            <w:vAlign w:val="bottom"/>
          </w:tcPr>
          <w:p w:rsidR="00BF370E" w:rsidRDefault="00BF370E" w:rsidP="00386FA4">
            <w:pPr>
              <w:pStyle w:val="TableBodyText"/>
            </w:pPr>
            <w:r>
              <w:t>-289.2</w:t>
            </w:r>
          </w:p>
        </w:tc>
        <w:tc>
          <w:tcPr>
            <w:tcW w:w="887" w:type="pct"/>
            <w:vAlign w:val="bottom"/>
          </w:tcPr>
          <w:p w:rsidR="00BF370E" w:rsidRPr="00A96993" w:rsidRDefault="00BF370E" w:rsidP="00386FA4">
            <w:pPr>
              <w:pStyle w:val="TableBodyText"/>
            </w:pPr>
            <w:r>
              <w:t>496.1</w:t>
            </w:r>
          </w:p>
        </w:tc>
      </w:tr>
      <w:tr w:rsidR="00BF370E" w:rsidTr="00386FA4">
        <w:tc>
          <w:tcPr>
            <w:tcW w:w="2340" w:type="pct"/>
            <w:vAlign w:val="center"/>
          </w:tcPr>
          <w:p w:rsidR="00BF370E" w:rsidRDefault="00BF370E" w:rsidP="00386FA4">
            <w:pPr>
              <w:pStyle w:val="TableBodyText"/>
              <w:jc w:val="left"/>
            </w:pPr>
            <w:r>
              <w:t>Other transport equipment</w:t>
            </w:r>
          </w:p>
        </w:tc>
        <w:tc>
          <w:tcPr>
            <w:tcW w:w="887" w:type="pct"/>
            <w:vAlign w:val="bottom"/>
          </w:tcPr>
          <w:p w:rsidR="00BF370E" w:rsidRDefault="00BF370E" w:rsidP="00386FA4">
            <w:pPr>
              <w:pStyle w:val="TableBodyText"/>
            </w:pPr>
            <w:r>
              <w:t>68.6</w:t>
            </w:r>
          </w:p>
        </w:tc>
        <w:tc>
          <w:tcPr>
            <w:tcW w:w="886" w:type="pct"/>
            <w:vAlign w:val="bottom"/>
          </w:tcPr>
          <w:p w:rsidR="00BF370E" w:rsidRDefault="00BF370E" w:rsidP="00386FA4">
            <w:pPr>
              <w:pStyle w:val="TableBodyText"/>
            </w:pPr>
            <w:r>
              <w:t>-61.2</w:t>
            </w:r>
          </w:p>
        </w:tc>
        <w:tc>
          <w:tcPr>
            <w:tcW w:w="887" w:type="pct"/>
            <w:vAlign w:val="bottom"/>
          </w:tcPr>
          <w:p w:rsidR="00BF370E" w:rsidRPr="00A96993" w:rsidRDefault="00BF370E" w:rsidP="00386FA4">
            <w:pPr>
              <w:pStyle w:val="TableBodyText"/>
            </w:pPr>
            <w:r>
              <w:t>7.4</w:t>
            </w:r>
          </w:p>
        </w:tc>
      </w:tr>
      <w:tr w:rsidR="00BF370E" w:rsidTr="00386FA4">
        <w:tc>
          <w:tcPr>
            <w:tcW w:w="2340" w:type="pct"/>
            <w:vAlign w:val="center"/>
          </w:tcPr>
          <w:p w:rsidR="00BF370E" w:rsidRDefault="00BF370E" w:rsidP="00386FA4">
            <w:pPr>
              <w:pStyle w:val="TableBodyText"/>
              <w:jc w:val="left"/>
            </w:pPr>
            <w:r>
              <w:t>Machinery and equipment manufacturing</w:t>
            </w:r>
          </w:p>
        </w:tc>
        <w:tc>
          <w:tcPr>
            <w:tcW w:w="887" w:type="pct"/>
            <w:vAlign w:val="bottom"/>
          </w:tcPr>
          <w:p w:rsidR="00BF370E" w:rsidRDefault="00BF370E" w:rsidP="00386FA4">
            <w:pPr>
              <w:pStyle w:val="TableBodyText"/>
            </w:pPr>
            <w:r>
              <w:t>641.7</w:t>
            </w:r>
          </w:p>
        </w:tc>
        <w:tc>
          <w:tcPr>
            <w:tcW w:w="886" w:type="pct"/>
            <w:vAlign w:val="bottom"/>
          </w:tcPr>
          <w:p w:rsidR="00BF370E" w:rsidRDefault="00BF370E" w:rsidP="00386FA4">
            <w:pPr>
              <w:pStyle w:val="TableBodyText"/>
            </w:pPr>
            <w:r>
              <w:t>-193.4</w:t>
            </w:r>
          </w:p>
        </w:tc>
        <w:tc>
          <w:tcPr>
            <w:tcW w:w="887" w:type="pct"/>
            <w:vAlign w:val="bottom"/>
          </w:tcPr>
          <w:p w:rsidR="00BF370E" w:rsidRPr="00A96993" w:rsidRDefault="00BF370E" w:rsidP="00386FA4">
            <w:pPr>
              <w:pStyle w:val="TableBodyText"/>
            </w:pPr>
            <w:r>
              <w:t>448.3</w:t>
            </w:r>
          </w:p>
        </w:tc>
      </w:tr>
      <w:tr w:rsidR="00BF370E" w:rsidTr="00386FA4">
        <w:tc>
          <w:tcPr>
            <w:tcW w:w="2340" w:type="pct"/>
            <w:vAlign w:val="center"/>
          </w:tcPr>
          <w:p w:rsidR="00BF370E" w:rsidRDefault="00BF370E" w:rsidP="00386FA4">
            <w:pPr>
              <w:pStyle w:val="TableBodyText"/>
              <w:jc w:val="left"/>
            </w:pPr>
            <w:r>
              <w:t>Furniture and other manufacturing</w:t>
            </w:r>
          </w:p>
        </w:tc>
        <w:tc>
          <w:tcPr>
            <w:tcW w:w="887" w:type="pct"/>
            <w:vAlign w:val="bottom"/>
          </w:tcPr>
          <w:p w:rsidR="00BF370E" w:rsidRDefault="00BF370E" w:rsidP="00386FA4">
            <w:pPr>
              <w:pStyle w:val="TableBodyText"/>
            </w:pPr>
            <w:r>
              <w:t>236.9</w:t>
            </w:r>
          </w:p>
        </w:tc>
        <w:tc>
          <w:tcPr>
            <w:tcW w:w="886" w:type="pct"/>
            <w:vAlign w:val="bottom"/>
          </w:tcPr>
          <w:p w:rsidR="00BF370E" w:rsidRDefault="00BF370E" w:rsidP="00386FA4">
            <w:pPr>
              <w:pStyle w:val="TableBodyText"/>
            </w:pPr>
            <w:r>
              <w:t>-57.7</w:t>
            </w:r>
          </w:p>
        </w:tc>
        <w:tc>
          <w:tcPr>
            <w:tcW w:w="887" w:type="pct"/>
            <w:vAlign w:val="bottom"/>
          </w:tcPr>
          <w:p w:rsidR="00BF370E" w:rsidRPr="00A96993" w:rsidRDefault="00BF370E" w:rsidP="00386FA4">
            <w:pPr>
              <w:pStyle w:val="TableBodyText"/>
            </w:pPr>
            <w:r>
              <w:t>179.2</w:t>
            </w:r>
          </w:p>
        </w:tc>
      </w:tr>
      <w:tr w:rsidR="00BF370E" w:rsidRPr="00056D69" w:rsidTr="00386FA4">
        <w:trPr>
          <w:trHeight w:val="283"/>
        </w:trPr>
        <w:tc>
          <w:tcPr>
            <w:tcW w:w="2340" w:type="pct"/>
            <w:vAlign w:val="center"/>
          </w:tcPr>
          <w:p w:rsidR="00BF370E" w:rsidRPr="00056D69" w:rsidRDefault="00BF370E" w:rsidP="00386FA4">
            <w:pPr>
              <w:pStyle w:val="TableBodyText"/>
              <w:jc w:val="left"/>
              <w:rPr>
                <w:b/>
              </w:rPr>
            </w:pPr>
            <w:r w:rsidRPr="00056D69">
              <w:rPr>
                <w:b/>
              </w:rPr>
              <w:t>Services</w:t>
            </w:r>
          </w:p>
        </w:tc>
        <w:tc>
          <w:tcPr>
            <w:tcW w:w="887" w:type="pct"/>
            <w:vAlign w:val="bottom"/>
          </w:tcPr>
          <w:p w:rsidR="00BF370E" w:rsidRPr="00D3719C" w:rsidRDefault="00BF370E" w:rsidP="00386FA4">
            <w:pPr>
              <w:pStyle w:val="TableBodyText"/>
              <w:rPr>
                <w:b/>
              </w:rPr>
            </w:pPr>
            <w:r w:rsidRPr="00D3719C">
              <w:rPr>
                <w:b/>
              </w:rPr>
              <w:t>0.0</w:t>
            </w:r>
          </w:p>
        </w:tc>
        <w:tc>
          <w:tcPr>
            <w:tcW w:w="886" w:type="pct"/>
            <w:vAlign w:val="bottom"/>
          </w:tcPr>
          <w:p w:rsidR="00BF370E" w:rsidRPr="00D3719C" w:rsidRDefault="00BF370E" w:rsidP="00386FA4">
            <w:pPr>
              <w:pStyle w:val="TableBodyText"/>
              <w:rPr>
                <w:b/>
              </w:rPr>
            </w:pPr>
            <w:r w:rsidRPr="00D3719C">
              <w:rPr>
                <w:b/>
              </w:rPr>
              <w:t>-4448.1</w:t>
            </w:r>
          </w:p>
        </w:tc>
        <w:tc>
          <w:tcPr>
            <w:tcW w:w="887" w:type="pct"/>
            <w:vAlign w:val="bottom"/>
          </w:tcPr>
          <w:p w:rsidR="00BF370E" w:rsidRPr="00D3719C" w:rsidRDefault="00BF370E" w:rsidP="00386FA4">
            <w:pPr>
              <w:pStyle w:val="TableBodyText"/>
              <w:rPr>
                <w:b/>
              </w:rPr>
            </w:pPr>
            <w:r w:rsidRPr="00D3719C">
              <w:rPr>
                <w:b/>
              </w:rPr>
              <w:t>-4448.1</w:t>
            </w:r>
          </w:p>
        </w:tc>
      </w:tr>
      <w:tr w:rsidR="00BF370E" w:rsidTr="00386FA4">
        <w:tc>
          <w:tcPr>
            <w:tcW w:w="2340" w:type="pct"/>
            <w:vAlign w:val="center"/>
          </w:tcPr>
          <w:p w:rsidR="00BF370E" w:rsidRDefault="00BF370E" w:rsidP="00386FA4">
            <w:pPr>
              <w:pStyle w:val="TableBodyText"/>
              <w:jc w:val="left"/>
            </w:pPr>
            <w:r>
              <w:t>Electricity, gas, water and waste services</w:t>
            </w:r>
          </w:p>
        </w:tc>
        <w:tc>
          <w:tcPr>
            <w:tcW w:w="887" w:type="pct"/>
            <w:vAlign w:val="bottom"/>
          </w:tcPr>
          <w:p w:rsidR="00BF370E" w:rsidRDefault="00E36811" w:rsidP="00E36811">
            <w:pPr>
              <w:pStyle w:val="TableBodyText"/>
            </w:pPr>
            <w:r>
              <w:t>–</w:t>
            </w:r>
          </w:p>
        </w:tc>
        <w:tc>
          <w:tcPr>
            <w:tcW w:w="886" w:type="pct"/>
            <w:vAlign w:val="bottom"/>
          </w:tcPr>
          <w:p w:rsidR="00BF370E" w:rsidRDefault="00BF370E" w:rsidP="00386FA4">
            <w:pPr>
              <w:pStyle w:val="TableBodyText"/>
            </w:pPr>
            <w:r>
              <w:t>-77.6</w:t>
            </w:r>
          </w:p>
        </w:tc>
        <w:tc>
          <w:tcPr>
            <w:tcW w:w="887" w:type="pct"/>
            <w:vAlign w:val="bottom"/>
          </w:tcPr>
          <w:p w:rsidR="00BF370E" w:rsidRPr="00A96993" w:rsidRDefault="00BF370E" w:rsidP="00386FA4">
            <w:pPr>
              <w:pStyle w:val="TableBodyText"/>
            </w:pPr>
            <w:r>
              <w:t>-77.6</w:t>
            </w:r>
          </w:p>
        </w:tc>
      </w:tr>
      <w:tr w:rsidR="00BF370E" w:rsidTr="00386FA4">
        <w:tc>
          <w:tcPr>
            <w:tcW w:w="2340" w:type="pct"/>
            <w:vAlign w:val="center"/>
          </w:tcPr>
          <w:p w:rsidR="00BF370E" w:rsidRDefault="00BF370E" w:rsidP="00386FA4">
            <w:pPr>
              <w:pStyle w:val="TableBodyText"/>
              <w:jc w:val="left"/>
            </w:pPr>
            <w:r>
              <w:t>Construction</w:t>
            </w:r>
          </w:p>
        </w:tc>
        <w:tc>
          <w:tcPr>
            <w:tcW w:w="887" w:type="pct"/>
            <w:vAlign w:val="bottom"/>
          </w:tcPr>
          <w:p w:rsidR="00BF370E" w:rsidRDefault="00E36811" w:rsidP="00386FA4">
            <w:pPr>
              <w:pStyle w:val="TableBodyText"/>
            </w:pPr>
            <w:r>
              <w:t>–</w:t>
            </w:r>
          </w:p>
        </w:tc>
        <w:tc>
          <w:tcPr>
            <w:tcW w:w="886" w:type="pct"/>
            <w:vAlign w:val="bottom"/>
          </w:tcPr>
          <w:p w:rsidR="00BF370E" w:rsidRDefault="00BF370E" w:rsidP="00386FA4">
            <w:pPr>
              <w:pStyle w:val="TableBodyText"/>
            </w:pPr>
            <w:r>
              <w:t>-1542.6</w:t>
            </w:r>
          </w:p>
        </w:tc>
        <w:tc>
          <w:tcPr>
            <w:tcW w:w="887" w:type="pct"/>
            <w:vAlign w:val="bottom"/>
          </w:tcPr>
          <w:p w:rsidR="00BF370E" w:rsidRPr="00A96993" w:rsidRDefault="00BF370E" w:rsidP="00386FA4">
            <w:pPr>
              <w:pStyle w:val="TableBodyText"/>
            </w:pPr>
            <w:r>
              <w:t>-1542.6</w:t>
            </w:r>
          </w:p>
        </w:tc>
      </w:tr>
      <w:tr w:rsidR="00BF370E" w:rsidTr="00386FA4">
        <w:tc>
          <w:tcPr>
            <w:tcW w:w="2340" w:type="pct"/>
            <w:vAlign w:val="center"/>
          </w:tcPr>
          <w:p w:rsidR="00BF370E" w:rsidRDefault="00BF370E" w:rsidP="00386FA4">
            <w:pPr>
              <w:pStyle w:val="TableBodyText"/>
              <w:jc w:val="left"/>
            </w:pPr>
            <w:r>
              <w:t>Wholesale trade</w:t>
            </w:r>
          </w:p>
        </w:tc>
        <w:tc>
          <w:tcPr>
            <w:tcW w:w="887" w:type="pct"/>
            <w:vAlign w:val="bottom"/>
          </w:tcPr>
          <w:p w:rsidR="00BF370E" w:rsidRDefault="00E36811" w:rsidP="00386FA4">
            <w:pPr>
              <w:pStyle w:val="TableBodyText"/>
            </w:pPr>
            <w:r>
              <w:t>–</w:t>
            </w:r>
          </w:p>
        </w:tc>
        <w:tc>
          <w:tcPr>
            <w:tcW w:w="886" w:type="pct"/>
            <w:vAlign w:val="bottom"/>
          </w:tcPr>
          <w:p w:rsidR="00BF370E" w:rsidRDefault="00BF370E" w:rsidP="00386FA4">
            <w:pPr>
              <w:pStyle w:val="TableBodyText"/>
            </w:pPr>
            <w:r>
              <w:t>-267.7</w:t>
            </w:r>
          </w:p>
        </w:tc>
        <w:tc>
          <w:tcPr>
            <w:tcW w:w="887" w:type="pct"/>
            <w:vAlign w:val="bottom"/>
          </w:tcPr>
          <w:p w:rsidR="00BF370E" w:rsidRPr="00A96993" w:rsidRDefault="00BF370E" w:rsidP="00386FA4">
            <w:pPr>
              <w:pStyle w:val="TableBodyText"/>
            </w:pPr>
            <w:r>
              <w:t>-267.7</w:t>
            </w:r>
          </w:p>
        </w:tc>
      </w:tr>
      <w:tr w:rsidR="00BF370E" w:rsidTr="00386FA4">
        <w:tc>
          <w:tcPr>
            <w:tcW w:w="2340" w:type="pct"/>
            <w:vAlign w:val="center"/>
          </w:tcPr>
          <w:p w:rsidR="00BF370E" w:rsidRDefault="00BF370E" w:rsidP="00386FA4">
            <w:pPr>
              <w:pStyle w:val="TableBodyText"/>
              <w:jc w:val="left"/>
            </w:pPr>
            <w:r>
              <w:t>Retail trade</w:t>
            </w:r>
          </w:p>
        </w:tc>
        <w:tc>
          <w:tcPr>
            <w:tcW w:w="887" w:type="pct"/>
            <w:vAlign w:val="bottom"/>
          </w:tcPr>
          <w:p w:rsidR="00BF370E" w:rsidRDefault="00E36811" w:rsidP="00386FA4">
            <w:pPr>
              <w:pStyle w:val="TableBodyText"/>
            </w:pPr>
            <w:r>
              <w:t>–</w:t>
            </w:r>
          </w:p>
        </w:tc>
        <w:tc>
          <w:tcPr>
            <w:tcW w:w="886" w:type="pct"/>
            <w:vAlign w:val="bottom"/>
          </w:tcPr>
          <w:p w:rsidR="00BF370E" w:rsidRDefault="00BF370E" w:rsidP="00386FA4">
            <w:pPr>
              <w:pStyle w:val="TableBodyText"/>
            </w:pPr>
            <w:r>
              <w:t>-179.3</w:t>
            </w:r>
          </w:p>
        </w:tc>
        <w:tc>
          <w:tcPr>
            <w:tcW w:w="887" w:type="pct"/>
            <w:vAlign w:val="bottom"/>
          </w:tcPr>
          <w:p w:rsidR="00BF370E" w:rsidRPr="00A96993" w:rsidRDefault="00BF370E" w:rsidP="00386FA4">
            <w:pPr>
              <w:pStyle w:val="TableBodyText"/>
            </w:pPr>
            <w:r>
              <w:t>-179.3</w:t>
            </w:r>
          </w:p>
        </w:tc>
      </w:tr>
      <w:tr w:rsidR="00BF370E" w:rsidTr="00386FA4">
        <w:tc>
          <w:tcPr>
            <w:tcW w:w="2340" w:type="pct"/>
            <w:vAlign w:val="center"/>
          </w:tcPr>
          <w:p w:rsidR="00BF370E" w:rsidRDefault="00BF370E" w:rsidP="00386FA4">
            <w:pPr>
              <w:pStyle w:val="TableBodyText"/>
              <w:jc w:val="left"/>
            </w:pPr>
            <w:r>
              <w:t>Accommodation and food services</w:t>
            </w:r>
          </w:p>
        </w:tc>
        <w:tc>
          <w:tcPr>
            <w:tcW w:w="887" w:type="pct"/>
            <w:vAlign w:val="bottom"/>
          </w:tcPr>
          <w:p w:rsidR="00BF370E" w:rsidRDefault="00E36811" w:rsidP="00386FA4">
            <w:pPr>
              <w:pStyle w:val="TableBodyText"/>
            </w:pPr>
            <w:r>
              <w:t>–</w:t>
            </w:r>
          </w:p>
        </w:tc>
        <w:tc>
          <w:tcPr>
            <w:tcW w:w="886" w:type="pct"/>
            <w:vAlign w:val="bottom"/>
          </w:tcPr>
          <w:p w:rsidR="00BF370E" w:rsidRDefault="00BF370E" w:rsidP="00386FA4">
            <w:pPr>
              <w:pStyle w:val="TableBodyText"/>
            </w:pPr>
            <w:r>
              <w:t>-520.9</w:t>
            </w:r>
          </w:p>
        </w:tc>
        <w:tc>
          <w:tcPr>
            <w:tcW w:w="887" w:type="pct"/>
            <w:vAlign w:val="bottom"/>
          </w:tcPr>
          <w:p w:rsidR="00BF370E" w:rsidRPr="00A96993" w:rsidRDefault="00BF370E" w:rsidP="00386FA4">
            <w:pPr>
              <w:pStyle w:val="TableBodyText"/>
            </w:pPr>
            <w:r>
              <w:t>-520.9</w:t>
            </w:r>
          </w:p>
        </w:tc>
      </w:tr>
      <w:tr w:rsidR="00BF370E" w:rsidTr="00386FA4">
        <w:tc>
          <w:tcPr>
            <w:tcW w:w="2340" w:type="pct"/>
            <w:vAlign w:val="center"/>
          </w:tcPr>
          <w:p w:rsidR="00BF370E" w:rsidRDefault="00BF370E" w:rsidP="00386FA4">
            <w:pPr>
              <w:pStyle w:val="TableBodyText"/>
              <w:jc w:val="left"/>
            </w:pPr>
            <w:r>
              <w:t>Transport, postal and warehousing</w:t>
            </w:r>
          </w:p>
        </w:tc>
        <w:tc>
          <w:tcPr>
            <w:tcW w:w="887" w:type="pct"/>
            <w:vAlign w:val="bottom"/>
          </w:tcPr>
          <w:p w:rsidR="00BF370E" w:rsidRDefault="00E36811" w:rsidP="00386FA4">
            <w:pPr>
              <w:pStyle w:val="TableBodyText"/>
            </w:pPr>
            <w:r>
              <w:t>–</w:t>
            </w:r>
          </w:p>
        </w:tc>
        <w:tc>
          <w:tcPr>
            <w:tcW w:w="886" w:type="pct"/>
            <w:vAlign w:val="bottom"/>
          </w:tcPr>
          <w:p w:rsidR="00BF370E" w:rsidRDefault="00BF370E" w:rsidP="00386FA4">
            <w:pPr>
              <w:pStyle w:val="TableBodyText"/>
            </w:pPr>
            <w:r>
              <w:t>-190.9</w:t>
            </w:r>
          </w:p>
        </w:tc>
        <w:tc>
          <w:tcPr>
            <w:tcW w:w="887" w:type="pct"/>
            <w:vAlign w:val="bottom"/>
          </w:tcPr>
          <w:p w:rsidR="00BF370E" w:rsidRPr="00A96993" w:rsidRDefault="00BF370E" w:rsidP="00386FA4">
            <w:pPr>
              <w:pStyle w:val="TableBodyText"/>
            </w:pPr>
            <w:r>
              <w:t>-190.9</w:t>
            </w:r>
          </w:p>
        </w:tc>
      </w:tr>
      <w:tr w:rsidR="00BF370E" w:rsidTr="00386FA4">
        <w:tc>
          <w:tcPr>
            <w:tcW w:w="2340" w:type="pct"/>
            <w:vAlign w:val="center"/>
          </w:tcPr>
          <w:p w:rsidR="00BF370E" w:rsidRDefault="00BF370E" w:rsidP="00386FA4">
            <w:pPr>
              <w:pStyle w:val="TableBodyText"/>
              <w:jc w:val="left"/>
            </w:pPr>
            <w:r>
              <w:t>Information, media and telecommunications</w:t>
            </w:r>
          </w:p>
        </w:tc>
        <w:tc>
          <w:tcPr>
            <w:tcW w:w="887" w:type="pct"/>
            <w:vAlign w:val="bottom"/>
          </w:tcPr>
          <w:p w:rsidR="00BF370E" w:rsidRDefault="00E36811" w:rsidP="00386FA4">
            <w:pPr>
              <w:pStyle w:val="TableBodyText"/>
            </w:pPr>
            <w:r>
              <w:t>–</w:t>
            </w:r>
          </w:p>
        </w:tc>
        <w:tc>
          <w:tcPr>
            <w:tcW w:w="886" w:type="pct"/>
            <w:vAlign w:val="bottom"/>
          </w:tcPr>
          <w:p w:rsidR="00BF370E" w:rsidRDefault="00BF370E" w:rsidP="00386FA4">
            <w:pPr>
              <w:pStyle w:val="TableBodyText"/>
            </w:pPr>
            <w:r>
              <w:t>-144.3</w:t>
            </w:r>
          </w:p>
        </w:tc>
        <w:tc>
          <w:tcPr>
            <w:tcW w:w="887" w:type="pct"/>
            <w:vAlign w:val="bottom"/>
          </w:tcPr>
          <w:p w:rsidR="00BF370E" w:rsidRPr="00A96993" w:rsidRDefault="00BF370E" w:rsidP="00386FA4">
            <w:pPr>
              <w:pStyle w:val="TableBodyText"/>
            </w:pPr>
            <w:r>
              <w:t>-144.3</w:t>
            </w:r>
          </w:p>
        </w:tc>
      </w:tr>
      <w:tr w:rsidR="00BF370E" w:rsidTr="00386FA4">
        <w:tc>
          <w:tcPr>
            <w:tcW w:w="2340" w:type="pct"/>
            <w:vAlign w:val="center"/>
          </w:tcPr>
          <w:p w:rsidR="00BF370E" w:rsidRDefault="00BF370E" w:rsidP="00386FA4">
            <w:pPr>
              <w:pStyle w:val="TableBodyText"/>
              <w:jc w:val="left"/>
            </w:pPr>
            <w:r>
              <w:t>Financial and insurance services</w:t>
            </w:r>
          </w:p>
        </w:tc>
        <w:tc>
          <w:tcPr>
            <w:tcW w:w="887" w:type="pct"/>
            <w:vAlign w:val="bottom"/>
          </w:tcPr>
          <w:p w:rsidR="00BF370E" w:rsidRDefault="00E36811" w:rsidP="00386FA4">
            <w:pPr>
              <w:pStyle w:val="TableBodyText"/>
            </w:pPr>
            <w:r>
              <w:t>–</w:t>
            </w:r>
          </w:p>
        </w:tc>
        <w:tc>
          <w:tcPr>
            <w:tcW w:w="886" w:type="pct"/>
            <w:vAlign w:val="bottom"/>
          </w:tcPr>
          <w:p w:rsidR="00BF370E" w:rsidRDefault="00BF370E" w:rsidP="00386FA4">
            <w:pPr>
              <w:pStyle w:val="TableBodyText"/>
            </w:pPr>
            <w:r>
              <w:t>-10.0</w:t>
            </w:r>
          </w:p>
        </w:tc>
        <w:tc>
          <w:tcPr>
            <w:tcW w:w="887" w:type="pct"/>
            <w:vAlign w:val="bottom"/>
          </w:tcPr>
          <w:p w:rsidR="00BF370E" w:rsidRPr="00A96993" w:rsidRDefault="00BF370E" w:rsidP="00386FA4">
            <w:pPr>
              <w:pStyle w:val="TableBodyText"/>
            </w:pPr>
            <w:r>
              <w:t>-10.0</w:t>
            </w:r>
          </w:p>
        </w:tc>
      </w:tr>
      <w:tr w:rsidR="00BF370E" w:rsidTr="00386FA4">
        <w:tc>
          <w:tcPr>
            <w:tcW w:w="2340" w:type="pct"/>
            <w:vAlign w:val="center"/>
          </w:tcPr>
          <w:p w:rsidR="00BF370E" w:rsidRDefault="00BF370E" w:rsidP="00386FA4">
            <w:pPr>
              <w:pStyle w:val="TableBodyText"/>
              <w:jc w:val="left"/>
            </w:pPr>
            <w:r>
              <w:t>Property, professional and admin. services</w:t>
            </w:r>
          </w:p>
        </w:tc>
        <w:tc>
          <w:tcPr>
            <w:tcW w:w="887" w:type="pct"/>
            <w:vAlign w:val="bottom"/>
          </w:tcPr>
          <w:p w:rsidR="00BF370E" w:rsidRDefault="00E36811" w:rsidP="00386FA4">
            <w:pPr>
              <w:pStyle w:val="TableBodyText"/>
            </w:pPr>
            <w:r>
              <w:t>–</w:t>
            </w:r>
          </w:p>
        </w:tc>
        <w:tc>
          <w:tcPr>
            <w:tcW w:w="886" w:type="pct"/>
            <w:vAlign w:val="bottom"/>
          </w:tcPr>
          <w:p w:rsidR="00BF370E" w:rsidRDefault="00BF370E" w:rsidP="00386FA4">
            <w:pPr>
              <w:pStyle w:val="TableBodyText"/>
            </w:pPr>
            <w:r>
              <w:t>-596.4</w:t>
            </w:r>
          </w:p>
        </w:tc>
        <w:tc>
          <w:tcPr>
            <w:tcW w:w="887" w:type="pct"/>
            <w:vAlign w:val="bottom"/>
          </w:tcPr>
          <w:p w:rsidR="00BF370E" w:rsidRPr="00A96993" w:rsidRDefault="00BF370E" w:rsidP="00386FA4">
            <w:pPr>
              <w:pStyle w:val="TableBodyText"/>
            </w:pPr>
            <w:r>
              <w:t>-596.4</w:t>
            </w:r>
          </w:p>
        </w:tc>
      </w:tr>
      <w:tr w:rsidR="00BF370E" w:rsidTr="00386FA4">
        <w:tc>
          <w:tcPr>
            <w:tcW w:w="2340" w:type="pct"/>
            <w:vAlign w:val="center"/>
          </w:tcPr>
          <w:p w:rsidR="00BF370E" w:rsidRDefault="00BF370E" w:rsidP="00386FA4">
            <w:pPr>
              <w:pStyle w:val="TableBodyText"/>
              <w:jc w:val="left"/>
            </w:pPr>
            <w:r>
              <w:t>Public administration and safety</w:t>
            </w:r>
          </w:p>
        </w:tc>
        <w:tc>
          <w:tcPr>
            <w:tcW w:w="887" w:type="pct"/>
            <w:vAlign w:val="bottom"/>
          </w:tcPr>
          <w:p w:rsidR="00BF370E" w:rsidRDefault="00E36811" w:rsidP="00386FA4">
            <w:pPr>
              <w:pStyle w:val="TableBodyText"/>
            </w:pPr>
            <w:r>
              <w:t>–</w:t>
            </w:r>
          </w:p>
        </w:tc>
        <w:tc>
          <w:tcPr>
            <w:tcW w:w="886" w:type="pct"/>
            <w:vAlign w:val="bottom"/>
          </w:tcPr>
          <w:p w:rsidR="00BF370E" w:rsidRDefault="00BF370E" w:rsidP="00386FA4">
            <w:pPr>
              <w:pStyle w:val="TableBodyText"/>
            </w:pPr>
            <w:r>
              <w:t>-203.4</w:t>
            </w:r>
          </w:p>
        </w:tc>
        <w:tc>
          <w:tcPr>
            <w:tcW w:w="887" w:type="pct"/>
            <w:vAlign w:val="bottom"/>
          </w:tcPr>
          <w:p w:rsidR="00BF370E" w:rsidRPr="00A96993" w:rsidRDefault="00BF370E" w:rsidP="00386FA4">
            <w:pPr>
              <w:pStyle w:val="TableBodyText"/>
            </w:pPr>
            <w:r>
              <w:t>-203.4</w:t>
            </w:r>
          </w:p>
        </w:tc>
      </w:tr>
      <w:tr w:rsidR="00BF370E" w:rsidTr="00386FA4">
        <w:tc>
          <w:tcPr>
            <w:tcW w:w="2340" w:type="pct"/>
            <w:vAlign w:val="center"/>
          </w:tcPr>
          <w:p w:rsidR="00BF370E" w:rsidRDefault="00BF370E" w:rsidP="00386FA4">
            <w:pPr>
              <w:pStyle w:val="TableBodyText"/>
              <w:jc w:val="left"/>
            </w:pPr>
            <w:r>
              <w:t>Education and training</w:t>
            </w:r>
          </w:p>
        </w:tc>
        <w:tc>
          <w:tcPr>
            <w:tcW w:w="887" w:type="pct"/>
            <w:vAlign w:val="bottom"/>
          </w:tcPr>
          <w:p w:rsidR="00BF370E" w:rsidRDefault="00E36811" w:rsidP="00386FA4">
            <w:pPr>
              <w:pStyle w:val="TableBodyText"/>
            </w:pPr>
            <w:r>
              <w:t>–</w:t>
            </w:r>
          </w:p>
        </w:tc>
        <w:tc>
          <w:tcPr>
            <w:tcW w:w="886" w:type="pct"/>
            <w:vAlign w:val="bottom"/>
          </w:tcPr>
          <w:p w:rsidR="00BF370E" w:rsidRDefault="00BF370E" w:rsidP="00386FA4">
            <w:pPr>
              <w:pStyle w:val="TableBodyText"/>
            </w:pPr>
            <w:r>
              <w:t>-110.5</w:t>
            </w:r>
          </w:p>
        </w:tc>
        <w:tc>
          <w:tcPr>
            <w:tcW w:w="887" w:type="pct"/>
            <w:vAlign w:val="bottom"/>
          </w:tcPr>
          <w:p w:rsidR="00BF370E" w:rsidRPr="00A96993" w:rsidRDefault="00BF370E" w:rsidP="00386FA4">
            <w:pPr>
              <w:pStyle w:val="TableBodyText"/>
            </w:pPr>
            <w:r>
              <w:t>-110.5</w:t>
            </w:r>
          </w:p>
        </w:tc>
      </w:tr>
      <w:tr w:rsidR="00BF370E" w:rsidTr="00386FA4">
        <w:tc>
          <w:tcPr>
            <w:tcW w:w="2340" w:type="pct"/>
            <w:vAlign w:val="center"/>
          </w:tcPr>
          <w:p w:rsidR="00BF370E" w:rsidRDefault="00BF370E" w:rsidP="00386FA4">
            <w:pPr>
              <w:pStyle w:val="TableBodyText"/>
              <w:jc w:val="left"/>
            </w:pPr>
            <w:r>
              <w:t>Health care and social assistance</w:t>
            </w:r>
          </w:p>
        </w:tc>
        <w:tc>
          <w:tcPr>
            <w:tcW w:w="887" w:type="pct"/>
            <w:vAlign w:val="bottom"/>
          </w:tcPr>
          <w:p w:rsidR="00BF370E" w:rsidRDefault="00E36811" w:rsidP="00386FA4">
            <w:pPr>
              <w:pStyle w:val="TableBodyText"/>
            </w:pPr>
            <w:r>
              <w:t>–</w:t>
            </w:r>
          </w:p>
        </w:tc>
        <w:tc>
          <w:tcPr>
            <w:tcW w:w="886" w:type="pct"/>
            <w:vAlign w:val="bottom"/>
          </w:tcPr>
          <w:p w:rsidR="00BF370E" w:rsidRDefault="00BF370E" w:rsidP="00386FA4">
            <w:pPr>
              <w:pStyle w:val="TableBodyText"/>
            </w:pPr>
            <w:r>
              <w:t>-256.2</w:t>
            </w:r>
          </w:p>
        </w:tc>
        <w:tc>
          <w:tcPr>
            <w:tcW w:w="887" w:type="pct"/>
            <w:vAlign w:val="bottom"/>
          </w:tcPr>
          <w:p w:rsidR="00BF370E" w:rsidRPr="00A96993" w:rsidRDefault="00BF370E" w:rsidP="00386FA4">
            <w:pPr>
              <w:pStyle w:val="TableBodyText"/>
            </w:pPr>
            <w:r>
              <w:t>-256.2</w:t>
            </w:r>
          </w:p>
        </w:tc>
      </w:tr>
      <w:tr w:rsidR="00BF370E" w:rsidTr="00386FA4">
        <w:tc>
          <w:tcPr>
            <w:tcW w:w="2340" w:type="pct"/>
            <w:vAlign w:val="center"/>
          </w:tcPr>
          <w:p w:rsidR="00BF370E" w:rsidRDefault="00BF370E" w:rsidP="00386FA4">
            <w:pPr>
              <w:pStyle w:val="TableBodyText"/>
              <w:jc w:val="left"/>
            </w:pPr>
            <w:r>
              <w:t>Arts and recreation services</w:t>
            </w:r>
          </w:p>
        </w:tc>
        <w:tc>
          <w:tcPr>
            <w:tcW w:w="887" w:type="pct"/>
            <w:vAlign w:val="bottom"/>
          </w:tcPr>
          <w:p w:rsidR="00BF370E" w:rsidRDefault="00E36811" w:rsidP="00386FA4">
            <w:pPr>
              <w:pStyle w:val="TableBodyText"/>
            </w:pPr>
            <w:r>
              <w:t>–</w:t>
            </w:r>
          </w:p>
        </w:tc>
        <w:tc>
          <w:tcPr>
            <w:tcW w:w="886" w:type="pct"/>
            <w:vAlign w:val="bottom"/>
          </w:tcPr>
          <w:p w:rsidR="00BF370E" w:rsidRDefault="00BF370E" w:rsidP="00386FA4">
            <w:pPr>
              <w:pStyle w:val="TableBodyText"/>
            </w:pPr>
            <w:r>
              <w:t>-77.2</w:t>
            </w:r>
          </w:p>
        </w:tc>
        <w:tc>
          <w:tcPr>
            <w:tcW w:w="887" w:type="pct"/>
            <w:vAlign w:val="bottom"/>
          </w:tcPr>
          <w:p w:rsidR="00BF370E" w:rsidRPr="00A96993" w:rsidRDefault="00BF370E" w:rsidP="00386FA4">
            <w:pPr>
              <w:pStyle w:val="TableBodyText"/>
            </w:pPr>
            <w:r>
              <w:t>-77.2</w:t>
            </w:r>
          </w:p>
        </w:tc>
      </w:tr>
      <w:tr w:rsidR="00BF370E" w:rsidTr="00386FA4">
        <w:tc>
          <w:tcPr>
            <w:tcW w:w="2340" w:type="pct"/>
            <w:vAlign w:val="center"/>
          </w:tcPr>
          <w:p w:rsidR="00BF370E" w:rsidRDefault="00BF370E" w:rsidP="00386FA4">
            <w:pPr>
              <w:pStyle w:val="TableBodyText"/>
              <w:jc w:val="left"/>
            </w:pPr>
            <w:r>
              <w:t>Other services</w:t>
            </w:r>
          </w:p>
        </w:tc>
        <w:tc>
          <w:tcPr>
            <w:tcW w:w="887" w:type="pct"/>
            <w:vAlign w:val="bottom"/>
          </w:tcPr>
          <w:p w:rsidR="00BF370E" w:rsidRDefault="00E36811" w:rsidP="00386FA4">
            <w:pPr>
              <w:pStyle w:val="TableBodyText"/>
            </w:pPr>
            <w:r>
              <w:t>–</w:t>
            </w:r>
          </w:p>
        </w:tc>
        <w:tc>
          <w:tcPr>
            <w:tcW w:w="886" w:type="pct"/>
            <w:vAlign w:val="bottom"/>
          </w:tcPr>
          <w:p w:rsidR="00BF370E" w:rsidRDefault="00BF370E" w:rsidP="00386FA4">
            <w:pPr>
              <w:pStyle w:val="TableBodyText"/>
            </w:pPr>
            <w:r>
              <w:t>-271.3</w:t>
            </w:r>
          </w:p>
        </w:tc>
        <w:tc>
          <w:tcPr>
            <w:tcW w:w="887" w:type="pct"/>
            <w:vAlign w:val="bottom"/>
          </w:tcPr>
          <w:p w:rsidR="00BF370E" w:rsidRPr="00A96993" w:rsidRDefault="00BF370E" w:rsidP="00386FA4">
            <w:pPr>
              <w:pStyle w:val="TableBodyText"/>
            </w:pPr>
            <w:r>
              <w:t>-271.3</w:t>
            </w:r>
          </w:p>
        </w:tc>
      </w:tr>
      <w:tr w:rsidR="00BF370E" w:rsidRPr="009C128D" w:rsidTr="00386FA4">
        <w:trPr>
          <w:trHeight w:val="283"/>
        </w:trPr>
        <w:tc>
          <w:tcPr>
            <w:tcW w:w="2340" w:type="pct"/>
            <w:tcBorders>
              <w:bottom w:val="single" w:sz="6" w:space="0" w:color="auto"/>
            </w:tcBorders>
            <w:shd w:val="clear" w:color="auto" w:fill="auto"/>
            <w:vAlign w:val="center"/>
          </w:tcPr>
          <w:p w:rsidR="00BF370E" w:rsidRPr="009C128D" w:rsidRDefault="00BF370E" w:rsidP="00386FA4">
            <w:pPr>
              <w:pStyle w:val="TableBodyText"/>
              <w:jc w:val="left"/>
              <w:rPr>
                <w:b/>
              </w:rPr>
            </w:pPr>
            <w:r w:rsidRPr="009C128D">
              <w:rPr>
                <w:b/>
              </w:rPr>
              <w:t>Total</w:t>
            </w:r>
          </w:p>
        </w:tc>
        <w:tc>
          <w:tcPr>
            <w:tcW w:w="887" w:type="pct"/>
            <w:tcBorders>
              <w:bottom w:val="single" w:sz="6" w:space="0" w:color="auto"/>
            </w:tcBorders>
            <w:shd w:val="clear" w:color="auto" w:fill="auto"/>
            <w:vAlign w:val="bottom"/>
          </w:tcPr>
          <w:p w:rsidR="00BF370E" w:rsidRPr="00D3719C" w:rsidRDefault="00BF370E" w:rsidP="00386FA4">
            <w:pPr>
              <w:pStyle w:val="TableBodyText"/>
              <w:rPr>
                <w:b/>
              </w:rPr>
            </w:pPr>
            <w:r w:rsidRPr="00D3719C">
              <w:rPr>
                <w:b/>
              </w:rPr>
              <w:t>7895.0</w:t>
            </w:r>
          </w:p>
        </w:tc>
        <w:tc>
          <w:tcPr>
            <w:tcW w:w="886" w:type="pct"/>
            <w:tcBorders>
              <w:bottom w:val="single" w:sz="6" w:space="0" w:color="auto"/>
            </w:tcBorders>
            <w:vAlign w:val="bottom"/>
          </w:tcPr>
          <w:p w:rsidR="00BF370E" w:rsidRPr="00D3719C" w:rsidRDefault="00BF370E" w:rsidP="00386FA4">
            <w:pPr>
              <w:pStyle w:val="TableBodyText"/>
              <w:rPr>
                <w:b/>
              </w:rPr>
            </w:pPr>
            <w:r w:rsidRPr="00D3719C">
              <w:rPr>
                <w:b/>
              </w:rPr>
              <w:t>-6813.8</w:t>
            </w:r>
          </w:p>
        </w:tc>
        <w:tc>
          <w:tcPr>
            <w:tcW w:w="887" w:type="pct"/>
            <w:tcBorders>
              <w:bottom w:val="single" w:sz="6" w:space="0" w:color="auto"/>
            </w:tcBorders>
            <w:shd w:val="clear" w:color="auto" w:fill="auto"/>
            <w:vAlign w:val="bottom"/>
          </w:tcPr>
          <w:p w:rsidR="00BF370E" w:rsidRPr="00D3719C" w:rsidRDefault="00BF370E" w:rsidP="00386FA4">
            <w:pPr>
              <w:pStyle w:val="TableBodyText"/>
              <w:rPr>
                <w:b/>
              </w:rPr>
            </w:pPr>
            <w:r w:rsidRPr="00D3719C">
              <w:rPr>
                <w:b/>
              </w:rPr>
              <w:t>1081.2</w:t>
            </w:r>
          </w:p>
        </w:tc>
      </w:tr>
    </w:tbl>
    <w:p w:rsidR="00BF370E" w:rsidRDefault="00BF370E" w:rsidP="00BF370E">
      <w:pPr>
        <w:pStyle w:val="Note"/>
      </w:pPr>
      <w:r w:rsidRPr="00AC2CC6">
        <w:t>– nil</w:t>
      </w:r>
      <w:r>
        <w:t xml:space="preserve">. </w:t>
      </w:r>
      <w:r w:rsidRPr="00AC2CC6">
        <w:t xml:space="preserve"> </w:t>
      </w:r>
      <w:r w:rsidRPr="008E77FE">
        <w:rPr>
          <w:rStyle w:val="NoteLabel"/>
        </w:rPr>
        <w:t>a</w:t>
      </w:r>
      <w:r>
        <w:t xml:space="preserve"> </w:t>
      </w:r>
      <w:r w:rsidRPr="007D606A">
        <w:t>See footnote (a) in table 2.1.</w:t>
      </w:r>
      <w:r>
        <w:t xml:space="preserve">  </w:t>
      </w:r>
      <w:r w:rsidRPr="007D606A">
        <w:rPr>
          <w:rStyle w:val="NoteLabel"/>
        </w:rPr>
        <w:t>b</w:t>
      </w:r>
      <w:r>
        <w:t xml:space="preserve"> </w:t>
      </w:r>
      <w:r w:rsidRPr="007D606A">
        <w:t>Totals may not add due to rounding.</w:t>
      </w:r>
      <w:r>
        <w:t xml:space="preserve">  </w:t>
      </w:r>
    </w:p>
    <w:p w:rsidR="00BF370E" w:rsidRPr="008E77FE" w:rsidRDefault="00BF370E" w:rsidP="00BF370E">
      <w:pPr>
        <w:pStyle w:val="Source"/>
      </w:pPr>
      <w:r>
        <w:rPr>
          <w:i/>
        </w:rPr>
        <w:t>Source</w:t>
      </w:r>
      <w:r>
        <w:t xml:space="preserve">: Commission estimates. </w:t>
      </w:r>
    </w:p>
    <w:p w:rsidR="00AD25B0" w:rsidRDefault="00AD25B0" w:rsidP="00AD25B0">
      <w:pPr>
        <w:pStyle w:val="BodyText"/>
      </w:pPr>
    </w:p>
    <w:p w:rsidR="00AD25B0" w:rsidRDefault="00AD25B0" w:rsidP="00AD25B0">
      <w:pPr>
        <w:pStyle w:val="BodyText"/>
      </w:pPr>
      <w:r>
        <w:lastRenderedPageBreak/>
        <w:t xml:space="preserve">Outside the manufacturing sector, the </w:t>
      </w:r>
      <w:r w:rsidRPr="00AB67AA">
        <w:rPr>
          <w:i/>
        </w:rPr>
        <w:t>Horticulture and fruit growing</w:t>
      </w:r>
      <w:r>
        <w:rPr>
          <w:i/>
        </w:rPr>
        <w:t>,</w:t>
      </w:r>
      <w:r>
        <w:t xml:space="preserve"> and </w:t>
      </w:r>
      <w:r w:rsidRPr="00AB67AA">
        <w:rPr>
          <w:i/>
        </w:rPr>
        <w:t>Forestry</w:t>
      </w:r>
      <w:r>
        <w:rPr>
          <w:i/>
        </w:rPr>
        <w:t xml:space="preserve"> and</w:t>
      </w:r>
      <w:r w:rsidRPr="00AB67AA">
        <w:rPr>
          <w:i/>
        </w:rPr>
        <w:t xml:space="preserve"> logging</w:t>
      </w:r>
      <w:r>
        <w:t xml:space="preserve"> industries are also estimated to have received positive net tariff assistance in 2011</w:t>
      </w:r>
      <w:r>
        <w:noBreakHyphen/>
        <w:t xml:space="preserve">12. Some imported products in these two particular industry groupings attract tariffs (for example, grapes and softwood conifers). The </w:t>
      </w:r>
      <w:r w:rsidRPr="00772E48">
        <w:rPr>
          <w:i/>
        </w:rPr>
        <w:t>Mining</w:t>
      </w:r>
      <w:r>
        <w:t xml:space="preserve"> and </w:t>
      </w:r>
      <w:r w:rsidRPr="00772E48">
        <w:rPr>
          <w:i/>
        </w:rPr>
        <w:t>Construction</w:t>
      </w:r>
      <w:r>
        <w:t xml:space="preserve"> industries, together with all other service industries (and most primary production industries), incurred negative net tariff assistance.</w:t>
      </w:r>
    </w:p>
    <w:p w:rsidR="00A66EAD" w:rsidRDefault="00A66EAD" w:rsidP="00EF4E74">
      <w:pPr>
        <w:pStyle w:val="Heading3"/>
      </w:pPr>
      <w:r>
        <w:t xml:space="preserve">Net tariff assistance by </w:t>
      </w:r>
      <w:r w:rsidR="00DD3C46">
        <w:t xml:space="preserve">industry </w:t>
      </w:r>
      <w:r>
        <w:t>sector</w:t>
      </w:r>
    </w:p>
    <w:p w:rsidR="00BF370E" w:rsidRDefault="00DD3C46" w:rsidP="00BF370E">
      <w:pPr>
        <w:pStyle w:val="BodyText"/>
      </w:pPr>
      <w:r>
        <w:t>In the new — 2008</w:t>
      </w:r>
      <w:r w:rsidR="00822D0E">
        <w:noBreakHyphen/>
      </w:r>
      <w:r>
        <w:t xml:space="preserve">09 </w:t>
      </w:r>
      <w:r w:rsidR="00115B98">
        <w:t xml:space="preserve">benchmarked </w:t>
      </w:r>
      <w:r>
        <w:t>—</w:t>
      </w:r>
      <w:r w:rsidR="00115B98">
        <w:t xml:space="preserve"> </w:t>
      </w:r>
      <w:r>
        <w:t xml:space="preserve">series, </w:t>
      </w:r>
      <w:r w:rsidR="00BF370E">
        <w:t xml:space="preserve">the </w:t>
      </w:r>
      <w:r>
        <w:t xml:space="preserve">estimated </w:t>
      </w:r>
      <w:r w:rsidR="00BF370E">
        <w:t xml:space="preserve">value of net tariff assistance for the manufacturing sector has decreased by around 8 per cent </w:t>
      </w:r>
      <w:r>
        <w:t>since 2006</w:t>
      </w:r>
      <w:r>
        <w:noBreakHyphen/>
        <w:t>07</w:t>
      </w:r>
      <w:r w:rsidR="00BF370E">
        <w:t xml:space="preserve">, largely reflecting reductions in tariff assistance to the </w:t>
      </w:r>
      <w:r w:rsidR="00BF370E" w:rsidRPr="00455001">
        <w:rPr>
          <w:i/>
        </w:rPr>
        <w:t xml:space="preserve">Textiles, clothing, footwear </w:t>
      </w:r>
      <w:r w:rsidR="00543E03">
        <w:rPr>
          <w:i/>
        </w:rPr>
        <w:t>and</w:t>
      </w:r>
      <w:r w:rsidR="00BF370E" w:rsidRPr="00455001">
        <w:rPr>
          <w:i/>
        </w:rPr>
        <w:t xml:space="preserve"> leather</w:t>
      </w:r>
      <w:r w:rsidR="00BF370E">
        <w:t xml:space="preserve">, and </w:t>
      </w:r>
      <w:r w:rsidR="00BF370E" w:rsidRPr="00455001">
        <w:rPr>
          <w:i/>
        </w:rPr>
        <w:t xml:space="preserve">Motor vehicles </w:t>
      </w:r>
      <w:r w:rsidR="00543E03">
        <w:rPr>
          <w:i/>
        </w:rPr>
        <w:t>and</w:t>
      </w:r>
      <w:r w:rsidR="00BF370E" w:rsidRPr="00455001">
        <w:rPr>
          <w:i/>
        </w:rPr>
        <w:t xml:space="preserve"> parts</w:t>
      </w:r>
      <w:r w:rsidR="00BF370E">
        <w:t xml:space="preserve"> industries</w:t>
      </w:r>
      <w:r w:rsidR="00A66EAD">
        <w:t xml:space="preserve"> </w:t>
      </w:r>
      <w:r w:rsidR="00F640B0">
        <w:t xml:space="preserve">in January 2010 </w:t>
      </w:r>
      <w:r w:rsidR="00A66EAD">
        <w:t>(table </w:t>
      </w:r>
      <w:r w:rsidR="00822D0E">
        <w:fldChar w:fldCharType="begin"/>
      </w:r>
      <w:r w:rsidR="00822D0E">
        <w:instrText xml:space="preserve"> LINK </w:instrText>
      </w:r>
      <w:r w:rsidR="00655E7D">
        <w:instrText xml:space="preserve">Word.Document.12 "\\\\nch1\\esb\\T A R\\2011-12\\AAreport\\12 - Ch2 - Assistance estimates.docx" OLE_LINK3 </w:instrText>
      </w:r>
      <w:r w:rsidR="00822D0E">
        <w:instrText xml:space="preserve">\a \t </w:instrText>
      </w:r>
      <w:r w:rsidR="00822D0E">
        <w:fldChar w:fldCharType="separate"/>
      </w:r>
      <w:r w:rsidR="00655E7D">
        <w:t>2.3</w:t>
      </w:r>
      <w:r w:rsidR="00822D0E">
        <w:fldChar w:fldCharType="end"/>
      </w:r>
      <w:r w:rsidR="00A66EAD">
        <w:t>)</w:t>
      </w:r>
      <w:r w:rsidR="00BF370E">
        <w:t xml:space="preserve">. </w:t>
      </w:r>
      <w:r w:rsidR="00E54097">
        <w:t xml:space="preserve">The year-to-year changes are also affected by activity levels in tariff-assisted activities. </w:t>
      </w:r>
      <w:r w:rsidR="00BF370E">
        <w:t xml:space="preserve">At the same time, the net tariff penalty on the service sector has increased by 24 per cent (to </w:t>
      </w:r>
      <w:r w:rsidR="00D8049E">
        <w:t>over</w:t>
      </w:r>
      <w:r w:rsidR="00BF370E">
        <w:t xml:space="preserve"> $4.</w:t>
      </w:r>
      <w:r w:rsidR="00E36811">
        <w:t>4</w:t>
      </w:r>
      <w:r w:rsidR="00BF370E">
        <w:t xml:space="preserve"> billion), reflecting growth of that sector. </w:t>
      </w:r>
      <w:r>
        <w:t xml:space="preserve">Similarly, the net tariff penalty on the mining sector has increased substantially over the period. </w:t>
      </w:r>
      <w:r w:rsidR="00BF370E">
        <w:t xml:space="preserve">The value of tariff assistance to primary production has varied from </w:t>
      </w:r>
      <w:r>
        <w:t>year-to-</w:t>
      </w:r>
      <w:r w:rsidR="00BF370E">
        <w:t xml:space="preserve">year with changes in the value of activity in the sector, including changes as a consequence of drought. </w:t>
      </w:r>
    </w:p>
    <w:p w:rsidR="00BF370E" w:rsidRDefault="00BF370E" w:rsidP="00BF370E">
      <w:pPr>
        <w:pStyle w:val="TableTitle"/>
      </w:pPr>
      <w:r>
        <w:rPr>
          <w:b w:val="0"/>
        </w:rPr>
        <w:t xml:space="preserve">Table </w:t>
      </w:r>
      <w:bookmarkStart w:id="10" w:name="OLE_LINK3"/>
      <w:r>
        <w:rPr>
          <w:b w:val="0"/>
        </w:rPr>
        <w:fldChar w:fldCharType="begin"/>
      </w:r>
      <w:r>
        <w:rPr>
          <w:b w:val="0"/>
        </w:rPr>
        <w:instrText xml:space="preserve"> COMMENTS  \* MERGEFORMAT </w:instrText>
      </w:r>
      <w:r>
        <w:rPr>
          <w:b w:val="0"/>
        </w:rPr>
        <w:fldChar w:fldCharType="separate"/>
      </w:r>
      <w:r w:rsidR="00655E7D">
        <w:rPr>
          <w:b w:val="0"/>
        </w:rPr>
        <w:t>2.</w:t>
      </w:r>
      <w:r>
        <w:rPr>
          <w:b w:val="0"/>
        </w:rPr>
        <w:fldChar w:fldCharType="end"/>
      </w:r>
      <w:r>
        <w:rPr>
          <w:b w:val="0"/>
        </w:rPr>
        <w:fldChar w:fldCharType="begin"/>
      </w:r>
      <w:r>
        <w:rPr>
          <w:b w:val="0"/>
        </w:rPr>
        <w:instrText xml:space="preserve"> SEQ Table \* ARABIC </w:instrText>
      </w:r>
      <w:r>
        <w:rPr>
          <w:b w:val="0"/>
        </w:rPr>
        <w:fldChar w:fldCharType="separate"/>
      </w:r>
      <w:r w:rsidR="00E12ECE">
        <w:rPr>
          <w:b w:val="0"/>
          <w:noProof/>
        </w:rPr>
        <w:t>3</w:t>
      </w:r>
      <w:r>
        <w:rPr>
          <w:b w:val="0"/>
        </w:rPr>
        <w:fldChar w:fldCharType="end"/>
      </w:r>
      <w:bookmarkEnd w:id="10"/>
      <w:r>
        <w:tab/>
        <w:t>Net tariff assistance by industry sector, 2006</w:t>
      </w:r>
      <w:r>
        <w:noBreakHyphen/>
        <w:t>07 to 2011</w:t>
      </w:r>
      <w:r>
        <w:noBreakHyphen/>
        <w:t>12</w:t>
      </w:r>
      <w:r w:rsidRPr="003F1D10">
        <w:rPr>
          <w:rStyle w:val="NoteLabel"/>
        </w:rPr>
        <w:t>a</w:t>
      </w:r>
    </w:p>
    <w:p w:rsidR="00BF370E" w:rsidRDefault="00BF370E" w:rsidP="00BF370E">
      <w:pPr>
        <w:pStyle w:val="Subtitle"/>
      </w:pPr>
      <w:r>
        <w:t>$million (nominal)</w:t>
      </w:r>
    </w:p>
    <w:tbl>
      <w:tblPr>
        <w:tblW w:w="5007" w:type="pct"/>
        <w:tblCellMar>
          <w:left w:w="0" w:type="dxa"/>
          <w:right w:w="0" w:type="dxa"/>
        </w:tblCellMar>
        <w:tblLook w:val="0000" w:firstRow="0" w:lastRow="0" w:firstColumn="0" w:lastColumn="0" w:noHBand="0" w:noVBand="0"/>
      </w:tblPr>
      <w:tblGrid>
        <w:gridCol w:w="2333"/>
        <w:gridCol w:w="1084"/>
        <w:gridCol w:w="1079"/>
        <w:gridCol w:w="1077"/>
        <w:gridCol w:w="1077"/>
        <w:gridCol w:w="1077"/>
        <w:gridCol w:w="1074"/>
      </w:tblGrid>
      <w:tr w:rsidR="00BF370E" w:rsidTr="00386FA4">
        <w:tc>
          <w:tcPr>
            <w:tcW w:w="1325" w:type="pct"/>
            <w:tcBorders>
              <w:top w:val="single" w:sz="6" w:space="0" w:color="auto"/>
              <w:bottom w:val="single" w:sz="6" w:space="0" w:color="auto"/>
            </w:tcBorders>
            <w:shd w:val="clear" w:color="auto" w:fill="auto"/>
          </w:tcPr>
          <w:p w:rsidR="00BF370E" w:rsidRDefault="00BF370E" w:rsidP="00386FA4">
            <w:pPr>
              <w:pStyle w:val="TableColumnHeading"/>
              <w:jc w:val="left"/>
            </w:pPr>
          </w:p>
        </w:tc>
        <w:tc>
          <w:tcPr>
            <w:tcW w:w="616" w:type="pct"/>
            <w:tcBorders>
              <w:top w:val="single" w:sz="6" w:space="0" w:color="auto"/>
              <w:bottom w:val="single" w:sz="6" w:space="0" w:color="auto"/>
            </w:tcBorders>
            <w:shd w:val="clear" w:color="auto" w:fill="auto"/>
            <w:vAlign w:val="center"/>
          </w:tcPr>
          <w:p w:rsidR="00BF370E" w:rsidRDefault="00BF370E" w:rsidP="00386FA4">
            <w:pPr>
              <w:pStyle w:val="TableColumnHeading"/>
              <w:ind w:right="28"/>
            </w:pPr>
            <w:r>
              <w:t>2006</w:t>
            </w:r>
            <w:r>
              <w:noBreakHyphen/>
              <w:t>07</w:t>
            </w:r>
          </w:p>
        </w:tc>
        <w:tc>
          <w:tcPr>
            <w:tcW w:w="613" w:type="pct"/>
            <w:tcBorders>
              <w:top w:val="single" w:sz="6" w:space="0" w:color="auto"/>
              <w:bottom w:val="single" w:sz="6" w:space="0" w:color="auto"/>
            </w:tcBorders>
            <w:vAlign w:val="center"/>
          </w:tcPr>
          <w:p w:rsidR="00BF370E" w:rsidRDefault="00BF370E" w:rsidP="00386FA4">
            <w:pPr>
              <w:pStyle w:val="TableColumnHeading"/>
              <w:ind w:right="28"/>
            </w:pPr>
            <w:r>
              <w:t>2007</w:t>
            </w:r>
            <w:r>
              <w:noBreakHyphen/>
              <w:t>08</w:t>
            </w:r>
          </w:p>
        </w:tc>
        <w:tc>
          <w:tcPr>
            <w:tcW w:w="612" w:type="pct"/>
            <w:tcBorders>
              <w:top w:val="single" w:sz="6" w:space="0" w:color="auto"/>
              <w:bottom w:val="single" w:sz="6" w:space="0" w:color="auto"/>
            </w:tcBorders>
            <w:vAlign w:val="center"/>
          </w:tcPr>
          <w:p w:rsidR="00BF370E" w:rsidRDefault="00BF370E" w:rsidP="00386FA4">
            <w:pPr>
              <w:pStyle w:val="TableColumnHeading"/>
              <w:ind w:right="28"/>
            </w:pPr>
            <w:r>
              <w:t>2008</w:t>
            </w:r>
            <w:r>
              <w:noBreakHyphen/>
              <w:t>09</w:t>
            </w:r>
          </w:p>
        </w:tc>
        <w:tc>
          <w:tcPr>
            <w:tcW w:w="612" w:type="pct"/>
            <w:tcBorders>
              <w:top w:val="single" w:sz="6" w:space="0" w:color="auto"/>
              <w:bottom w:val="single" w:sz="6" w:space="0" w:color="auto"/>
            </w:tcBorders>
            <w:vAlign w:val="center"/>
          </w:tcPr>
          <w:p w:rsidR="00BF370E" w:rsidRDefault="00BF370E" w:rsidP="00386FA4">
            <w:pPr>
              <w:pStyle w:val="TableColumnHeading"/>
              <w:ind w:right="28"/>
            </w:pPr>
            <w:r>
              <w:t>2009</w:t>
            </w:r>
            <w:r>
              <w:noBreakHyphen/>
              <w:t>10</w:t>
            </w:r>
          </w:p>
        </w:tc>
        <w:tc>
          <w:tcPr>
            <w:tcW w:w="612" w:type="pct"/>
            <w:tcBorders>
              <w:top w:val="single" w:sz="6" w:space="0" w:color="auto"/>
              <w:bottom w:val="single" w:sz="6" w:space="0" w:color="auto"/>
            </w:tcBorders>
            <w:vAlign w:val="center"/>
          </w:tcPr>
          <w:p w:rsidR="00BF370E" w:rsidRDefault="00BF370E" w:rsidP="00386FA4">
            <w:pPr>
              <w:pStyle w:val="TableColumnHeading"/>
              <w:ind w:right="28"/>
            </w:pPr>
            <w:r>
              <w:t>2010</w:t>
            </w:r>
            <w:r>
              <w:noBreakHyphen/>
              <w:t>11</w:t>
            </w:r>
          </w:p>
        </w:tc>
        <w:tc>
          <w:tcPr>
            <w:tcW w:w="610" w:type="pct"/>
            <w:tcBorders>
              <w:top w:val="single" w:sz="6" w:space="0" w:color="auto"/>
              <w:bottom w:val="single" w:sz="6" w:space="0" w:color="auto"/>
            </w:tcBorders>
            <w:shd w:val="clear" w:color="auto" w:fill="auto"/>
            <w:vAlign w:val="center"/>
          </w:tcPr>
          <w:p w:rsidR="00BF370E" w:rsidRDefault="00BF370E" w:rsidP="00386FA4">
            <w:pPr>
              <w:pStyle w:val="TableColumnHeading"/>
              <w:ind w:right="28"/>
            </w:pPr>
            <w:r>
              <w:t>2011</w:t>
            </w:r>
            <w:r>
              <w:noBreakHyphen/>
              <w:t>12</w:t>
            </w:r>
          </w:p>
        </w:tc>
      </w:tr>
      <w:tr w:rsidR="00BF370E" w:rsidTr="00386FA4">
        <w:trPr>
          <w:trHeight w:val="283"/>
        </w:trPr>
        <w:tc>
          <w:tcPr>
            <w:tcW w:w="1325" w:type="pct"/>
            <w:vAlign w:val="center"/>
          </w:tcPr>
          <w:p w:rsidR="00BF370E" w:rsidRDefault="00BF370E" w:rsidP="00386FA4">
            <w:pPr>
              <w:pStyle w:val="TableBodyText"/>
              <w:jc w:val="left"/>
            </w:pPr>
            <w:r>
              <w:t>Primary production</w:t>
            </w:r>
          </w:p>
        </w:tc>
        <w:tc>
          <w:tcPr>
            <w:tcW w:w="616" w:type="pct"/>
            <w:vAlign w:val="center"/>
          </w:tcPr>
          <w:p w:rsidR="00BF370E" w:rsidRPr="00D3719C" w:rsidRDefault="00BF370E" w:rsidP="00386FA4">
            <w:pPr>
              <w:pStyle w:val="TableBodyText"/>
            </w:pPr>
            <w:r w:rsidRPr="00D3719C">
              <w:t>79.4</w:t>
            </w:r>
          </w:p>
        </w:tc>
        <w:tc>
          <w:tcPr>
            <w:tcW w:w="613" w:type="pct"/>
            <w:vAlign w:val="center"/>
          </w:tcPr>
          <w:p w:rsidR="00BF370E" w:rsidRPr="00D3719C" w:rsidRDefault="00BF370E" w:rsidP="00386FA4">
            <w:pPr>
              <w:pStyle w:val="TableBodyText"/>
            </w:pPr>
            <w:r w:rsidRPr="00D3719C">
              <w:t>78.1</w:t>
            </w:r>
          </w:p>
        </w:tc>
        <w:tc>
          <w:tcPr>
            <w:tcW w:w="612" w:type="pct"/>
            <w:vAlign w:val="center"/>
          </w:tcPr>
          <w:p w:rsidR="00BF370E" w:rsidRPr="00D3719C" w:rsidRDefault="00BF370E" w:rsidP="00386FA4">
            <w:pPr>
              <w:pStyle w:val="TableBodyText"/>
            </w:pPr>
            <w:r w:rsidRPr="00D3719C">
              <w:t>125.0</w:t>
            </w:r>
          </w:p>
        </w:tc>
        <w:tc>
          <w:tcPr>
            <w:tcW w:w="612" w:type="pct"/>
            <w:vAlign w:val="center"/>
          </w:tcPr>
          <w:p w:rsidR="00BF370E" w:rsidRPr="00D3719C" w:rsidRDefault="00BF370E" w:rsidP="00386FA4">
            <w:pPr>
              <w:pStyle w:val="TableBodyText"/>
            </w:pPr>
            <w:r w:rsidRPr="00D3719C">
              <w:t>133.1</w:t>
            </w:r>
          </w:p>
        </w:tc>
        <w:tc>
          <w:tcPr>
            <w:tcW w:w="612" w:type="pct"/>
            <w:vAlign w:val="center"/>
          </w:tcPr>
          <w:p w:rsidR="00BF370E" w:rsidRPr="00D3719C" w:rsidRDefault="00BF370E" w:rsidP="00386FA4">
            <w:pPr>
              <w:pStyle w:val="TableBodyText"/>
            </w:pPr>
            <w:r w:rsidRPr="00D3719C">
              <w:t>132.3</w:t>
            </w:r>
          </w:p>
        </w:tc>
        <w:tc>
          <w:tcPr>
            <w:tcW w:w="610" w:type="pct"/>
            <w:vAlign w:val="center"/>
          </w:tcPr>
          <w:p w:rsidR="00BF370E" w:rsidRPr="00D3719C" w:rsidRDefault="00BF370E" w:rsidP="00386FA4">
            <w:pPr>
              <w:pStyle w:val="TableBodyText"/>
            </w:pPr>
            <w:r w:rsidRPr="00D3719C">
              <w:t>136.1</w:t>
            </w:r>
          </w:p>
        </w:tc>
      </w:tr>
      <w:tr w:rsidR="00BF370E" w:rsidTr="00386FA4">
        <w:trPr>
          <w:trHeight w:val="283"/>
        </w:trPr>
        <w:tc>
          <w:tcPr>
            <w:tcW w:w="1325" w:type="pct"/>
            <w:vAlign w:val="center"/>
          </w:tcPr>
          <w:p w:rsidR="00BF370E" w:rsidRDefault="00BF370E" w:rsidP="00386FA4">
            <w:pPr>
              <w:pStyle w:val="TableBodyText"/>
              <w:jc w:val="left"/>
            </w:pPr>
            <w:r>
              <w:t>Mining</w:t>
            </w:r>
          </w:p>
        </w:tc>
        <w:tc>
          <w:tcPr>
            <w:tcW w:w="616" w:type="pct"/>
            <w:vAlign w:val="center"/>
          </w:tcPr>
          <w:p w:rsidR="00BF370E" w:rsidRPr="00D3719C" w:rsidRDefault="00BF370E" w:rsidP="00386FA4">
            <w:pPr>
              <w:pStyle w:val="TableBodyText"/>
            </w:pPr>
            <w:r w:rsidRPr="00D3719C">
              <w:t>-121.0</w:t>
            </w:r>
          </w:p>
        </w:tc>
        <w:tc>
          <w:tcPr>
            <w:tcW w:w="613" w:type="pct"/>
            <w:vAlign w:val="center"/>
          </w:tcPr>
          <w:p w:rsidR="00BF370E" w:rsidRPr="00D3719C" w:rsidRDefault="00BF370E" w:rsidP="00386FA4">
            <w:pPr>
              <w:pStyle w:val="TableBodyText"/>
            </w:pPr>
            <w:r w:rsidRPr="00D3719C">
              <w:t>-131.3</w:t>
            </w:r>
          </w:p>
        </w:tc>
        <w:tc>
          <w:tcPr>
            <w:tcW w:w="612" w:type="pct"/>
            <w:vAlign w:val="center"/>
          </w:tcPr>
          <w:p w:rsidR="00BF370E" w:rsidRPr="00D3719C" w:rsidRDefault="00BF370E" w:rsidP="00386FA4">
            <w:pPr>
              <w:pStyle w:val="TableBodyText"/>
            </w:pPr>
            <w:r w:rsidRPr="00D3719C">
              <w:t>-179.5</w:t>
            </w:r>
          </w:p>
        </w:tc>
        <w:tc>
          <w:tcPr>
            <w:tcW w:w="612" w:type="pct"/>
            <w:vAlign w:val="center"/>
          </w:tcPr>
          <w:p w:rsidR="00BF370E" w:rsidRPr="00D3719C" w:rsidRDefault="00BF370E" w:rsidP="00386FA4">
            <w:pPr>
              <w:pStyle w:val="TableBodyText"/>
            </w:pPr>
            <w:r w:rsidRPr="00D3719C">
              <w:t>-143.9</w:t>
            </w:r>
          </w:p>
        </w:tc>
        <w:tc>
          <w:tcPr>
            <w:tcW w:w="612" w:type="pct"/>
            <w:vAlign w:val="center"/>
          </w:tcPr>
          <w:p w:rsidR="00BF370E" w:rsidRPr="00D3719C" w:rsidRDefault="00BF370E" w:rsidP="00386FA4">
            <w:pPr>
              <w:pStyle w:val="TableBodyText"/>
            </w:pPr>
            <w:r w:rsidRPr="00D3719C">
              <w:t>-191.3</w:t>
            </w:r>
          </w:p>
        </w:tc>
        <w:tc>
          <w:tcPr>
            <w:tcW w:w="610" w:type="pct"/>
            <w:vAlign w:val="center"/>
          </w:tcPr>
          <w:p w:rsidR="00BF370E" w:rsidRPr="00D3719C" w:rsidRDefault="00BF370E" w:rsidP="00386FA4">
            <w:pPr>
              <w:pStyle w:val="TableBodyText"/>
            </w:pPr>
            <w:r w:rsidRPr="00D3719C">
              <w:t>-207.5</w:t>
            </w:r>
          </w:p>
        </w:tc>
      </w:tr>
      <w:tr w:rsidR="00BF370E" w:rsidTr="00386FA4">
        <w:trPr>
          <w:trHeight w:val="283"/>
        </w:trPr>
        <w:tc>
          <w:tcPr>
            <w:tcW w:w="1325" w:type="pct"/>
            <w:vAlign w:val="center"/>
          </w:tcPr>
          <w:p w:rsidR="00BF370E" w:rsidRDefault="00BF370E" w:rsidP="00386FA4">
            <w:pPr>
              <w:pStyle w:val="TableBodyText"/>
              <w:jc w:val="left"/>
            </w:pPr>
            <w:r>
              <w:t>Manufacturing</w:t>
            </w:r>
          </w:p>
        </w:tc>
        <w:tc>
          <w:tcPr>
            <w:tcW w:w="616" w:type="pct"/>
            <w:vAlign w:val="center"/>
          </w:tcPr>
          <w:p w:rsidR="00BF370E" w:rsidRPr="00D3719C" w:rsidRDefault="00BF370E" w:rsidP="00386FA4">
            <w:pPr>
              <w:pStyle w:val="TableBodyText"/>
            </w:pPr>
            <w:r w:rsidRPr="00D3719C">
              <w:t>6112.5</w:t>
            </w:r>
          </w:p>
        </w:tc>
        <w:tc>
          <w:tcPr>
            <w:tcW w:w="613" w:type="pct"/>
            <w:vAlign w:val="center"/>
          </w:tcPr>
          <w:p w:rsidR="00BF370E" w:rsidRPr="00D3719C" w:rsidRDefault="00BF370E" w:rsidP="00386FA4">
            <w:pPr>
              <w:pStyle w:val="TableBodyText"/>
            </w:pPr>
            <w:r w:rsidRPr="00D3719C">
              <w:t>6521.4</w:t>
            </w:r>
          </w:p>
        </w:tc>
        <w:tc>
          <w:tcPr>
            <w:tcW w:w="612" w:type="pct"/>
            <w:vAlign w:val="center"/>
          </w:tcPr>
          <w:p w:rsidR="00BF370E" w:rsidRPr="00D3719C" w:rsidRDefault="00BF370E" w:rsidP="00386FA4">
            <w:pPr>
              <w:pStyle w:val="TableBodyText"/>
            </w:pPr>
            <w:r w:rsidRPr="00D3719C">
              <w:t>6408.8</w:t>
            </w:r>
          </w:p>
        </w:tc>
        <w:tc>
          <w:tcPr>
            <w:tcW w:w="612" w:type="pct"/>
            <w:vAlign w:val="center"/>
          </w:tcPr>
          <w:p w:rsidR="00BF370E" w:rsidRPr="00D3719C" w:rsidRDefault="00BF370E" w:rsidP="00386FA4">
            <w:pPr>
              <w:pStyle w:val="TableBodyText"/>
            </w:pPr>
            <w:r w:rsidRPr="00D3719C">
              <w:t>5997.6</w:t>
            </w:r>
          </w:p>
        </w:tc>
        <w:tc>
          <w:tcPr>
            <w:tcW w:w="612" w:type="pct"/>
            <w:vAlign w:val="center"/>
          </w:tcPr>
          <w:p w:rsidR="00BF370E" w:rsidRPr="00D3719C" w:rsidRDefault="00BF370E" w:rsidP="00386FA4">
            <w:pPr>
              <w:pStyle w:val="TableBodyText"/>
            </w:pPr>
            <w:r w:rsidRPr="00D3719C">
              <w:t>5742.0</w:t>
            </w:r>
          </w:p>
        </w:tc>
        <w:tc>
          <w:tcPr>
            <w:tcW w:w="610" w:type="pct"/>
            <w:vAlign w:val="center"/>
          </w:tcPr>
          <w:p w:rsidR="00BF370E" w:rsidRPr="00D3719C" w:rsidRDefault="00BF370E" w:rsidP="00386FA4">
            <w:pPr>
              <w:pStyle w:val="TableBodyText"/>
            </w:pPr>
            <w:r w:rsidRPr="00D3719C">
              <w:t>5600.7</w:t>
            </w:r>
          </w:p>
        </w:tc>
      </w:tr>
      <w:tr w:rsidR="00BF370E" w:rsidTr="00386FA4">
        <w:trPr>
          <w:trHeight w:val="283"/>
        </w:trPr>
        <w:tc>
          <w:tcPr>
            <w:tcW w:w="1325" w:type="pct"/>
            <w:vAlign w:val="center"/>
          </w:tcPr>
          <w:p w:rsidR="00BF370E" w:rsidRDefault="00BF370E" w:rsidP="00386FA4">
            <w:pPr>
              <w:pStyle w:val="TableBodyText"/>
              <w:jc w:val="left"/>
            </w:pPr>
            <w:r>
              <w:t>Services</w:t>
            </w:r>
          </w:p>
        </w:tc>
        <w:tc>
          <w:tcPr>
            <w:tcW w:w="616" w:type="pct"/>
            <w:vAlign w:val="center"/>
          </w:tcPr>
          <w:p w:rsidR="00BF370E" w:rsidRPr="00D3719C" w:rsidRDefault="00BF370E" w:rsidP="00386FA4">
            <w:pPr>
              <w:pStyle w:val="TableBodyText"/>
            </w:pPr>
            <w:r w:rsidRPr="00D3719C">
              <w:t>-3582.5</w:t>
            </w:r>
          </w:p>
        </w:tc>
        <w:tc>
          <w:tcPr>
            <w:tcW w:w="613" w:type="pct"/>
            <w:vAlign w:val="center"/>
          </w:tcPr>
          <w:p w:rsidR="00BF370E" w:rsidRPr="00D3719C" w:rsidRDefault="00BF370E" w:rsidP="00386FA4">
            <w:pPr>
              <w:pStyle w:val="TableBodyText"/>
            </w:pPr>
            <w:r w:rsidRPr="00D3719C">
              <w:t>-3878.9</w:t>
            </w:r>
          </w:p>
        </w:tc>
        <w:tc>
          <w:tcPr>
            <w:tcW w:w="612" w:type="pct"/>
            <w:vAlign w:val="center"/>
          </w:tcPr>
          <w:p w:rsidR="00BF370E" w:rsidRPr="00D3719C" w:rsidRDefault="00BF370E" w:rsidP="00386FA4">
            <w:pPr>
              <w:pStyle w:val="TableBodyText"/>
            </w:pPr>
            <w:r w:rsidRPr="00D3719C">
              <w:t>-4135.1</w:t>
            </w:r>
          </w:p>
        </w:tc>
        <w:tc>
          <w:tcPr>
            <w:tcW w:w="612" w:type="pct"/>
            <w:vAlign w:val="center"/>
          </w:tcPr>
          <w:p w:rsidR="00BF370E" w:rsidRPr="00D3719C" w:rsidRDefault="00BF370E" w:rsidP="00386FA4">
            <w:pPr>
              <w:pStyle w:val="TableBodyText"/>
            </w:pPr>
            <w:r w:rsidRPr="00D3719C">
              <w:t>-4188.6</w:t>
            </w:r>
          </w:p>
        </w:tc>
        <w:tc>
          <w:tcPr>
            <w:tcW w:w="612" w:type="pct"/>
            <w:vAlign w:val="center"/>
          </w:tcPr>
          <w:p w:rsidR="00BF370E" w:rsidRPr="00D3719C" w:rsidRDefault="00BF370E" w:rsidP="00386FA4">
            <w:pPr>
              <w:pStyle w:val="TableBodyText"/>
            </w:pPr>
            <w:r w:rsidRPr="00D3719C">
              <w:t>-4259.6</w:t>
            </w:r>
          </w:p>
        </w:tc>
        <w:tc>
          <w:tcPr>
            <w:tcW w:w="610" w:type="pct"/>
            <w:vAlign w:val="center"/>
          </w:tcPr>
          <w:p w:rsidR="00BF370E" w:rsidRPr="00D3719C" w:rsidRDefault="00BF370E" w:rsidP="00386FA4">
            <w:pPr>
              <w:pStyle w:val="TableBodyText"/>
            </w:pPr>
            <w:r w:rsidRPr="00D3719C">
              <w:t>-4448.1</w:t>
            </w:r>
          </w:p>
        </w:tc>
      </w:tr>
      <w:tr w:rsidR="00BF370E" w:rsidRPr="003C026A" w:rsidTr="00386FA4">
        <w:trPr>
          <w:trHeight w:val="283"/>
        </w:trPr>
        <w:tc>
          <w:tcPr>
            <w:tcW w:w="1325" w:type="pct"/>
            <w:tcBorders>
              <w:bottom w:val="single" w:sz="6" w:space="0" w:color="auto"/>
            </w:tcBorders>
            <w:shd w:val="clear" w:color="auto" w:fill="auto"/>
            <w:vAlign w:val="center"/>
          </w:tcPr>
          <w:p w:rsidR="00BF370E" w:rsidRPr="003C026A" w:rsidRDefault="00BF370E" w:rsidP="00386FA4">
            <w:pPr>
              <w:pStyle w:val="TableBodyText"/>
              <w:jc w:val="left"/>
              <w:rPr>
                <w:b/>
              </w:rPr>
            </w:pPr>
            <w:r w:rsidRPr="003C026A">
              <w:rPr>
                <w:b/>
              </w:rPr>
              <w:t>Total</w:t>
            </w:r>
          </w:p>
        </w:tc>
        <w:tc>
          <w:tcPr>
            <w:tcW w:w="616" w:type="pct"/>
            <w:tcBorders>
              <w:bottom w:val="single" w:sz="6" w:space="0" w:color="auto"/>
            </w:tcBorders>
            <w:shd w:val="clear" w:color="auto" w:fill="auto"/>
            <w:vAlign w:val="center"/>
          </w:tcPr>
          <w:p w:rsidR="00BF370E" w:rsidRPr="00D3719C" w:rsidRDefault="00BF370E" w:rsidP="00386FA4">
            <w:pPr>
              <w:pStyle w:val="TableBodyText"/>
              <w:rPr>
                <w:b/>
              </w:rPr>
            </w:pPr>
            <w:r w:rsidRPr="00D3719C">
              <w:rPr>
                <w:b/>
              </w:rPr>
              <w:t>2488.4</w:t>
            </w:r>
          </w:p>
        </w:tc>
        <w:tc>
          <w:tcPr>
            <w:tcW w:w="613" w:type="pct"/>
            <w:tcBorders>
              <w:bottom w:val="single" w:sz="6" w:space="0" w:color="auto"/>
            </w:tcBorders>
            <w:vAlign w:val="center"/>
          </w:tcPr>
          <w:p w:rsidR="00BF370E" w:rsidRPr="00D3719C" w:rsidRDefault="00BF370E" w:rsidP="00386FA4">
            <w:pPr>
              <w:pStyle w:val="TableBodyText"/>
              <w:rPr>
                <w:b/>
              </w:rPr>
            </w:pPr>
            <w:r w:rsidRPr="00D3719C">
              <w:rPr>
                <w:b/>
              </w:rPr>
              <w:t>2589.4</w:t>
            </w:r>
          </w:p>
        </w:tc>
        <w:tc>
          <w:tcPr>
            <w:tcW w:w="612" w:type="pct"/>
            <w:tcBorders>
              <w:bottom w:val="single" w:sz="6" w:space="0" w:color="auto"/>
            </w:tcBorders>
            <w:vAlign w:val="center"/>
          </w:tcPr>
          <w:p w:rsidR="00BF370E" w:rsidRPr="00D3719C" w:rsidRDefault="00BF370E" w:rsidP="00386FA4">
            <w:pPr>
              <w:pStyle w:val="TableBodyText"/>
              <w:rPr>
                <w:b/>
              </w:rPr>
            </w:pPr>
            <w:r w:rsidRPr="00D3719C">
              <w:rPr>
                <w:b/>
              </w:rPr>
              <w:t>2219.3</w:t>
            </w:r>
          </w:p>
        </w:tc>
        <w:tc>
          <w:tcPr>
            <w:tcW w:w="612" w:type="pct"/>
            <w:tcBorders>
              <w:bottom w:val="single" w:sz="6" w:space="0" w:color="auto"/>
            </w:tcBorders>
            <w:vAlign w:val="center"/>
          </w:tcPr>
          <w:p w:rsidR="00BF370E" w:rsidRPr="00D3719C" w:rsidRDefault="00BF370E" w:rsidP="00386FA4">
            <w:pPr>
              <w:pStyle w:val="TableBodyText"/>
              <w:rPr>
                <w:b/>
              </w:rPr>
            </w:pPr>
            <w:r w:rsidRPr="00D3719C">
              <w:rPr>
                <w:b/>
              </w:rPr>
              <w:t>1798.2</w:t>
            </w:r>
          </w:p>
        </w:tc>
        <w:tc>
          <w:tcPr>
            <w:tcW w:w="612" w:type="pct"/>
            <w:tcBorders>
              <w:bottom w:val="single" w:sz="6" w:space="0" w:color="auto"/>
            </w:tcBorders>
            <w:vAlign w:val="center"/>
          </w:tcPr>
          <w:p w:rsidR="00BF370E" w:rsidRPr="00D3719C" w:rsidRDefault="00BF370E" w:rsidP="00386FA4">
            <w:pPr>
              <w:pStyle w:val="TableBodyText"/>
              <w:rPr>
                <w:b/>
              </w:rPr>
            </w:pPr>
            <w:r w:rsidRPr="00D3719C">
              <w:rPr>
                <w:b/>
              </w:rPr>
              <w:t>1423.5</w:t>
            </w:r>
          </w:p>
        </w:tc>
        <w:tc>
          <w:tcPr>
            <w:tcW w:w="610" w:type="pct"/>
            <w:tcBorders>
              <w:bottom w:val="single" w:sz="6" w:space="0" w:color="auto"/>
            </w:tcBorders>
            <w:shd w:val="clear" w:color="auto" w:fill="auto"/>
            <w:vAlign w:val="center"/>
          </w:tcPr>
          <w:p w:rsidR="00BF370E" w:rsidRPr="00D3719C" w:rsidRDefault="00BF370E" w:rsidP="00386FA4">
            <w:pPr>
              <w:pStyle w:val="TableBodyText"/>
              <w:rPr>
                <w:b/>
              </w:rPr>
            </w:pPr>
            <w:r w:rsidRPr="00D3719C">
              <w:rPr>
                <w:b/>
              </w:rPr>
              <w:t>1081.2</w:t>
            </w:r>
          </w:p>
        </w:tc>
      </w:tr>
    </w:tbl>
    <w:p w:rsidR="00BF370E" w:rsidRDefault="00BF370E" w:rsidP="00BF370E">
      <w:pPr>
        <w:pStyle w:val="Note"/>
      </w:pPr>
      <w:r w:rsidRPr="008E77FE">
        <w:rPr>
          <w:rStyle w:val="NoteLabel"/>
        </w:rPr>
        <w:t>a</w:t>
      </w:r>
      <w:r>
        <w:t xml:space="preserve"> </w:t>
      </w:r>
      <w:r w:rsidRPr="003F1D10">
        <w:t xml:space="preserve">Nominal tariff assistance estimates are derived by re-indexing a reference series based on </w:t>
      </w:r>
      <w:r w:rsidR="00822D0E">
        <w:t>2008</w:t>
      </w:r>
      <w:r w:rsidR="00822D0E">
        <w:noBreakHyphen/>
        <w:t>09</w:t>
      </w:r>
      <w:r w:rsidRPr="003F1D10">
        <w:t xml:space="preserve"> ABS input-output data, using ABS Industry Gross Value Added at current prices data. This information is subject to periodic revision by the ABS. </w:t>
      </w:r>
    </w:p>
    <w:p w:rsidR="00BF370E" w:rsidRDefault="00BF370E" w:rsidP="00BF370E">
      <w:pPr>
        <w:pStyle w:val="Source"/>
      </w:pPr>
      <w:r>
        <w:rPr>
          <w:i/>
        </w:rPr>
        <w:t>Source</w:t>
      </w:r>
      <w:r>
        <w:t xml:space="preserve">: Commission estimates. </w:t>
      </w:r>
    </w:p>
    <w:p w:rsidR="00BC656C" w:rsidRDefault="00BC656C" w:rsidP="00BC656C">
      <w:pPr>
        <w:pStyle w:val="BodyText"/>
      </w:pPr>
    </w:p>
    <w:p w:rsidR="00BC656C" w:rsidRPr="00BC656C" w:rsidRDefault="00BC656C" w:rsidP="00BC656C">
      <w:pPr>
        <w:pStyle w:val="BodyText"/>
      </w:pPr>
    </w:p>
    <w:bookmarkStart w:id="11" w:name="begin"/>
    <w:bookmarkEnd w:id="11"/>
    <w:p w:rsidR="00513E33" w:rsidRDefault="00EC600E" w:rsidP="00513E33">
      <w:pPr>
        <w:pStyle w:val="Heading2"/>
      </w:pPr>
      <w:r>
        <w:lastRenderedPageBreak/>
        <w:fldChar w:fldCharType="begin"/>
      </w:r>
      <w:r>
        <w:instrText xml:space="preserve"> COMMENTS  \* MERGEFORMAT </w:instrText>
      </w:r>
      <w:r>
        <w:fldChar w:fldCharType="separate"/>
      </w:r>
      <w:r w:rsidR="00655E7D">
        <w:t>2.</w:t>
      </w:r>
      <w:r>
        <w:fldChar w:fldCharType="end"/>
      </w:r>
      <w:fldSimple w:instr=" SEQ Heading2 ">
        <w:r w:rsidR="00E12ECE">
          <w:rPr>
            <w:noProof/>
          </w:rPr>
          <w:t>2</w:t>
        </w:r>
      </w:fldSimple>
      <w:r w:rsidR="00513E33">
        <w:tab/>
        <w:t>Australian Government budgetary assistance</w:t>
      </w:r>
    </w:p>
    <w:p w:rsidR="00B311B4" w:rsidRDefault="00B311B4" w:rsidP="00B311B4">
      <w:pPr>
        <w:pStyle w:val="BodyText"/>
      </w:pPr>
      <w:r>
        <w:t>Budgetary assistance includes actual payments (outlays) and tax concessions (figure</w:t>
      </w:r>
      <w:r w:rsidR="00166449">
        <w:t> </w:t>
      </w:r>
      <w:r w:rsidR="00AD25B0">
        <w:fldChar w:fldCharType="begin"/>
      </w:r>
      <w:r w:rsidR="00AD25B0">
        <w:instrText xml:space="preserve"> LINK </w:instrText>
      </w:r>
      <w:r w:rsidR="00655E7D">
        <w:instrText xml:space="preserve">Word.Document.12 "\\\\nch1\\esb\\T A R\\2011-12\\AAreport\\12 - Ch2 - Assistance estimates.docx" OLE_LINK17 </w:instrText>
      </w:r>
      <w:r w:rsidR="00AD25B0">
        <w:instrText xml:space="preserve">\a \t \u </w:instrText>
      </w:r>
      <w:r w:rsidR="00AD25B0">
        <w:fldChar w:fldCharType="separate"/>
      </w:r>
      <w:r w:rsidR="00655E7D">
        <w:t>2.2</w:t>
      </w:r>
      <w:r w:rsidR="00AD25B0">
        <w:fldChar w:fldCharType="end"/>
      </w:r>
      <w:r>
        <w:t xml:space="preserve">). Some measures provide assistance directly to firms, such as the Automotive </w:t>
      </w:r>
      <w:r w:rsidR="00650815">
        <w:t xml:space="preserve">Transformation </w:t>
      </w:r>
      <w:r>
        <w:t>Scheme</w:t>
      </w:r>
      <w:r w:rsidR="00DD3C46">
        <w:t xml:space="preserve"> and taxation concessions on R&amp;D expenditures</w:t>
      </w:r>
      <w:r>
        <w:t>, while other budgetary support measures deliver benefits indirectly to an industry via intermediate organisations such as the Rural Industries Research and Development Corporations and the Commonwealth Scientific and Industrial Research Organisation (CSIRO).</w:t>
      </w:r>
      <w:r w:rsidR="00C925F0">
        <w:t xml:space="preserve"> </w:t>
      </w:r>
    </w:p>
    <w:p w:rsidR="00513E33" w:rsidRDefault="00B311B4" w:rsidP="00B311B4">
      <w:pPr>
        <w:pStyle w:val="BodyText"/>
      </w:pPr>
      <w:r>
        <w:t>The budgetary assistance estimates are derived primarily from actual expenditures shown in departmental and agency annual reports, and the Australian Treasury Tax Expenditures Statement (TES). Industry and sectoral disaggregations are based primarily on supplementary information provided by relevant departments or agencies.</w:t>
      </w:r>
    </w:p>
    <w:p w:rsidR="00B311B4" w:rsidRDefault="00B311B4">
      <w:pPr>
        <w:pStyle w:val="FigureTitle"/>
      </w:pPr>
      <w:r>
        <w:rPr>
          <w:b w:val="0"/>
        </w:rPr>
        <w:t xml:space="preserve">Figure </w:t>
      </w:r>
      <w:bookmarkStart w:id="12" w:name="OLE_LINK17"/>
      <w:r>
        <w:rPr>
          <w:b w:val="0"/>
        </w:rPr>
        <w:fldChar w:fldCharType="begin"/>
      </w:r>
      <w:r>
        <w:rPr>
          <w:b w:val="0"/>
        </w:rPr>
        <w:instrText xml:space="preserve"> COMMENTS  \* MERGEFORMAT </w:instrText>
      </w:r>
      <w:r>
        <w:rPr>
          <w:b w:val="0"/>
        </w:rPr>
        <w:fldChar w:fldCharType="separate"/>
      </w:r>
      <w:r w:rsidR="00655E7D">
        <w:rPr>
          <w:b w:val="0"/>
        </w:rPr>
        <w:t>2.</w:t>
      </w:r>
      <w:r>
        <w:rPr>
          <w:b w:val="0"/>
        </w:rPr>
        <w:fldChar w:fldCharType="end"/>
      </w:r>
      <w:r>
        <w:rPr>
          <w:b w:val="0"/>
        </w:rPr>
        <w:fldChar w:fldCharType="begin"/>
      </w:r>
      <w:r>
        <w:rPr>
          <w:b w:val="0"/>
        </w:rPr>
        <w:instrText xml:space="preserve"> SEQ Figure \* ARABIC </w:instrText>
      </w:r>
      <w:r>
        <w:rPr>
          <w:b w:val="0"/>
        </w:rPr>
        <w:fldChar w:fldCharType="separate"/>
      </w:r>
      <w:r w:rsidR="00E12ECE">
        <w:rPr>
          <w:b w:val="0"/>
          <w:noProof/>
        </w:rPr>
        <w:t>2</w:t>
      </w:r>
      <w:r>
        <w:rPr>
          <w:b w:val="0"/>
        </w:rPr>
        <w:fldChar w:fldCharType="end"/>
      </w:r>
      <w:bookmarkEnd w:id="12"/>
      <w:r>
        <w:tab/>
        <w:t>Forms of budgetary assistance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B311B4" w:rsidTr="00872943">
        <w:trPr>
          <w:trHeight w:val="4819"/>
        </w:trPr>
        <w:tc>
          <w:tcPr>
            <w:tcW w:w="8777" w:type="dxa"/>
            <w:vAlign w:val="bottom"/>
          </w:tcPr>
          <w:p w:rsidR="00B311B4" w:rsidRDefault="00872943" w:rsidP="00872943">
            <w:pPr>
              <w:pStyle w:val="Figure"/>
              <w:jc w:val="right"/>
            </w:pPr>
            <w:r w:rsidRPr="00AC2CC6">
              <w:rPr>
                <w:noProof/>
              </w:rPr>
              <mc:AlternateContent>
                <mc:Choice Requires="wpc">
                  <w:drawing>
                    <wp:anchor distT="0" distB="0" distL="114300" distR="114300" simplePos="0" relativeHeight="251659264" behindDoc="0" locked="0" layoutInCell="1" allowOverlap="1" wp14:anchorId="476DDBC4" wp14:editId="5C94D920">
                      <wp:simplePos x="0" y="0"/>
                      <wp:positionH relativeFrom="character">
                        <wp:posOffset>-5031740</wp:posOffset>
                      </wp:positionH>
                      <wp:positionV relativeFrom="line">
                        <wp:posOffset>-2599690</wp:posOffset>
                      </wp:positionV>
                      <wp:extent cx="4499610" cy="2879090"/>
                      <wp:effectExtent l="0" t="0" r="0" b="0"/>
                      <wp:wrapNone/>
                      <wp:docPr id="39" name="Canvas 39" descr="Figure 2.1 Forms of budgetary assistance. This picture lists the different typs of budgetray assistance divided into outlays and tac concessions"/>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2" name="Text Box 24"/>
                              <wps:cNvSpPr txBox="1">
                                <a:spLocks noChangeArrowheads="1"/>
                              </wps:cNvSpPr>
                              <wps:spPr bwMode="auto">
                                <a:xfrm>
                                  <a:off x="1196975" y="80010"/>
                                  <a:ext cx="2026285" cy="30353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D02D30" w:rsidRPr="00C2284D" w:rsidRDefault="00D02D30" w:rsidP="00872943">
                                    <w:pPr>
                                      <w:autoSpaceDE w:val="0"/>
                                      <w:autoSpaceDN w:val="0"/>
                                      <w:adjustRightInd w:val="0"/>
                                      <w:spacing w:after="60"/>
                                      <w:jc w:val="center"/>
                                      <w:rPr>
                                        <w:rFonts w:ascii="Arial" w:hAnsi="Arial" w:cs="Arial"/>
                                        <w:b/>
                                        <w:bCs/>
                                        <w:color w:val="000000"/>
                                        <w:sz w:val="24"/>
                                      </w:rPr>
                                    </w:pPr>
                                    <w:r w:rsidRPr="00C2284D">
                                      <w:rPr>
                                        <w:rFonts w:ascii="Arial" w:hAnsi="Arial" w:cs="Arial"/>
                                        <w:b/>
                                        <w:bCs/>
                                        <w:color w:val="000000"/>
                                        <w:sz w:val="24"/>
                                      </w:rPr>
                                      <w:t>Budgetary assistance</w:t>
                                    </w:r>
                                  </w:p>
                                </w:txbxContent>
                              </wps:txbx>
                              <wps:bodyPr rot="0" vert="horz" wrap="square" lIns="91440" tIns="45720" rIns="91440" bIns="45720" upright="1">
                                <a:noAutofit/>
                              </wps:bodyPr>
                            </wps:wsp>
                            <wps:wsp>
                              <wps:cNvPr id="23" name="Text Box 25"/>
                              <wps:cNvSpPr txBox="1">
                                <a:spLocks noChangeArrowheads="1"/>
                              </wps:cNvSpPr>
                              <wps:spPr bwMode="auto">
                                <a:xfrm>
                                  <a:off x="194945" y="900430"/>
                                  <a:ext cx="1798955" cy="5016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D02D30" w:rsidRPr="001F6519" w:rsidRDefault="00D02D30" w:rsidP="00872943">
                                    <w:pPr>
                                      <w:autoSpaceDE w:val="0"/>
                                      <w:autoSpaceDN w:val="0"/>
                                      <w:adjustRightInd w:val="0"/>
                                      <w:rPr>
                                        <w:rFonts w:ascii="Arial" w:hAnsi="Arial" w:cs="Arial"/>
                                        <w:color w:val="000000"/>
                                        <w:sz w:val="22"/>
                                        <w:szCs w:val="22"/>
                                      </w:rPr>
                                    </w:pPr>
                                    <w:r w:rsidRPr="001F6519">
                                      <w:rPr>
                                        <w:rFonts w:ascii="Arial" w:hAnsi="Arial" w:cs="Arial"/>
                                        <w:color w:val="000000"/>
                                        <w:sz w:val="22"/>
                                        <w:szCs w:val="22"/>
                                      </w:rPr>
                                      <w:t>Budgetary outlays</w:t>
                                    </w:r>
                                  </w:p>
                                  <w:p w:rsidR="00D02D30" w:rsidRPr="00C2284D" w:rsidRDefault="00D02D30" w:rsidP="00872943">
                                    <w:pPr>
                                      <w:numPr>
                                        <w:ilvl w:val="0"/>
                                        <w:numId w:val="49"/>
                                      </w:numPr>
                                      <w:autoSpaceDE w:val="0"/>
                                      <w:autoSpaceDN w:val="0"/>
                                      <w:adjustRightInd w:val="0"/>
                                      <w:rPr>
                                        <w:rFonts w:ascii="Arial" w:hAnsi="Arial" w:cs="Arial"/>
                                        <w:color w:val="000000"/>
                                        <w:sz w:val="20"/>
                                        <w:szCs w:val="20"/>
                                      </w:rPr>
                                    </w:pPr>
                                    <w:r w:rsidRPr="00C2284D">
                                      <w:rPr>
                                        <w:rFonts w:ascii="Arial" w:hAnsi="Arial" w:cs="Arial"/>
                                        <w:color w:val="000000"/>
                                        <w:sz w:val="20"/>
                                        <w:szCs w:val="20"/>
                                      </w:rPr>
                                      <w:t xml:space="preserve"> industry or sector specific</w:t>
                                    </w:r>
                                  </w:p>
                                </w:txbxContent>
                              </wps:txbx>
                              <wps:bodyPr rot="0" vert="horz" wrap="square" lIns="91440" tIns="45720" rIns="91440" bIns="45720" upright="1">
                                <a:noAutofit/>
                              </wps:bodyPr>
                            </wps:wsp>
                            <wps:wsp>
                              <wps:cNvPr id="24" name="Text Box 26"/>
                              <wps:cNvSpPr txBox="1">
                                <a:spLocks noChangeArrowheads="1"/>
                              </wps:cNvSpPr>
                              <wps:spPr bwMode="auto">
                                <a:xfrm>
                                  <a:off x="2757170" y="900430"/>
                                  <a:ext cx="1709420"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D02D30" w:rsidRPr="001F6519" w:rsidRDefault="00D02D30" w:rsidP="00872943">
                                    <w:pPr>
                                      <w:autoSpaceDE w:val="0"/>
                                      <w:autoSpaceDN w:val="0"/>
                                      <w:adjustRightInd w:val="0"/>
                                      <w:rPr>
                                        <w:rFonts w:ascii="Arial" w:hAnsi="Arial" w:cs="Arial"/>
                                        <w:color w:val="000000"/>
                                        <w:sz w:val="22"/>
                                        <w:szCs w:val="22"/>
                                      </w:rPr>
                                    </w:pPr>
                                    <w:r w:rsidRPr="001F6519">
                                      <w:rPr>
                                        <w:rFonts w:ascii="Arial" w:hAnsi="Arial" w:cs="Arial"/>
                                        <w:color w:val="000000"/>
                                        <w:sz w:val="22"/>
                                        <w:szCs w:val="22"/>
                                      </w:rPr>
                                      <w:t>Tax concessions</w:t>
                                    </w:r>
                                  </w:p>
                                  <w:p w:rsidR="00D02D30" w:rsidRPr="00C154C7" w:rsidRDefault="00D02D30" w:rsidP="00872943">
                                    <w:pPr>
                                      <w:numPr>
                                        <w:ilvl w:val="0"/>
                                        <w:numId w:val="49"/>
                                      </w:numPr>
                                      <w:autoSpaceDE w:val="0"/>
                                      <w:autoSpaceDN w:val="0"/>
                                      <w:adjustRightInd w:val="0"/>
                                      <w:rPr>
                                        <w:rFonts w:ascii="Arial" w:hAnsi="Arial" w:cs="Arial"/>
                                        <w:color w:val="000000"/>
                                        <w:sz w:val="20"/>
                                        <w:szCs w:val="20"/>
                                      </w:rPr>
                                    </w:pPr>
                                    <w:r w:rsidRPr="00C154C7">
                                      <w:rPr>
                                        <w:rFonts w:ascii="Arial" w:hAnsi="Arial" w:cs="Arial"/>
                                        <w:color w:val="000000"/>
                                        <w:sz w:val="20"/>
                                        <w:szCs w:val="20"/>
                                      </w:rPr>
                                      <w:t xml:space="preserve"> industry or sector specific</w:t>
                                    </w:r>
                                  </w:p>
                                </w:txbxContent>
                              </wps:txbx>
                              <wps:bodyPr rot="0" vert="horz" wrap="square" lIns="91440" tIns="45720" rIns="91440" bIns="45720" upright="1">
                                <a:noAutofit/>
                              </wps:bodyPr>
                            </wps:wsp>
                            <wps:wsp>
                              <wps:cNvPr id="25" name="Line 27"/>
                              <wps:cNvCnPr/>
                              <wps:spPr bwMode="auto">
                                <a:xfrm>
                                  <a:off x="2204720" y="391795"/>
                                  <a:ext cx="635" cy="2343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28"/>
                              <wps:cNvCnPr/>
                              <wps:spPr bwMode="auto">
                                <a:xfrm>
                                  <a:off x="887095" y="625475"/>
                                  <a:ext cx="25908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29"/>
                              <wps:cNvCnPr/>
                              <wps:spPr bwMode="auto">
                                <a:xfrm>
                                  <a:off x="887095" y="628015"/>
                                  <a:ext cx="635" cy="2686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Line 30"/>
                              <wps:cNvCnPr/>
                              <wps:spPr bwMode="auto">
                                <a:xfrm>
                                  <a:off x="3477895" y="628015"/>
                                  <a:ext cx="635" cy="2686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Line 31"/>
                              <wps:cNvCnPr/>
                              <wps:spPr bwMode="auto">
                                <a:xfrm>
                                  <a:off x="3175" y="1022350"/>
                                  <a:ext cx="1784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32"/>
                              <wps:cNvCnPr/>
                              <wps:spPr bwMode="auto">
                                <a:xfrm>
                                  <a:off x="2568575" y="1016000"/>
                                  <a:ext cx="1797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Text Box 33"/>
                              <wps:cNvSpPr txBox="1">
                                <a:spLocks noChangeArrowheads="1"/>
                              </wps:cNvSpPr>
                              <wps:spPr bwMode="auto">
                                <a:xfrm>
                                  <a:off x="230505" y="1452880"/>
                                  <a:ext cx="1864995" cy="106172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2D30" w:rsidRPr="001F6519" w:rsidRDefault="00D02D30" w:rsidP="00872943">
                                    <w:pPr>
                                      <w:autoSpaceDE w:val="0"/>
                                      <w:autoSpaceDN w:val="0"/>
                                      <w:adjustRightInd w:val="0"/>
                                      <w:rPr>
                                        <w:rFonts w:ascii="Arial" w:hAnsi="Arial" w:cs="Arial"/>
                                        <w:color w:val="000000"/>
                                        <w:sz w:val="22"/>
                                        <w:szCs w:val="22"/>
                                      </w:rPr>
                                    </w:pPr>
                                    <w:r w:rsidRPr="001F6519">
                                      <w:rPr>
                                        <w:rFonts w:ascii="Arial" w:hAnsi="Arial" w:cs="Arial"/>
                                        <w:color w:val="000000"/>
                                        <w:sz w:val="22"/>
                                        <w:szCs w:val="22"/>
                                      </w:rPr>
                                      <w:t>Direct financial</w:t>
                                    </w:r>
                                  </w:p>
                                  <w:p w:rsidR="00D02D30" w:rsidRPr="00190AC4" w:rsidRDefault="00D02D30" w:rsidP="00872943">
                                    <w:pPr>
                                      <w:numPr>
                                        <w:ilvl w:val="0"/>
                                        <w:numId w:val="50"/>
                                      </w:numPr>
                                      <w:autoSpaceDE w:val="0"/>
                                      <w:autoSpaceDN w:val="0"/>
                                      <w:adjustRightInd w:val="0"/>
                                      <w:rPr>
                                        <w:rFonts w:ascii="Arial" w:hAnsi="Arial" w:cs="Arial"/>
                                        <w:color w:val="000000"/>
                                        <w:sz w:val="20"/>
                                        <w:szCs w:val="20"/>
                                      </w:rPr>
                                    </w:pPr>
                                    <w:r w:rsidRPr="00190AC4">
                                      <w:rPr>
                                        <w:rFonts w:ascii="Arial" w:hAnsi="Arial" w:cs="Arial"/>
                                        <w:color w:val="000000"/>
                                        <w:sz w:val="20"/>
                                        <w:szCs w:val="20"/>
                                      </w:rPr>
                                      <w:t xml:space="preserve"> bounties, grants, subsidies</w:t>
                                    </w:r>
                                  </w:p>
                                  <w:p w:rsidR="00D02D30" w:rsidRPr="00190AC4" w:rsidRDefault="00D02D30" w:rsidP="00872943">
                                    <w:pPr>
                                      <w:numPr>
                                        <w:ilvl w:val="0"/>
                                        <w:numId w:val="50"/>
                                      </w:numPr>
                                      <w:autoSpaceDE w:val="0"/>
                                      <w:autoSpaceDN w:val="0"/>
                                      <w:adjustRightInd w:val="0"/>
                                      <w:rPr>
                                        <w:rFonts w:ascii="Arial" w:hAnsi="Arial" w:cs="Arial"/>
                                        <w:color w:val="000000"/>
                                        <w:sz w:val="20"/>
                                        <w:szCs w:val="20"/>
                                      </w:rPr>
                                    </w:pPr>
                                    <w:r w:rsidRPr="00AD372E">
                                      <w:rPr>
                                        <w:rFonts w:ascii="Arial" w:hAnsi="Arial" w:cs="Arial"/>
                                        <w:color w:val="000000"/>
                                        <w:sz w:val="16"/>
                                        <w:szCs w:val="16"/>
                                      </w:rPr>
                                      <w:t xml:space="preserve"> </w:t>
                                    </w:r>
                                    <w:r w:rsidRPr="00190AC4">
                                      <w:rPr>
                                        <w:rFonts w:ascii="Arial" w:hAnsi="Arial" w:cs="Arial"/>
                                        <w:color w:val="000000"/>
                                        <w:sz w:val="20"/>
                                        <w:szCs w:val="20"/>
                                      </w:rPr>
                                      <w:t>interest rate subsidies</w:t>
                                    </w:r>
                                  </w:p>
                                  <w:p w:rsidR="00D02D30" w:rsidRPr="00190AC4" w:rsidRDefault="00D02D30" w:rsidP="00872943">
                                    <w:pPr>
                                      <w:numPr>
                                        <w:ilvl w:val="0"/>
                                        <w:numId w:val="50"/>
                                      </w:numPr>
                                      <w:autoSpaceDE w:val="0"/>
                                      <w:autoSpaceDN w:val="0"/>
                                      <w:adjustRightInd w:val="0"/>
                                      <w:rPr>
                                        <w:rFonts w:ascii="Arial" w:hAnsi="Arial" w:cs="Arial"/>
                                        <w:color w:val="000000"/>
                                        <w:sz w:val="20"/>
                                        <w:szCs w:val="20"/>
                                      </w:rPr>
                                    </w:pPr>
                                    <w:r w:rsidRPr="00AD372E">
                                      <w:rPr>
                                        <w:rFonts w:ascii="Arial" w:hAnsi="Arial" w:cs="Arial"/>
                                        <w:color w:val="000000"/>
                                        <w:sz w:val="16"/>
                                        <w:szCs w:val="16"/>
                                      </w:rPr>
                                      <w:t xml:space="preserve"> </w:t>
                                    </w:r>
                                    <w:r w:rsidRPr="00190AC4">
                                      <w:rPr>
                                        <w:rFonts w:ascii="Arial" w:hAnsi="Arial" w:cs="Arial"/>
                                        <w:color w:val="000000"/>
                                        <w:sz w:val="20"/>
                                        <w:szCs w:val="20"/>
                                      </w:rPr>
                                      <w:t>credits, loans</w:t>
                                    </w:r>
                                  </w:p>
                                  <w:p w:rsidR="00D02D30" w:rsidRPr="00190AC4" w:rsidRDefault="00D02D30" w:rsidP="00872943">
                                    <w:pPr>
                                      <w:numPr>
                                        <w:ilvl w:val="0"/>
                                        <w:numId w:val="50"/>
                                      </w:numPr>
                                      <w:autoSpaceDE w:val="0"/>
                                      <w:autoSpaceDN w:val="0"/>
                                      <w:adjustRightInd w:val="0"/>
                                      <w:rPr>
                                        <w:rFonts w:ascii="Arial" w:hAnsi="Arial" w:cs="Arial"/>
                                        <w:color w:val="000000"/>
                                        <w:sz w:val="20"/>
                                        <w:szCs w:val="20"/>
                                      </w:rPr>
                                    </w:pPr>
                                    <w:r w:rsidRPr="00AD372E">
                                      <w:rPr>
                                        <w:rFonts w:ascii="Arial" w:hAnsi="Arial" w:cs="Arial"/>
                                        <w:color w:val="000000"/>
                                        <w:sz w:val="16"/>
                                        <w:szCs w:val="16"/>
                                      </w:rPr>
                                      <w:t xml:space="preserve"> </w:t>
                                    </w:r>
                                    <w:r w:rsidRPr="00190AC4">
                                      <w:rPr>
                                        <w:rFonts w:ascii="Arial" w:hAnsi="Arial" w:cs="Arial"/>
                                        <w:color w:val="000000"/>
                                        <w:sz w:val="20"/>
                                        <w:szCs w:val="20"/>
                                      </w:rPr>
                                      <w:t>loan guarantees, insurance</w:t>
                                    </w:r>
                                  </w:p>
                                  <w:p w:rsidR="00D02D30" w:rsidRPr="00190AC4" w:rsidRDefault="00D02D30" w:rsidP="00872943">
                                    <w:pPr>
                                      <w:numPr>
                                        <w:ilvl w:val="0"/>
                                        <w:numId w:val="50"/>
                                      </w:numPr>
                                      <w:autoSpaceDE w:val="0"/>
                                      <w:autoSpaceDN w:val="0"/>
                                      <w:adjustRightInd w:val="0"/>
                                      <w:rPr>
                                        <w:rFonts w:ascii="Arial" w:hAnsi="Arial" w:cs="Arial"/>
                                        <w:color w:val="000000"/>
                                        <w:sz w:val="20"/>
                                        <w:szCs w:val="20"/>
                                      </w:rPr>
                                    </w:pPr>
                                    <w:r w:rsidRPr="00190AC4">
                                      <w:rPr>
                                        <w:rFonts w:ascii="Arial" w:hAnsi="Arial" w:cs="Arial"/>
                                        <w:color w:val="000000"/>
                                        <w:sz w:val="20"/>
                                        <w:szCs w:val="20"/>
                                      </w:rPr>
                                      <w:t xml:space="preserve"> equity injections</w:t>
                                    </w:r>
                                  </w:p>
                                </w:txbxContent>
                              </wps:txbx>
                              <wps:bodyPr rot="0" vert="horz" wrap="square" lIns="91440" tIns="45720" rIns="91440" bIns="45720" upright="1">
                                <a:noAutofit/>
                              </wps:bodyPr>
                            </wps:wsp>
                            <wps:wsp>
                              <wps:cNvPr id="32" name="Text Box 34"/>
                              <wps:cNvSpPr txBox="1">
                                <a:spLocks noChangeArrowheads="1"/>
                              </wps:cNvSpPr>
                              <wps:spPr bwMode="auto">
                                <a:xfrm>
                                  <a:off x="228600" y="2400300"/>
                                  <a:ext cx="2715895" cy="46418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2D30" w:rsidRPr="001F6519" w:rsidRDefault="00D02D30" w:rsidP="00872943">
                                    <w:pPr>
                                      <w:autoSpaceDE w:val="0"/>
                                      <w:autoSpaceDN w:val="0"/>
                                      <w:adjustRightInd w:val="0"/>
                                      <w:rPr>
                                        <w:rFonts w:ascii="Arial" w:hAnsi="Arial" w:cs="Arial"/>
                                        <w:color w:val="000000"/>
                                        <w:sz w:val="22"/>
                                        <w:szCs w:val="22"/>
                                      </w:rPr>
                                    </w:pPr>
                                    <w:r w:rsidRPr="001F6519">
                                      <w:rPr>
                                        <w:rFonts w:ascii="Arial" w:hAnsi="Arial" w:cs="Arial"/>
                                        <w:color w:val="000000"/>
                                        <w:sz w:val="22"/>
                                        <w:szCs w:val="22"/>
                                      </w:rPr>
                                      <w:t>Funding to organisations which perform services of benefit to</w:t>
                                    </w:r>
                                    <w:r w:rsidRPr="00C154C7">
                                      <w:rPr>
                                        <w:rFonts w:ascii="Arial" w:hAnsi="Arial" w:cs="Arial"/>
                                        <w:color w:val="000000"/>
                                        <w:sz w:val="24"/>
                                      </w:rPr>
                                      <w:t xml:space="preserve"> </w:t>
                                    </w:r>
                                    <w:r w:rsidRPr="001F6519">
                                      <w:rPr>
                                        <w:rFonts w:ascii="Arial" w:hAnsi="Arial" w:cs="Arial"/>
                                        <w:color w:val="000000"/>
                                        <w:sz w:val="22"/>
                                        <w:szCs w:val="22"/>
                                      </w:rPr>
                                      <w:t>industry</w:t>
                                    </w:r>
                                  </w:p>
                                </w:txbxContent>
                              </wps:txbx>
                              <wps:bodyPr rot="0" vert="horz" wrap="square" lIns="91440" tIns="45720" rIns="91440" bIns="45720" anchor="t" anchorCtr="0" upright="1">
                                <a:noAutofit/>
                              </wps:bodyPr>
                            </wps:wsp>
                            <wps:wsp>
                              <wps:cNvPr id="33" name="Line 35"/>
                              <wps:cNvCnPr/>
                              <wps:spPr bwMode="auto">
                                <a:xfrm>
                                  <a:off x="0" y="1022350"/>
                                  <a:ext cx="0" cy="1504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Line 36"/>
                              <wps:cNvCnPr/>
                              <wps:spPr bwMode="auto">
                                <a:xfrm>
                                  <a:off x="0" y="2527300"/>
                                  <a:ext cx="2476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Line 37"/>
                              <wps:cNvCnPr/>
                              <wps:spPr bwMode="auto">
                                <a:xfrm>
                                  <a:off x="0" y="1567815"/>
                                  <a:ext cx="2476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Line 38"/>
                              <wps:cNvCnPr/>
                              <wps:spPr bwMode="auto">
                                <a:xfrm>
                                  <a:off x="2565400" y="1016000"/>
                                  <a:ext cx="0" cy="546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Line 39"/>
                              <wps:cNvCnPr/>
                              <wps:spPr bwMode="auto">
                                <a:xfrm>
                                  <a:off x="2565400" y="1567815"/>
                                  <a:ext cx="2476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 name="Text Box 40"/>
                              <wps:cNvSpPr txBox="1">
                                <a:spLocks noChangeArrowheads="1"/>
                              </wps:cNvSpPr>
                              <wps:spPr bwMode="auto">
                                <a:xfrm>
                                  <a:off x="2857500" y="1449070"/>
                                  <a:ext cx="1640840" cy="109474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2D30" w:rsidRPr="001F6519" w:rsidRDefault="00D02D30" w:rsidP="00872943">
                                    <w:pPr>
                                      <w:autoSpaceDE w:val="0"/>
                                      <w:autoSpaceDN w:val="0"/>
                                      <w:adjustRightInd w:val="0"/>
                                      <w:rPr>
                                        <w:rFonts w:ascii="Arial" w:hAnsi="Arial" w:cs="Arial"/>
                                        <w:color w:val="000000"/>
                                        <w:sz w:val="22"/>
                                        <w:szCs w:val="22"/>
                                      </w:rPr>
                                    </w:pPr>
                                    <w:r w:rsidRPr="001F6519">
                                      <w:rPr>
                                        <w:rFonts w:ascii="Arial" w:hAnsi="Arial" w:cs="Arial"/>
                                        <w:color w:val="000000"/>
                                        <w:sz w:val="22"/>
                                        <w:szCs w:val="22"/>
                                      </w:rPr>
                                      <w:t>Direct financial</w:t>
                                    </w:r>
                                  </w:p>
                                  <w:p w:rsidR="00D02D30" w:rsidRPr="00190AC4" w:rsidRDefault="00D02D30" w:rsidP="00872943">
                                    <w:pPr>
                                      <w:numPr>
                                        <w:ilvl w:val="0"/>
                                        <w:numId w:val="49"/>
                                      </w:numPr>
                                      <w:autoSpaceDE w:val="0"/>
                                      <w:autoSpaceDN w:val="0"/>
                                      <w:adjustRightInd w:val="0"/>
                                      <w:rPr>
                                        <w:rFonts w:ascii="Arial" w:hAnsi="Arial" w:cs="Arial"/>
                                        <w:color w:val="000000"/>
                                        <w:sz w:val="20"/>
                                        <w:szCs w:val="20"/>
                                      </w:rPr>
                                    </w:pPr>
                                    <w:r w:rsidRPr="00AD372E">
                                      <w:rPr>
                                        <w:rFonts w:ascii="Arial" w:hAnsi="Arial" w:cs="Arial"/>
                                        <w:color w:val="000000"/>
                                        <w:sz w:val="16"/>
                                        <w:szCs w:val="16"/>
                                      </w:rPr>
                                      <w:t xml:space="preserve"> </w:t>
                                    </w:r>
                                    <w:r w:rsidRPr="00190AC4">
                                      <w:rPr>
                                        <w:rFonts w:ascii="Arial" w:hAnsi="Arial" w:cs="Arial"/>
                                        <w:color w:val="000000"/>
                                        <w:sz w:val="20"/>
                                        <w:szCs w:val="20"/>
                                      </w:rPr>
                                      <w:t>exemptions</w:t>
                                    </w:r>
                                  </w:p>
                                  <w:p w:rsidR="00D02D30" w:rsidRPr="00190AC4" w:rsidRDefault="00D02D30" w:rsidP="00872943">
                                    <w:pPr>
                                      <w:numPr>
                                        <w:ilvl w:val="0"/>
                                        <w:numId w:val="49"/>
                                      </w:numPr>
                                      <w:autoSpaceDE w:val="0"/>
                                      <w:autoSpaceDN w:val="0"/>
                                      <w:adjustRightInd w:val="0"/>
                                      <w:rPr>
                                        <w:rFonts w:ascii="Arial" w:hAnsi="Arial" w:cs="Arial"/>
                                        <w:color w:val="000000"/>
                                        <w:sz w:val="20"/>
                                        <w:szCs w:val="20"/>
                                      </w:rPr>
                                    </w:pPr>
                                    <w:r w:rsidRPr="00190AC4">
                                      <w:rPr>
                                        <w:rFonts w:ascii="Arial" w:hAnsi="Arial" w:cs="Arial"/>
                                        <w:color w:val="000000"/>
                                        <w:sz w:val="20"/>
                                        <w:szCs w:val="20"/>
                                      </w:rPr>
                                      <w:t xml:space="preserve"> deductions</w:t>
                                    </w:r>
                                  </w:p>
                                  <w:p w:rsidR="00D02D30" w:rsidRPr="00190AC4" w:rsidRDefault="00D02D30" w:rsidP="00872943">
                                    <w:pPr>
                                      <w:numPr>
                                        <w:ilvl w:val="0"/>
                                        <w:numId w:val="49"/>
                                      </w:numPr>
                                      <w:autoSpaceDE w:val="0"/>
                                      <w:autoSpaceDN w:val="0"/>
                                      <w:adjustRightInd w:val="0"/>
                                      <w:rPr>
                                        <w:rFonts w:ascii="Arial" w:hAnsi="Arial" w:cs="Arial"/>
                                        <w:color w:val="000000"/>
                                        <w:sz w:val="20"/>
                                        <w:szCs w:val="20"/>
                                      </w:rPr>
                                    </w:pPr>
                                    <w:r w:rsidRPr="00AD372E">
                                      <w:rPr>
                                        <w:rFonts w:ascii="Arial" w:hAnsi="Arial" w:cs="Arial"/>
                                        <w:color w:val="000000"/>
                                        <w:sz w:val="16"/>
                                        <w:szCs w:val="16"/>
                                      </w:rPr>
                                      <w:t xml:space="preserve"> </w:t>
                                    </w:r>
                                    <w:r w:rsidRPr="00190AC4">
                                      <w:rPr>
                                        <w:rFonts w:ascii="Arial" w:hAnsi="Arial" w:cs="Arial"/>
                                        <w:color w:val="000000"/>
                                        <w:sz w:val="20"/>
                                        <w:szCs w:val="20"/>
                                      </w:rPr>
                                      <w:t>rebates</w:t>
                                    </w:r>
                                  </w:p>
                                  <w:p w:rsidR="00D02D30" w:rsidRPr="00190AC4" w:rsidRDefault="00D02D30" w:rsidP="00872943">
                                    <w:pPr>
                                      <w:numPr>
                                        <w:ilvl w:val="0"/>
                                        <w:numId w:val="49"/>
                                      </w:numPr>
                                      <w:autoSpaceDE w:val="0"/>
                                      <w:autoSpaceDN w:val="0"/>
                                      <w:adjustRightInd w:val="0"/>
                                      <w:rPr>
                                        <w:rFonts w:ascii="Arial" w:hAnsi="Arial" w:cs="Arial"/>
                                        <w:color w:val="000000"/>
                                        <w:sz w:val="20"/>
                                        <w:szCs w:val="20"/>
                                      </w:rPr>
                                    </w:pPr>
                                    <w:r w:rsidRPr="00190AC4">
                                      <w:rPr>
                                        <w:rFonts w:ascii="Arial" w:hAnsi="Arial" w:cs="Arial"/>
                                        <w:color w:val="000000"/>
                                        <w:sz w:val="20"/>
                                        <w:szCs w:val="20"/>
                                      </w:rPr>
                                      <w:t xml:space="preserve"> preferential tax rates</w:t>
                                    </w:r>
                                  </w:p>
                                  <w:p w:rsidR="00D02D30" w:rsidRPr="00190AC4" w:rsidRDefault="00D02D30" w:rsidP="00872943">
                                    <w:pPr>
                                      <w:numPr>
                                        <w:ilvl w:val="0"/>
                                        <w:numId w:val="49"/>
                                      </w:numPr>
                                      <w:autoSpaceDE w:val="0"/>
                                      <w:autoSpaceDN w:val="0"/>
                                      <w:adjustRightInd w:val="0"/>
                                      <w:rPr>
                                        <w:rFonts w:ascii="Arial" w:hAnsi="Arial" w:cs="Arial"/>
                                        <w:color w:val="000000"/>
                                        <w:sz w:val="20"/>
                                        <w:szCs w:val="20"/>
                                      </w:rPr>
                                    </w:pPr>
                                    <w:r w:rsidRPr="00AD372E">
                                      <w:rPr>
                                        <w:rFonts w:ascii="Arial" w:hAnsi="Arial" w:cs="Arial"/>
                                        <w:color w:val="000000"/>
                                        <w:sz w:val="16"/>
                                        <w:szCs w:val="16"/>
                                      </w:rPr>
                                      <w:t xml:space="preserve"> </w:t>
                                    </w:r>
                                    <w:r w:rsidRPr="00190AC4">
                                      <w:rPr>
                                        <w:rFonts w:ascii="Arial" w:hAnsi="Arial" w:cs="Arial"/>
                                        <w:color w:val="000000"/>
                                        <w:sz w:val="20"/>
                                        <w:szCs w:val="20"/>
                                      </w:rPr>
                                      <w:t>deferr</w:t>
                                    </w:r>
                                    <w:r>
                                      <w:rPr>
                                        <w:rFonts w:ascii="Arial" w:hAnsi="Arial" w:cs="Arial"/>
                                        <w:color w:val="000000"/>
                                        <w:sz w:val="20"/>
                                        <w:szCs w:val="20"/>
                                      </w:rPr>
                                      <w:t>ed tax</w:t>
                                    </w:r>
                                  </w:p>
                                </w:txbxContent>
                              </wps:txbx>
                              <wps:bodyPr rot="0" vert="horz" wrap="square" lIns="91440" tIns="45720" rIns="91440" bIns="45720" upright="1">
                                <a:noAutofit/>
                              </wps:bodyPr>
                            </wps:wsp>
                          </wpc:wpc>
                        </a:graphicData>
                      </a:graphic>
                      <wp14:sizeRelH relativeFrom="page">
                        <wp14:pctWidth>0</wp14:pctWidth>
                      </wp14:sizeRelH>
                      <wp14:sizeRelV relativeFrom="page">
                        <wp14:pctHeight>0</wp14:pctHeight>
                      </wp14:sizeRelV>
                    </wp:anchor>
                  </w:drawing>
                </mc:Choice>
                <mc:Fallback>
                  <w:pict>
                    <v:group id="Canvas 39" o:spid="_x0000_s1026" editas="canvas" alt="Description: Figure 2.1 Forms of budgetary assistance. This picture lists the different typs of budgetray assistance divided into outlays and tac concessions" style="position:absolute;margin-left:-396.2pt;margin-top:-204.7pt;width:354.3pt;height:226.7pt;z-index:251659264;mso-position-horizontal-relative:char;mso-position-vertical-relative:line" coordsize="44996,287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Figure 2.1 Forms of budgetary assistance. This picture lists the different typs of budgetray assistance divided into outlays and tac concessions" style="position:absolute;width:44996;height:28790;visibility:visible;mso-wrap-style:square">
                        <v:fill o:detectmouseclick="t"/>
                        <v:path o:connecttype="none"/>
                      </v:shape>
                      <v:shapetype id="_x0000_t202" coordsize="21600,21600" o:spt="202" path="m,l,21600r21600,l21600,xe">
                        <v:stroke joinstyle="miter"/>
                        <v:path gradientshapeok="t" o:connecttype="rect"/>
                      </v:shapetype>
                      <v:shape id="Text Box 24" o:spid="_x0000_s1028" type="#_x0000_t202" style="position:absolute;left:11969;top:800;width:20263;height:30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RkdcMA&#10;AADbAAAADwAAAGRycy9kb3ducmV2LnhtbESPT4vCMBTE74LfITxhb5paQaRrFBVkZQ/+qXvx9mie&#10;TbF5KU1Wu99+Iwgeh5nfDDNfdrYWd2p95VjBeJSAIC6crrhU8HPeDmcgfEDWWDsmBX/kYbno9+aY&#10;affgE93zUIpYwj5DBSaEJpPSF4Ys+pFriKN3da3FEGVbSt3iI5bbWqZJMpUWK44LBhvaGCpu+a9V&#10;kO4vu/HafU+OE7nddM1h/XWWRqmPQbf6BBGoC+/wi97pyKXw/BJ/gF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iRkdcMAAADbAAAADwAAAAAAAAAAAAAAAACYAgAAZHJzL2Rv&#10;d25yZXYueG1sUEsFBgAAAAAEAAQA9QAAAIgDAAAAAA==&#10;" filled="f" fillcolor="#bbe0e3">
                        <v:textbox>
                          <w:txbxContent>
                            <w:p w:rsidR="00210081" w:rsidRPr="00C2284D" w:rsidRDefault="00210081" w:rsidP="00872943">
                              <w:pPr>
                                <w:autoSpaceDE w:val="0"/>
                                <w:autoSpaceDN w:val="0"/>
                                <w:adjustRightInd w:val="0"/>
                                <w:spacing w:after="60"/>
                                <w:jc w:val="center"/>
                                <w:rPr>
                                  <w:rFonts w:ascii="Arial" w:hAnsi="Arial" w:cs="Arial"/>
                                  <w:b/>
                                  <w:bCs/>
                                  <w:color w:val="000000"/>
                                  <w:sz w:val="24"/>
                                </w:rPr>
                              </w:pPr>
                              <w:r w:rsidRPr="00C2284D">
                                <w:rPr>
                                  <w:rFonts w:ascii="Arial" w:hAnsi="Arial" w:cs="Arial"/>
                                  <w:b/>
                                  <w:bCs/>
                                  <w:color w:val="000000"/>
                                  <w:sz w:val="24"/>
                                </w:rPr>
                                <w:t>Budgetary assistance</w:t>
                              </w:r>
                            </w:p>
                          </w:txbxContent>
                        </v:textbox>
                      </v:shape>
                      <v:shape id="Text Box 25" o:spid="_x0000_s1029" type="#_x0000_t202" style="position:absolute;left:1949;top:9004;width:17990;height:50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jB7sMA&#10;AADbAAAADwAAAGRycy9kb3ducmV2LnhtbESPT4vCMBTE74LfITxhb5pqQaRrFBVkZQ/+qXvx9mie&#10;TbF5KU1Wu99+Iwgeh5nfDDNfdrYWd2p95VjBeJSAIC6crrhU8HPeDmcgfEDWWDsmBX/kYbno9+aY&#10;affgE93zUIpYwj5DBSaEJpPSF4Ys+pFriKN3da3FEGVbSt3iI5bbWk6SZCotVhwXDDa0MVTc8l+r&#10;YLK/7MZr950eU7nddM1h/XWWRqmPQbf6BBGoC+/wi97pyKXw/BJ/gF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jB7sMAAADbAAAADwAAAAAAAAAAAAAAAACYAgAAZHJzL2Rv&#10;d25yZXYueG1sUEsFBgAAAAAEAAQA9QAAAIgDAAAAAA==&#10;" filled="f" fillcolor="#bbe0e3">
                        <v:textbox>
                          <w:txbxContent>
                            <w:p w:rsidR="00210081" w:rsidRPr="001F6519" w:rsidRDefault="00210081" w:rsidP="00872943">
                              <w:pPr>
                                <w:autoSpaceDE w:val="0"/>
                                <w:autoSpaceDN w:val="0"/>
                                <w:adjustRightInd w:val="0"/>
                                <w:rPr>
                                  <w:rFonts w:ascii="Arial" w:hAnsi="Arial" w:cs="Arial"/>
                                  <w:color w:val="000000"/>
                                  <w:sz w:val="22"/>
                                  <w:szCs w:val="22"/>
                                </w:rPr>
                              </w:pPr>
                              <w:r w:rsidRPr="001F6519">
                                <w:rPr>
                                  <w:rFonts w:ascii="Arial" w:hAnsi="Arial" w:cs="Arial"/>
                                  <w:color w:val="000000"/>
                                  <w:sz w:val="22"/>
                                  <w:szCs w:val="22"/>
                                </w:rPr>
                                <w:t>Budgetary outlays</w:t>
                              </w:r>
                            </w:p>
                            <w:p w:rsidR="00210081" w:rsidRPr="00C2284D" w:rsidRDefault="00210081" w:rsidP="00872943">
                              <w:pPr>
                                <w:numPr>
                                  <w:ilvl w:val="0"/>
                                  <w:numId w:val="49"/>
                                </w:numPr>
                                <w:autoSpaceDE w:val="0"/>
                                <w:autoSpaceDN w:val="0"/>
                                <w:adjustRightInd w:val="0"/>
                                <w:rPr>
                                  <w:rFonts w:ascii="Arial" w:hAnsi="Arial" w:cs="Arial"/>
                                  <w:color w:val="000000"/>
                                  <w:sz w:val="20"/>
                                  <w:szCs w:val="20"/>
                                </w:rPr>
                              </w:pPr>
                              <w:r w:rsidRPr="00C2284D">
                                <w:rPr>
                                  <w:rFonts w:ascii="Arial" w:hAnsi="Arial" w:cs="Arial"/>
                                  <w:color w:val="000000"/>
                                  <w:sz w:val="20"/>
                                  <w:szCs w:val="20"/>
                                </w:rPr>
                                <w:t xml:space="preserve"> industry or sector specific</w:t>
                              </w:r>
                            </w:p>
                          </w:txbxContent>
                        </v:textbox>
                      </v:shape>
                      <v:shape id="Text Box 26" o:spid="_x0000_s1030" type="#_x0000_t202" style="position:absolute;left:27571;top:9004;width:17094;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FZmsQA&#10;AADbAAAADwAAAGRycy9kb3ducmV2LnhtbESPT2vCQBTE7wW/w/IEb3WjkSKpq6ggiof+Sbz09si+&#10;ZkOzb0N2jfHbu4VCj8PMb4ZZbQbbiJ46XztWMJsmIIhLp2uuFFyKw/MShA/IGhvHpOBOHjbr0dMK&#10;M+1u/El9HioRS9hnqMCE0GZS+tKQRT91LXH0vl1nMUTZVVJ3eIvltpHzJHmRFmuOCwZb2hsqf/Kr&#10;VTB/+zrNdu6cfqTysB/a992xkEapyXjYvoIINIT/8B990pFbwO+X+APk+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6BWZrEAAAA2wAAAA8AAAAAAAAAAAAAAAAAmAIAAGRycy9k&#10;b3ducmV2LnhtbFBLBQYAAAAABAAEAPUAAACJAwAAAAA=&#10;" filled="f" fillcolor="#bbe0e3">
                        <v:textbox>
                          <w:txbxContent>
                            <w:p w:rsidR="00210081" w:rsidRPr="001F6519" w:rsidRDefault="00210081" w:rsidP="00872943">
                              <w:pPr>
                                <w:autoSpaceDE w:val="0"/>
                                <w:autoSpaceDN w:val="0"/>
                                <w:adjustRightInd w:val="0"/>
                                <w:rPr>
                                  <w:rFonts w:ascii="Arial" w:hAnsi="Arial" w:cs="Arial"/>
                                  <w:color w:val="000000"/>
                                  <w:sz w:val="22"/>
                                  <w:szCs w:val="22"/>
                                </w:rPr>
                              </w:pPr>
                              <w:r w:rsidRPr="001F6519">
                                <w:rPr>
                                  <w:rFonts w:ascii="Arial" w:hAnsi="Arial" w:cs="Arial"/>
                                  <w:color w:val="000000"/>
                                  <w:sz w:val="22"/>
                                  <w:szCs w:val="22"/>
                                </w:rPr>
                                <w:t>Tax concessions</w:t>
                              </w:r>
                            </w:p>
                            <w:p w:rsidR="00210081" w:rsidRPr="00C154C7" w:rsidRDefault="00210081" w:rsidP="00872943">
                              <w:pPr>
                                <w:numPr>
                                  <w:ilvl w:val="0"/>
                                  <w:numId w:val="49"/>
                                </w:numPr>
                                <w:autoSpaceDE w:val="0"/>
                                <w:autoSpaceDN w:val="0"/>
                                <w:adjustRightInd w:val="0"/>
                                <w:rPr>
                                  <w:rFonts w:ascii="Arial" w:hAnsi="Arial" w:cs="Arial"/>
                                  <w:color w:val="000000"/>
                                  <w:sz w:val="20"/>
                                  <w:szCs w:val="20"/>
                                </w:rPr>
                              </w:pPr>
                              <w:r w:rsidRPr="00C154C7">
                                <w:rPr>
                                  <w:rFonts w:ascii="Arial" w:hAnsi="Arial" w:cs="Arial"/>
                                  <w:color w:val="000000"/>
                                  <w:sz w:val="20"/>
                                  <w:szCs w:val="20"/>
                                </w:rPr>
                                <w:t xml:space="preserve"> industry or sector specific</w:t>
                              </w:r>
                            </w:p>
                          </w:txbxContent>
                        </v:textbox>
                      </v:shape>
                      <v:line id="Line 27" o:spid="_x0000_s1031" style="position:absolute;visibility:visible;mso-wrap-style:square" from="22047,3917" to="22053,62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line id="Line 28" o:spid="_x0000_s1032" style="position:absolute;visibility:visible;mso-wrap-style:square" from="8870,6254" to="34778,62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j82sUAAADbAAAADwAAAGRycy9kb3ducmV2LnhtbESPQWvCQBSE74L/YXlCb7rRQijRVUQp&#10;aA+lWkGPz+wziWbfht1tkv77bqHQ4zAz3zCLVW9q0ZLzlWUF00kCgji3uuJCwenzdfwCwgdkjbVl&#10;UvBNHlbL4WCBmbYdH6g9hkJECPsMFZQhNJmUPi/JoJ/Yhjh6N+sMhihdIbXDLsJNLWdJkkqDFceF&#10;EhvalJQ/jl9Gwfv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j82sUAAADbAAAADwAAAAAAAAAA&#10;AAAAAAChAgAAZHJzL2Rvd25yZXYueG1sUEsFBgAAAAAEAAQA+QAAAJMDAAAAAA==&#10;"/>
                      <v:line id="Line 29" o:spid="_x0000_s1033" style="position:absolute;visibility:visible;mso-wrap-style:square" from="8870,6280" to="8877,89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xa9cQAAADbAAAADwAAAGRycy9kb3ducmV2LnhtbESPQWsCMRSE7wX/Q3iCt5rVg1u3RhGX&#10;ggctqKXn183rZunmZdmka/z3Rij0OMzMN8xqE20rBup941jBbJqBIK6cbrhW8HF5e34B4QOyxtYx&#10;KbiRh8169LTCQrsrn2g4h1okCPsCFZgQukJKXxmy6KeuI07et+sthiT7WuoerwluWznPsoW02HBa&#10;MNjRzlD1c/61CnJTnmQuy8PlvRya2TIe4+fXUqnJOG5fQQSK4T/8195rBfMcHl/SD5Dr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PFr1xAAAANsAAAAPAAAAAAAAAAAA&#10;AAAAAKECAABkcnMvZG93bnJldi54bWxQSwUGAAAAAAQABAD5AAAAkgMAAAAA&#10;">
                        <v:stroke endarrow="block"/>
                      </v:line>
                      <v:line id="Line 30" o:spid="_x0000_s1034" style="position:absolute;visibility:visible;mso-wrap-style:square" from="34778,6280" to="34785,89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POh8AAAADbAAAADwAAAGRycy9kb3ducmV2LnhtbERPy4rCMBTdD/gP4QqzG1NdjGM1ilgE&#10;FzOCD1xfm2tTbG5KE2vm7ycLYZaH816som1ET52vHSsYjzIQxKXTNVcKzqftxxcIH5A1No5JwS95&#10;WC0HbwvMtXvygfpjqEQKYZ+jAhNCm0vpS0MW/ci1xIm7uc5iSLCrpO7wmcJtIydZ9ikt1pwaDLa0&#10;MVTejw+rYGqKg5zK4vu0L/p6PIs/8XKdKfU+jOs5iEAx/Itf7p1WMElj05f0A+Ty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KjzofAAAAA2wAAAA8AAAAAAAAAAAAAAAAA&#10;oQIAAGRycy9kb3ducmV2LnhtbFBLBQYAAAAABAAEAPkAAACOAwAAAAA=&#10;">
                        <v:stroke endarrow="block"/>
                      </v:line>
                      <v:line id="Line 31" o:spid="_x0000_s1035" style="position:absolute;visibility:visible;mso-wrap-style:square" from="31,10223" to="1816,102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line id="Line 32" o:spid="_x0000_s1036" style="position:absolute;visibility:visible;mso-wrap-style:square" from="25685,10160" to="27482,101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shape id="Text Box 33" o:spid="_x0000_s1037" type="#_x0000_t202" style="position:absolute;left:2305;top:14528;width:18650;height:106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zWEMYA&#10;AADbAAAADwAAAGRycy9kb3ducmV2LnhtbESPQWvCQBSE74X+h+UVeqsbrYjEbESlRfEg1Vrs8TX7&#10;TILZtyG7appf7xYKHoeZ+YZJpq2pxIUaV1pW0O9FIIgzq0vOFew/31/GIJxH1lhZJgW/5GCaPj4k&#10;GGt75S1ddj4XAcIuRgWF93UspcsKMuh6tiYO3tE2Bn2QTS51g9cAN5UcRNFIGiw5LBRY06Kg7LQ7&#10;GwWrj7c5rZdd1w03h6/xz/d+6RcnpZ6f2tkEhKfW38P/7ZVW8NqHvy/hB8j0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FzWEMYAAADbAAAADwAAAAAAAAAAAAAAAACYAgAAZHJz&#10;L2Rvd25yZXYueG1sUEsFBgAAAAAEAAQA9QAAAIsDAAAAAA==&#10;" filled="f" fillcolor="#bbe0e3" stroked="f">
                        <v:textbox>
                          <w:txbxContent>
                            <w:p w:rsidR="00210081" w:rsidRPr="001F6519" w:rsidRDefault="00210081" w:rsidP="00872943">
                              <w:pPr>
                                <w:autoSpaceDE w:val="0"/>
                                <w:autoSpaceDN w:val="0"/>
                                <w:adjustRightInd w:val="0"/>
                                <w:rPr>
                                  <w:rFonts w:ascii="Arial" w:hAnsi="Arial" w:cs="Arial"/>
                                  <w:color w:val="000000"/>
                                  <w:sz w:val="22"/>
                                  <w:szCs w:val="22"/>
                                </w:rPr>
                              </w:pPr>
                              <w:r w:rsidRPr="001F6519">
                                <w:rPr>
                                  <w:rFonts w:ascii="Arial" w:hAnsi="Arial" w:cs="Arial"/>
                                  <w:color w:val="000000"/>
                                  <w:sz w:val="22"/>
                                  <w:szCs w:val="22"/>
                                </w:rPr>
                                <w:t>Direct financial</w:t>
                              </w:r>
                            </w:p>
                            <w:p w:rsidR="00210081" w:rsidRPr="00190AC4" w:rsidRDefault="00210081" w:rsidP="00872943">
                              <w:pPr>
                                <w:numPr>
                                  <w:ilvl w:val="0"/>
                                  <w:numId w:val="50"/>
                                </w:numPr>
                                <w:autoSpaceDE w:val="0"/>
                                <w:autoSpaceDN w:val="0"/>
                                <w:adjustRightInd w:val="0"/>
                                <w:rPr>
                                  <w:rFonts w:ascii="Arial" w:hAnsi="Arial" w:cs="Arial"/>
                                  <w:color w:val="000000"/>
                                  <w:sz w:val="20"/>
                                  <w:szCs w:val="20"/>
                                </w:rPr>
                              </w:pPr>
                              <w:r w:rsidRPr="00190AC4">
                                <w:rPr>
                                  <w:rFonts w:ascii="Arial" w:hAnsi="Arial" w:cs="Arial"/>
                                  <w:color w:val="000000"/>
                                  <w:sz w:val="20"/>
                                  <w:szCs w:val="20"/>
                                </w:rPr>
                                <w:t xml:space="preserve"> bounties, grants, subsidies</w:t>
                              </w:r>
                            </w:p>
                            <w:p w:rsidR="00210081" w:rsidRPr="00190AC4" w:rsidRDefault="00210081" w:rsidP="00872943">
                              <w:pPr>
                                <w:numPr>
                                  <w:ilvl w:val="0"/>
                                  <w:numId w:val="50"/>
                                </w:numPr>
                                <w:autoSpaceDE w:val="0"/>
                                <w:autoSpaceDN w:val="0"/>
                                <w:adjustRightInd w:val="0"/>
                                <w:rPr>
                                  <w:rFonts w:ascii="Arial" w:hAnsi="Arial" w:cs="Arial"/>
                                  <w:color w:val="000000"/>
                                  <w:sz w:val="20"/>
                                  <w:szCs w:val="20"/>
                                </w:rPr>
                              </w:pPr>
                              <w:r w:rsidRPr="00AD372E">
                                <w:rPr>
                                  <w:rFonts w:ascii="Arial" w:hAnsi="Arial" w:cs="Arial"/>
                                  <w:color w:val="000000"/>
                                  <w:sz w:val="16"/>
                                  <w:szCs w:val="16"/>
                                </w:rPr>
                                <w:t xml:space="preserve"> </w:t>
                              </w:r>
                              <w:r w:rsidRPr="00190AC4">
                                <w:rPr>
                                  <w:rFonts w:ascii="Arial" w:hAnsi="Arial" w:cs="Arial"/>
                                  <w:color w:val="000000"/>
                                  <w:sz w:val="20"/>
                                  <w:szCs w:val="20"/>
                                </w:rPr>
                                <w:t>interest rate subsidies</w:t>
                              </w:r>
                            </w:p>
                            <w:p w:rsidR="00210081" w:rsidRPr="00190AC4" w:rsidRDefault="00210081" w:rsidP="00872943">
                              <w:pPr>
                                <w:numPr>
                                  <w:ilvl w:val="0"/>
                                  <w:numId w:val="50"/>
                                </w:numPr>
                                <w:autoSpaceDE w:val="0"/>
                                <w:autoSpaceDN w:val="0"/>
                                <w:adjustRightInd w:val="0"/>
                                <w:rPr>
                                  <w:rFonts w:ascii="Arial" w:hAnsi="Arial" w:cs="Arial"/>
                                  <w:color w:val="000000"/>
                                  <w:sz w:val="20"/>
                                  <w:szCs w:val="20"/>
                                </w:rPr>
                              </w:pPr>
                              <w:r w:rsidRPr="00AD372E">
                                <w:rPr>
                                  <w:rFonts w:ascii="Arial" w:hAnsi="Arial" w:cs="Arial"/>
                                  <w:color w:val="000000"/>
                                  <w:sz w:val="16"/>
                                  <w:szCs w:val="16"/>
                                </w:rPr>
                                <w:t xml:space="preserve"> </w:t>
                              </w:r>
                              <w:r w:rsidRPr="00190AC4">
                                <w:rPr>
                                  <w:rFonts w:ascii="Arial" w:hAnsi="Arial" w:cs="Arial"/>
                                  <w:color w:val="000000"/>
                                  <w:sz w:val="20"/>
                                  <w:szCs w:val="20"/>
                                </w:rPr>
                                <w:t>credits, loans</w:t>
                              </w:r>
                            </w:p>
                            <w:p w:rsidR="00210081" w:rsidRPr="00190AC4" w:rsidRDefault="00210081" w:rsidP="00872943">
                              <w:pPr>
                                <w:numPr>
                                  <w:ilvl w:val="0"/>
                                  <w:numId w:val="50"/>
                                </w:numPr>
                                <w:autoSpaceDE w:val="0"/>
                                <w:autoSpaceDN w:val="0"/>
                                <w:adjustRightInd w:val="0"/>
                                <w:rPr>
                                  <w:rFonts w:ascii="Arial" w:hAnsi="Arial" w:cs="Arial"/>
                                  <w:color w:val="000000"/>
                                  <w:sz w:val="20"/>
                                  <w:szCs w:val="20"/>
                                </w:rPr>
                              </w:pPr>
                              <w:r w:rsidRPr="00AD372E">
                                <w:rPr>
                                  <w:rFonts w:ascii="Arial" w:hAnsi="Arial" w:cs="Arial"/>
                                  <w:color w:val="000000"/>
                                  <w:sz w:val="16"/>
                                  <w:szCs w:val="16"/>
                                </w:rPr>
                                <w:t xml:space="preserve"> </w:t>
                              </w:r>
                              <w:r w:rsidRPr="00190AC4">
                                <w:rPr>
                                  <w:rFonts w:ascii="Arial" w:hAnsi="Arial" w:cs="Arial"/>
                                  <w:color w:val="000000"/>
                                  <w:sz w:val="20"/>
                                  <w:szCs w:val="20"/>
                                </w:rPr>
                                <w:t>loan guarantees, insurance</w:t>
                              </w:r>
                            </w:p>
                            <w:p w:rsidR="00210081" w:rsidRPr="00190AC4" w:rsidRDefault="00210081" w:rsidP="00872943">
                              <w:pPr>
                                <w:numPr>
                                  <w:ilvl w:val="0"/>
                                  <w:numId w:val="50"/>
                                </w:numPr>
                                <w:autoSpaceDE w:val="0"/>
                                <w:autoSpaceDN w:val="0"/>
                                <w:adjustRightInd w:val="0"/>
                                <w:rPr>
                                  <w:rFonts w:ascii="Arial" w:hAnsi="Arial" w:cs="Arial"/>
                                  <w:color w:val="000000"/>
                                  <w:sz w:val="20"/>
                                  <w:szCs w:val="20"/>
                                </w:rPr>
                              </w:pPr>
                              <w:r w:rsidRPr="00190AC4">
                                <w:rPr>
                                  <w:rFonts w:ascii="Arial" w:hAnsi="Arial" w:cs="Arial"/>
                                  <w:color w:val="000000"/>
                                  <w:sz w:val="20"/>
                                  <w:szCs w:val="20"/>
                                </w:rPr>
                                <w:t xml:space="preserve"> equity injections</w:t>
                              </w:r>
                            </w:p>
                          </w:txbxContent>
                        </v:textbox>
                      </v:shape>
                      <v:shape id="Text Box 34" o:spid="_x0000_s1038" type="#_x0000_t202" style="position:absolute;left:2286;top:24003;width:27158;height:4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5IZ8YA&#10;AADbAAAADwAAAGRycy9kb3ducmV2LnhtbESPQWvCQBSE74X+h+UJvdWNVorEbMRKi+KhVGvR4zP7&#10;TILZtyG7appf7xYKHoeZ+YZJpq2pxIUaV1pWMOhHIIgzq0vOFWy/P57HIJxH1lhZJgW/5GCaPj4k&#10;GGt75TVdNj4XAcIuRgWF93UspcsKMuj6tiYO3tE2Bn2QTS51g9cAN5UcRtGrNFhyWCiwpnlB2Wlz&#10;NgqWX+9vtFp0XTf63P2MD/vtws9PSj312tkEhKfW38P/7aVW8DKEvy/hB8j0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I5IZ8YAAADbAAAADwAAAAAAAAAAAAAAAACYAgAAZHJz&#10;L2Rvd25yZXYueG1sUEsFBgAAAAAEAAQA9QAAAIsDAAAAAA==&#10;" filled="f" fillcolor="#bbe0e3" stroked="f">
                        <v:textbox>
                          <w:txbxContent>
                            <w:p w:rsidR="00210081" w:rsidRPr="001F6519" w:rsidRDefault="00210081" w:rsidP="00872943">
                              <w:pPr>
                                <w:autoSpaceDE w:val="0"/>
                                <w:autoSpaceDN w:val="0"/>
                                <w:adjustRightInd w:val="0"/>
                                <w:rPr>
                                  <w:rFonts w:ascii="Arial" w:hAnsi="Arial" w:cs="Arial"/>
                                  <w:color w:val="000000"/>
                                  <w:sz w:val="22"/>
                                  <w:szCs w:val="22"/>
                                </w:rPr>
                              </w:pPr>
                              <w:r w:rsidRPr="001F6519">
                                <w:rPr>
                                  <w:rFonts w:ascii="Arial" w:hAnsi="Arial" w:cs="Arial"/>
                                  <w:color w:val="000000"/>
                                  <w:sz w:val="22"/>
                                  <w:szCs w:val="22"/>
                                </w:rPr>
                                <w:t>Funding to organisations which perform services of benefit to</w:t>
                              </w:r>
                              <w:r w:rsidRPr="00C154C7">
                                <w:rPr>
                                  <w:rFonts w:ascii="Arial" w:hAnsi="Arial" w:cs="Arial"/>
                                  <w:color w:val="000000"/>
                                  <w:sz w:val="24"/>
                                </w:rPr>
                                <w:t xml:space="preserve"> </w:t>
                              </w:r>
                              <w:r w:rsidRPr="001F6519">
                                <w:rPr>
                                  <w:rFonts w:ascii="Arial" w:hAnsi="Arial" w:cs="Arial"/>
                                  <w:color w:val="000000"/>
                                  <w:sz w:val="22"/>
                                  <w:szCs w:val="22"/>
                                </w:rPr>
                                <w:t>industry</w:t>
                              </w:r>
                            </w:p>
                          </w:txbxContent>
                        </v:textbox>
                      </v:shape>
                      <v:line id="Line 35" o:spid="_x0000_s1039" style="position:absolute;visibility:visible;mso-wrap-style:square" from="0,10223" to="0,252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bJn8UAAADbAAAADwAAAGRycy9kb3ducmV2LnhtbESPQWvCQBSE7wX/w/IK3uqmDQRJXUWU&#10;gvZQ1Bba4zP7mqRm34bdNYn/3hWEHoeZ+YaZLQbTiI6cry0reJ4kIIgLq2suFXx9vj1NQfiArLGx&#10;TAou5GExHz3MMNe25z11h1CKCGGfo4IqhDaX0hcVGfQT2xJH79c6gyFKV0rtsI9w08iXJMmkwZrj&#10;QoUtrSoqToezUfCR7rJuuX3fDN/b7Fis98efv94pNX4clq8gAg3hP3xvb7SCNIX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EbJn8UAAADbAAAADwAAAAAAAAAA&#10;AAAAAAChAgAAZHJzL2Rvd25yZXYueG1sUEsFBgAAAAAEAAQA+QAAAJMDAAAAAA==&#10;"/>
                      <v:line id="Line 36" o:spid="_x0000_s1040" style="position:absolute;visibility:visible;mso-wrap-style:square" from="0,25273" to="2476,252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dSX8QAAADbAAAADwAAAGRycy9kb3ducmV2LnhtbESPQWsCMRSE70L/Q3iF3jSrlapbo0gX&#10;wYMV1NLz6+Z1s3TzsmzSNf57Uyh4HGbmG2a5jrYRPXW+dqxgPMpAEJdO11wp+Dhvh3MQPiBrbByT&#10;git5WK8eBkvMtbvwkfpTqESCsM9RgQmhzaX0pSGLfuRa4uR9u85iSLKrpO7wkuC2kZMse5EWa04L&#10;Blt6M1T+nH6tgpkpjnImi/35UPT1eBHf4+fXQqmnx7h5BREohnv4v73TCp6n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N1JfxAAAANsAAAAPAAAAAAAAAAAA&#10;AAAAAKECAABkcnMvZG93bnJldi54bWxQSwUGAAAAAAQABAD5AAAAkgMAAAAA&#10;">
                        <v:stroke endarrow="block"/>
                      </v:line>
                      <v:line id="Line 37" o:spid="_x0000_s1041" style="position:absolute;visibility:visible;mso-wrap-style:square" from="0,15678" to="2476,15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v3xMQAAADbAAAADwAAAGRycy9kb3ducmV2LnhtbESPQWsCMRSE70L/Q3iF3jSrxapbo0gX&#10;wYMV1NLz6+Z1s3TzsmzSNf57Uyh4HGbmG2a5jrYRPXW+dqxgPMpAEJdO11wp+Dhvh3MQPiBrbByT&#10;git5WK8eBkvMtbvwkfpTqESCsM9RgQmhzaX0pSGLfuRa4uR9u85iSLKrpO7wkuC2kZMse5EWa04L&#10;Blt6M1T+nH6tgpkpjnImi/35UPT1eBHf4+fXQqmnx7h5BREohnv4v73TCp6n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e/fExAAAANsAAAAPAAAAAAAAAAAA&#10;AAAAAKECAABkcnMvZG93bnJldi54bWxQSwUGAAAAAAQABAD5AAAAkgMAAAAA&#10;">
                        <v:stroke endarrow="block"/>
                      </v:line>
                      <v:line id="Line 38" o:spid="_x0000_s1042" style="position:absolute;visibility:visible;mso-wrap-style:square" from="25654,10160" to="25654,156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FqB8UAAADbAAAADwAAAGRycy9kb3ducmV2LnhtbESPQWvCQBSE74L/YXlCb7qxQijRVUQp&#10;aA+lWkGPz+wziWbfht1tkv77bqHQ4zAz3zCLVW9q0ZLzlWUF00kCgji3uuJCwenzdfwCwgdkjbVl&#10;UvBNHlbL4WCBmbYdH6g9hkJECPsMFZQhNJmUPi/JoJ/Yhjh6N+sMhihdIbXDLsJNLZ+TJJUGK44L&#10;JTa0KSl/HL+Mgvf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FqB8UAAADbAAAADwAAAAAAAAAA&#10;AAAAAAChAgAAZHJzL2Rvd25yZXYueG1sUEsFBgAAAAAEAAQA+QAAAJMDAAAAAA==&#10;"/>
                      <v:line id="Line 39" o:spid="_x0000_s1043" style="position:absolute;visibility:visible;mso-wrap-style:square" from="25654,15678" to="28130,15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uXMKMQAAADbAAAADwAAAGRycy9kb3ducmV2LnhtbESPQWsCMRSE74X+h/AK3mrWFrq6NYq4&#10;FDxYQS09v26em8XNy7JJ1/jvm4LgcZiZb5j5MtpWDNT7xrGCyTgDQVw53XCt4Ov48TwF4QOyxtYx&#10;KbiSh+Xi8WGOhXYX3tNwCLVIEPYFKjAhdIWUvjJk0Y9dR5y8k+sthiT7WuoeLwluW/mSZW/SYsNp&#10;wWBHa0PV+fBrFeSm3MtcltvjrhyaySx+xu+fmVKjp7h6BxEohnv41t5oBa85/H9JP0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25cwoxAAAANsAAAAPAAAAAAAAAAAA&#10;AAAAAKECAABkcnMvZG93bnJldi54bWxQSwUGAAAAAAQABAD5AAAAkgMAAAAA&#10;">
                        <v:stroke endarrow="block"/>
                      </v:line>
                      <v:shape id="Text Box 40" o:spid="_x0000_s1044" type="#_x0000_t202" style="position:absolute;left:28575;top:14490;width:16408;height:109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Z/jcMA&#10;AADbAAAADwAAAGRycy9kb3ducmV2LnhtbERPy2rCQBTdF/yH4Qru6kQtIqmjqCiKC6mP0i6vmWsS&#10;zNwJmanGfL2zELo8nPd4WptC3KhyuWUFvW4EgjixOudUwem4eh+BcB5ZY2GZFDzIwXTSehtjrO2d&#10;93Q7+FSEEHYxKsi8L2MpXZKRQde1JXHgLrYy6AOsUqkrvIdwU8h+FA2lwZxDQ4YlLTJKroc/o2Dz&#10;tZzTdt00zcfu53t0/j2t/eKqVKddzz5BeKr9v/jl3mgFgzA2fAk/QE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WZ/jcMAAADbAAAADwAAAAAAAAAAAAAAAACYAgAAZHJzL2Rv&#10;d25yZXYueG1sUEsFBgAAAAAEAAQA9QAAAIgDAAAAAA==&#10;" filled="f" fillcolor="#bbe0e3" stroked="f">
                        <v:textbox>
                          <w:txbxContent>
                            <w:p w:rsidR="00210081" w:rsidRPr="001F6519" w:rsidRDefault="00210081" w:rsidP="00872943">
                              <w:pPr>
                                <w:autoSpaceDE w:val="0"/>
                                <w:autoSpaceDN w:val="0"/>
                                <w:adjustRightInd w:val="0"/>
                                <w:rPr>
                                  <w:rFonts w:ascii="Arial" w:hAnsi="Arial" w:cs="Arial"/>
                                  <w:color w:val="000000"/>
                                  <w:sz w:val="22"/>
                                  <w:szCs w:val="22"/>
                                </w:rPr>
                              </w:pPr>
                              <w:r w:rsidRPr="001F6519">
                                <w:rPr>
                                  <w:rFonts w:ascii="Arial" w:hAnsi="Arial" w:cs="Arial"/>
                                  <w:color w:val="000000"/>
                                  <w:sz w:val="22"/>
                                  <w:szCs w:val="22"/>
                                </w:rPr>
                                <w:t>Direct financial</w:t>
                              </w:r>
                            </w:p>
                            <w:p w:rsidR="00210081" w:rsidRPr="00190AC4" w:rsidRDefault="00210081" w:rsidP="00872943">
                              <w:pPr>
                                <w:numPr>
                                  <w:ilvl w:val="0"/>
                                  <w:numId w:val="49"/>
                                </w:numPr>
                                <w:autoSpaceDE w:val="0"/>
                                <w:autoSpaceDN w:val="0"/>
                                <w:adjustRightInd w:val="0"/>
                                <w:rPr>
                                  <w:rFonts w:ascii="Arial" w:hAnsi="Arial" w:cs="Arial"/>
                                  <w:color w:val="000000"/>
                                  <w:sz w:val="20"/>
                                  <w:szCs w:val="20"/>
                                </w:rPr>
                              </w:pPr>
                              <w:r w:rsidRPr="00AD372E">
                                <w:rPr>
                                  <w:rFonts w:ascii="Arial" w:hAnsi="Arial" w:cs="Arial"/>
                                  <w:color w:val="000000"/>
                                  <w:sz w:val="16"/>
                                  <w:szCs w:val="16"/>
                                </w:rPr>
                                <w:t xml:space="preserve"> </w:t>
                              </w:r>
                              <w:r w:rsidRPr="00190AC4">
                                <w:rPr>
                                  <w:rFonts w:ascii="Arial" w:hAnsi="Arial" w:cs="Arial"/>
                                  <w:color w:val="000000"/>
                                  <w:sz w:val="20"/>
                                  <w:szCs w:val="20"/>
                                </w:rPr>
                                <w:t>exemptions</w:t>
                              </w:r>
                            </w:p>
                            <w:p w:rsidR="00210081" w:rsidRPr="00190AC4" w:rsidRDefault="00210081" w:rsidP="00872943">
                              <w:pPr>
                                <w:numPr>
                                  <w:ilvl w:val="0"/>
                                  <w:numId w:val="49"/>
                                </w:numPr>
                                <w:autoSpaceDE w:val="0"/>
                                <w:autoSpaceDN w:val="0"/>
                                <w:adjustRightInd w:val="0"/>
                                <w:rPr>
                                  <w:rFonts w:ascii="Arial" w:hAnsi="Arial" w:cs="Arial"/>
                                  <w:color w:val="000000"/>
                                  <w:sz w:val="20"/>
                                  <w:szCs w:val="20"/>
                                </w:rPr>
                              </w:pPr>
                              <w:r w:rsidRPr="00190AC4">
                                <w:rPr>
                                  <w:rFonts w:ascii="Arial" w:hAnsi="Arial" w:cs="Arial"/>
                                  <w:color w:val="000000"/>
                                  <w:sz w:val="20"/>
                                  <w:szCs w:val="20"/>
                                </w:rPr>
                                <w:t xml:space="preserve"> deductions</w:t>
                              </w:r>
                            </w:p>
                            <w:p w:rsidR="00210081" w:rsidRPr="00190AC4" w:rsidRDefault="00210081" w:rsidP="00872943">
                              <w:pPr>
                                <w:numPr>
                                  <w:ilvl w:val="0"/>
                                  <w:numId w:val="49"/>
                                </w:numPr>
                                <w:autoSpaceDE w:val="0"/>
                                <w:autoSpaceDN w:val="0"/>
                                <w:adjustRightInd w:val="0"/>
                                <w:rPr>
                                  <w:rFonts w:ascii="Arial" w:hAnsi="Arial" w:cs="Arial"/>
                                  <w:color w:val="000000"/>
                                  <w:sz w:val="20"/>
                                  <w:szCs w:val="20"/>
                                </w:rPr>
                              </w:pPr>
                              <w:r w:rsidRPr="00AD372E">
                                <w:rPr>
                                  <w:rFonts w:ascii="Arial" w:hAnsi="Arial" w:cs="Arial"/>
                                  <w:color w:val="000000"/>
                                  <w:sz w:val="16"/>
                                  <w:szCs w:val="16"/>
                                </w:rPr>
                                <w:t xml:space="preserve"> </w:t>
                              </w:r>
                              <w:r w:rsidRPr="00190AC4">
                                <w:rPr>
                                  <w:rFonts w:ascii="Arial" w:hAnsi="Arial" w:cs="Arial"/>
                                  <w:color w:val="000000"/>
                                  <w:sz w:val="20"/>
                                  <w:szCs w:val="20"/>
                                </w:rPr>
                                <w:t>rebates</w:t>
                              </w:r>
                            </w:p>
                            <w:p w:rsidR="00210081" w:rsidRPr="00190AC4" w:rsidRDefault="00210081" w:rsidP="00872943">
                              <w:pPr>
                                <w:numPr>
                                  <w:ilvl w:val="0"/>
                                  <w:numId w:val="49"/>
                                </w:numPr>
                                <w:autoSpaceDE w:val="0"/>
                                <w:autoSpaceDN w:val="0"/>
                                <w:adjustRightInd w:val="0"/>
                                <w:rPr>
                                  <w:rFonts w:ascii="Arial" w:hAnsi="Arial" w:cs="Arial"/>
                                  <w:color w:val="000000"/>
                                  <w:sz w:val="20"/>
                                  <w:szCs w:val="20"/>
                                </w:rPr>
                              </w:pPr>
                              <w:r w:rsidRPr="00190AC4">
                                <w:rPr>
                                  <w:rFonts w:ascii="Arial" w:hAnsi="Arial" w:cs="Arial"/>
                                  <w:color w:val="000000"/>
                                  <w:sz w:val="20"/>
                                  <w:szCs w:val="20"/>
                                </w:rPr>
                                <w:t xml:space="preserve"> preferential tax rates</w:t>
                              </w:r>
                            </w:p>
                            <w:p w:rsidR="00210081" w:rsidRPr="00190AC4" w:rsidRDefault="00210081" w:rsidP="00872943">
                              <w:pPr>
                                <w:numPr>
                                  <w:ilvl w:val="0"/>
                                  <w:numId w:val="49"/>
                                </w:numPr>
                                <w:autoSpaceDE w:val="0"/>
                                <w:autoSpaceDN w:val="0"/>
                                <w:adjustRightInd w:val="0"/>
                                <w:rPr>
                                  <w:rFonts w:ascii="Arial" w:hAnsi="Arial" w:cs="Arial"/>
                                  <w:color w:val="000000"/>
                                  <w:sz w:val="20"/>
                                  <w:szCs w:val="20"/>
                                </w:rPr>
                              </w:pPr>
                              <w:r w:rsidRPr="00AD372E">
                                <w:rPr>
                                  <w:rFonts w:ascii="Arial" w:hAnsi="Arial" w:cs="Arial"/>
                                  <w:color w:val="000000"/>
                                  <w:sz w:val="16"/>
                                  <w:szCs w:val="16"/>
                                </w:rPr>
                                <w:t xml:space="preserve"> </w:t>
                              </w:r>
                              <w:r w:rsidRPr="00190AC4">
                                <w:rPr>
                                  <w:rFonts w:ascii="Arial" w:hAnsi="Arial" w:cs="Arial"/>
                                  <w:color w:val="000000"/>
                                  <w:sz w:val="20"/>
                                  <w:szCs w:val="20"/>
                                </w:rPr>
                                <w:t>deferr</w:t>
                              </w:r>
                              <w:r>
                                <w:rPr>
                                  <w:rFonts w:ascii="Arial" w:hAnsi="Arial" w:cs="Arial"/>
                                  <w:color w:val="000000"/>
                                  <w:sz w:val="20"/>
                                  <w:szCs w:val="20"/>
                                </w:rPr>
                                <w:t>ed tax</w:t>
                              </w:r>
                            </w:p>
                          </w:txbxContent>
                        </v:textbox>
                      </v:shape>
                      <w10:wrap anchory="line"/>
                    </v:group>
                  </w:pict>
                </mc:Fallback>
              </mc:AlternateContent>
            </w:r>
          </w:p>
        </w:tc>
      </w:tr>
    </w:tbl>
    <w:p w:rsidR="00513E33" w:rsidRDefault="00872943" w:rsidP="00872943">
      <w:pPr>
        <w:pStyle w:val="Heading4"/>
      </w:pPr>
      <w:r>
        <w:t>Aggregate budgetary assistance</w:t>
      </w:r>
    </w:p>
    <w:p w:rsidR="004209D4" w:rsidRDefault="004209D4" w:rsidP="004209D4">
      <w:pPr>
        <w:pStyle w:val="BodyText"/>
      </w:pPr>
      <w:r>
        <w:t>The estimated gross value of budgetary assistance to Australian industry was around $</w:t>
      </w:r>
      <w:r w:rsidR="00213045">
        <w:t>9</w:t>
      </w:r>
      <w:r>
        <w:t>.</w:t>
      </w:r>
      <w:r w:rsidR="00483090">
        <w:t>4</w:t>
      </w:r>
      <w:r w:rsidR="00213045">
        <w:t> </w:t>
      </w:r>
      <w:r>
        <w:t>billion in 2011</w:t>
      </w:r>
      <w:r>
        <w:noBreakHyphen/>
        <w:t>12, compared with $</w:t>
      </w:r>
      <w:r w:rsidR="00213045">
        <w:t>9</w:t>
      </w:r>
      <w:r>
        <w:t>.</w:t>
      </w:r>
      <w:r w:rsidR="00213045">
        <w:t>8 </w:t>
      </w:r>
      <w:r>
        <w:t>billion in 2010</w:t>
      </w:r>
      <w:r>
        <w:noBreakHyphen/>
        <w:t>11 and $6.8 billion in 2006</w:t>
      </w:r>
      <w:r>
        <w:noBreakHyphen/>
        <w:t>07 in nominal terms (figure </w:t>
      </w:r>
      <w:r w:rsidR="00AD25B0">
        <w:fldChar w:fldCharType="begin"/>
      </w:r>
      <w:r w:rsidR="00AD25B0">
        <w:instrText xml:space="preserve"> LINK </w:instrText>
      </w:r>
      <w:r w:rsidR="00655E7D">
        <w:instrText xml:space="preserve">Word.Document.12 "\\\\nch1\\esb\\T A R\\2011-12\\AAreport\\12 - Ch2 - Assistance estimates.docx" OLE_LINK4 </w:instrText>
      </w:r>
      <w:r w:rsidR="00AD25B0">
        <w:instrText xml:space="preserve">\a \t \u </w:instrText>
      </w:r>
      <w:r w:rsidR="00AD25B0">
        <w:fldChar w:fldCharType="separate"/>
      </w:r>
      <w:r w:rsidR="00655E7D">
        <w:t>2.3</w:t>
      </w:r>
      <w:r w:rsidR="00AD25B0">
        <w:fldChar w:fldCharType="end"/>
      </w:r>
      <w:r>
        <w:t xml:space="preserve">). In real terms, this represents a decline of </w:t>
      </w:r>
      <w:r w:rsidR="00C925F0">
        <w:t>5</w:t>
      </w:r>
      <w:r w:rsidR="00213045">
        <w:t> </w:t>
      </w:r>
      <w:r>
        <w:t>per cent since 2010</w:t>
      </w:r>
      <w:r>
        <w:noBreakHyphen/>
        <w:t>11</w:t>
      </w:r>
      <w:r w:rsidR="001B4CA4">
        <w:t xml:space="preserve">, but an increase of </w:t>
      </w:r>
      <w:r w:rsidR="00213045">
        <w:t>1</w:t>
      </w:r>
      <w:r w:rsidR="00483090">
        <w:t>6</w:t>
      </w:r>
      <w:r w:rsidR="00213045">
        <w:t> </w:t>
      </w:r>
      <w:r w:rsidR="001B4CA4">
        <w:t>per cent since 2006</w:t>
      </w:r>
      <w:r w:rsidR="007451CF">
        <w:noBreakHyphen/>
      </w:r>
      <w:r w:rsidR="001B4CA4">
        <w:t>07</w:t>
      </w:r>
      <w:r w:rsidR="006B671E">
        <w:t>.</w:t>
      </w:r>
      <w:r w:rsidR="00C925F0">
        <w:t xml:space="preserve"> </w:t>
      </w:r>
    </w:p>
    <w:p w:rsidR="004209D4" w:rsidRDefault="004209D4" w:rsidP="004209D4">
      <w:pPr>
        <w:pStyle w:val="BodyText"/>
      </w:pPr>
      <w:r>
        <w:lastRenderedPageBreak/>
        <w:t xml:space="preserve">The main reasons for the reduction in aggregate budgetary assistance in the last 12 months </w:t>
      </w:r>
      <w:r w:rsidR="001B296B">
        <w:t>are</w:t>
      </w:r>
      <w:r>
        <w:t>:</w:t>
      </w:r>
    </w:p>
    <w:p w:rsidR="004209D4" w:rsidRDefault="004209D4" w:rsidP="00AD09B3">
      <w:pPr>
        <w:pStyle w:val="ListBullet"/>
      </w:pPr>
      <w:r>
        <w:t>a decrease of around $1.</w:t>
      </w:r>
      <w:r w:rsidR="00166449">
        <w:t>7</w:t>
      </w:r>
      <w:r>
        <w:t xml:space="preserve"> billion in </w:t>
      </w:r>
      <w:r w:rsidR="00AD09B3">
        <w:t xml:space="preserve">temporary </w:t>
      </w:r>
      <w:r>
        <w:t xml:space="preserve">assistance </w:t>
      </w:r>
      <w:r w:rsidR="00AD09B3">
        <w:t xml:space="preserve">afforded by </w:t>
      </w:r>
      <w:r>
        <w:t>the Small Business and General Business Tax Break</w:t>
      </w:r>
      <w:r w:rsidR="00AD09B3">
        <w:t xml:space="preserve"> introduced in the 2008</w:t>
      </w:r>
      <w:r w:rsidR="00AD09B3">
        <w:noBreakHyphen/>
        <w:t>09 financial year as part of the Nation Building and Jobs Plan</w:t>
      </w:r>
      <w:r w:rsidR="0052147F">
        <w:t xml:space="preserve"> —</w:t>
      </w:r>
      <w:r w:rsidR="00AD09B3">
        <w:t xml:space="preserve"> </w:t>
      </w:r>
      <w:r w:rsidR="0052147F">
        <w:t>t</w:t>
      </w:r>
      <w:r w:rsidR="00AD09B3">
        <w:t>he concession amounted to $680 million in 2011</w:t>
      </w:r>
      <w:r w:rsidR="00AD09B3">
        <w:noBreakHyphen/>
        <w:t xml:space="preserve">12 compared </w:t>
      </w:r>
      <w:r w:rsidR="005532FE">
        <w:t>with</w:t>
      </w:r>
      <w:r w:rsidR="00AD09B3">
        <w:t xml:space="preserve"> $2.4 billion in 2010</w:t>
      </w:r>
      <w:r w:rsidR="00AD09B3">
        <w:noBreakHyphen/>
        <w:t>11</w:t>
      </w:r>
      <w:r>
        <w:t>;</w:t>
      </w:r>
    </w:p>
    <w:p w:rsidR="004209D4" w:rsidRDefault="004209D4" w:rsidP="004209D4">
      <w:pPr>
        <w:pStyle w:val="ListBullet"/>
      </w:pPr>
      <w:r>
        <w:t>decreases of around $2</w:t>
      </w:r>
      <w:r w:rsidR="00C925F0">
        <w:t>15</w:t>
      </w:r>
      <w:r>
        <w:t> million and $1</w:t>
      </w:r>
      <w:r w:rsidR="00C925F0">
        <w:t>40</w:t>
      </w:r>
      <w:r>
        <w:t> million in Exceptional Circumstances interest rate subsidies and drought relief payments, respectively;</w:t>
      </w:r>
    </w:p>
    <w:p w:rsidR="004209D4" w:rsidRDefault="004209D4" w:rsidP="004209D4">
      <w:pPr>
        <w:pStyle w:val="ListBullet"/>
      </w:pPr>
      <w:r>
        <w:t>the cessation of the Automotive Competitiveness and Investment Scheme in December 2010</w:t>
      </w:r>
      <w:r w:rsidR="00166449">
        <w:t xml:space="preserve">, </w:t>
      </w:r>
      <w:r w:rsidR="00C925F0">
        <w:t xml:space="preserve">although this was </w:t>
      </w:r>
      <w:r w:rsidR="00F864BF">
        <w:t xml:space="preserve">largely </w:t>
      </w:r>
      <w:r w:rsidR="00166449">
        <w:t xml:space="preserve">offset by the introduction of the </w:t>
      </w:r>
      <w:r w:rsidR="005704A2">
        <w:t>Automotive Transformation Scheme;</w:t>
      </w:r>
      <w:r>
        <w:t xml:space="preserve"> and</w:t>
      </w:r>
    </w:p>
    <w:p w:rsidR="004209D4" w:rsidRDefault="004209D4" w:rsidP="004209D4">
      <w:pPr>
        <w:pStyle w:val="ListBullet"/>
      </w:pPr>
      <w:r>
        <w:t>the cessation of a number of other programs that</w:t>
      </w:r>
      <w:r w:rsidR="001B296B">
        <w:t xml:space="preserve"> together</w:t>
      </w:r>
      <w:r>
        <w:t xml:space="preserve"> afforded around $</w:t>
      </w:r>
      <w:r w:rsidR="00F12705">
        <w:t>1</w:t>
      </w:r>
      <w:r w:rsidR="0082066C">
        <w:t>80 </w:t>
      </w:r>
      <w:r>
        <w:t xml:space="preserve">million </w:t>
      </w:r>
      <w:r w:rsidR="001B296B">
        <w:t xml:space="preserve">in budgetary assistance </w:t>
      </w:r>
      <w:r>
        <w:t>in 2010</w:t>
      </w:r>
      <w:r>
        <w:noBreakHyphen/>
        <w:t>11.</w:t>
      </w:r>
    </w:p>
    <w:p w:rsidR="004209D4" w:rsidRDefault="004209D4" w:rsidP="004209D4">
      <w:pPr>
        <w:pStyle w:val="FigureTitle"/>
      </w:pPr>
      <w:r>
        <w:rPr>
          <w:b w:val="0"/>
        </w:rPr>
        <w:t xml:space="preserve">Figure </w:t>
      </w:r>
      <w:bookmarkStart w:id="13" w:name="OLE_LINK4"/>
      <w:r>
        <w:rPr>
          <w:b w:val="0"/>
        </w:rPr>
        <w:fldChar w:fldCharType="begin"/>
      </w:r>
      <w:r>
        <w:rPr>
          <w:b w:val="0"/>
        </w:rPr>
        <w:instrText xml:space="preserve"> COMMENTS  \* MERGEFORMAT </w:instrText>
      </w:r>
      <w:r>
        <w:rPr>
          <w:b w:val="0"/>
        </w:rPr>
        <w:fldChar w:fldCharType="separate"/>
      </w:r>
      <w:r w:rsidR="00655E7D">
        <w:rPr>
          <w:b w:val="0"/>
        </w:rPr>
        <w:t>2.</w:t>
      </w:r>
      <w:r>
        <w:rPr>
          <w:b w:val="0"/>
        </w:rPr>
        <w:fldChar w:fldCharType="end"/>
      </w:r>
      <w:r>
        <w:rPr>
          <w:b w:val="0"/>
        </w:rPr>
        <w:fldChar w:fldCharType="begin"/>
      </w:r>
      <w:r>
        <w:rPr>
          <w:b w:val="0"/>
        </w:rPr>
        <w:instrText xml:space="preserve"> SEQ Figure \* ARABIC </w:instrText>
      </w:r>
      <w:r>
        <w:rPr>
          <w:b w:val="0"/>
        </w:rPr>
        <w:fldChar w:fldCharType="separate"/>
      </w:r>
      <w:r w:rsidR="00E12ECE">
        <w:rPr>
          <w:b w:val="0"/>
          <w:noProof/>
        </w:rPr>
        <w:t>3</w:t>
      </w:r>
      <w:r>
        <w:rPr>
          <w:b w:val="0"/>
        </w:rPr>
        <w:fldChar w:fldCharType="end"/>
      </w:r>
      <w:bookmarkEnd w:id="13"/>
      <w:r>
        <w:tab/>
        <w:t>Budgetary assistance to industry, 2006</w:t>
      </w:r>
      <w:r>
        <w:noBreakHyphen/>
        <w:t>07 to 2011</w:t>
      </w:r>
      <w:r>
        <w:noBreakHyphen/>
        <w:t>12</w:t>
      </w:r>
    </w:p>
    <w:p w:rsidR="004209D4" w:rsidRDefault="004209D4" w:rsidP="004209D4">
      <w:pPr>
        <w:pStyle w:val="Subtitle"/>
      </w:pPr>
      <w:r>
        <w:t>$million (nominal)</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613"/>
      </w:tblGrid>
      <w:tr w:rsidR="004209D4" w:rsidTr="004C0FBA">
        <w:tc>
          <w:tcPr>
            <w:tcW w:w="8613" w:type="dxa"/>
          </w:tcPr>
          <w:p w:rsidR="004209D4" w:rsidRDefault="004C0FBA" w:rsidP="000E117F">
            <w:pPr>
              <w:pStyle w:val="Figure"/>
            </w:pPr>
            <w:r>
              <w:rPr>
                <w:noProof/>
              </w:rPr>
              <w:drawing>
                <wp:inline distT="0" distB="0" distL="0" distR="0" wp14:anchorId="4C44B0F6" wp14:editId="456E8AF4">
                  <wp:extent cx="5309668" cy="3626864"/>
                  <wp:effectExtent l="0" t="0" r="0" b="0"/>
                  <wp:docPr id="4" name="Chart 4" descr="Figure 2.1 Budgetary assistance to industry, 2005-06 to 2010-11. This bar chart graph shows budgetray assistances split into budgetray outlays and tax expenditures. The proportions are roughly equal each yea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4209D4" w:rsidRDefault="00D968E2" w:rsidP="004209D4">
      <w:pPr>
        <w:pStyle w:val="Source"/>
      </w:pPr>
      <w:r>
        <w:rPr>
          <w:i/>
        </w:rPr>
        <w:t>S</w:t>
      </w:r>
      <w:r w:rsidR="004209D4">
        <w:rPr>
          <w:i/>
        </w:rPr>
        <w:t>ource</w:t>
      </w:r>
      <w:r w:rsidR="0052147F">
        <w:rPr>
          <w:i/>
        </w:rPr>
        <w:t>s</w:t>
      </w:r>
      <w:r w:rsidR="004209D4" w:rsidRPr="00167F06">
        <w:t xml:space="preserve">: </w:t>
      </w:r>
      <w:r w:rsidR="004209D4" w:rsidRPr="00E45E0F">
        <w:t>Commonwealth Budget and Budget related papers (various years); departmental annual reports (various years); Australian Government (201</w:t>
      </w:r>
      <w:r w:rsidR="004209D4">
        <w:t>3</w:t>
      </w:r>
      <w:r w:rsidR="0073443E">
        <w:t>a</w:t>
      </w:r>
      <w:r w:rsidR="004209D4" w:rsidRPr="00E45E0F">
        <w:t>); Commission estimates.</w:t>
      </w:r>
      <w:r w:rsidR="004209D4">
        <w:t xml:space="preserve"> </w:t>
      </w:r>
    </w:p>
    <w:p w:rsidR="004209D4" w:rsidRDefault="004209D4" w:rsidP="004209D4">
      <w:pPr>
        <w:pStyle w:val="BodyText"/>
      </w:pPr>
      <w:r>
        <w:t>On the other hand, there were some increases in budgetary assistance totalling around $</w:t>
      </w:r>
      <w:r w:rsidR="00280131">
        <w:t>2.7</w:t>
      </w:r>
      <w:r w:rsidR="005E5AFC">
        <w:t xml:space="preserve"> billion </w:t>
      </w:r>
      <w:r>
        <w:t>in 2011</w:t>
      </w:r>
      <w:r>
        <w:noBreakHyphen/>
        <w:t>12</w:t>
      </w:r>
      <w:r w:rsidR="001B296B">
        <w:t>, including</w:t>
      </w:r>
      <w:r>
        <w:t xml:space="preserve">: </w:t>
      </w:r>
    </w:p>
    <w:p w:rsidR="00280131" w:rsidRDefault="00280131" w:rsidP="00280131">
      <w:pPr>
        <w:pStyle w:val="ListBullet"/>
      </w:pPr>
      <w:r>
        <w:lastRenderedPageBreak/>
        <w:t>$1 billion in transitional assistance under the Energy Security Fund;</w:t>
      </w:r>
      <w:r w:rsidR="00CA256F">
        <w:t xml:space="preserve"> </w:t>
      </w:r>
    </w:p>
    <w:p w:rsidR="00CA256F" w:rsidRDefault="00CA256F" w:rsidP="00280131">
      <w:pPr>
        <w:pStyle w:val="ListBullet"/>
      </w:pPr>
      <w:r>
        <w:t xml:space="preserve">around $219 million and $164 million under the Coal Sector Jobs Package and Steel Transformation Plan, respectively; </w:t>
      </w:r>
    </w:p>
    <w:p w:rsidR="00280131" w:rsidRDefault="00280131" w:rsidP="00280131">
      <w:pPr>
        <w:pStyle w:val="ListBullet"/>
      </w:pPr>
      <w:r>
        <w:t xml:space="preserve">around $288 million under the Automotive Transformation Scheme; </w:t>
      </w:r>
    </w:p>
    <w:p w:rsidR="004209D4" w:rsidRDefault="004209D4" w:rsidP="004209D4">
      <w:pPr>
        <w:pStyle w:val="ListBullet"/>
      </w:pPr>
      <w:r>
        <w:t>around $200 million under the Farm Management Deposits Scheme;</w:t>
      </w:r>
      <w:r w:rsidR="00CA256F">
        <w:t xml:space="preserve"> </w:t>
      </w:r>
    </w:p>
    <w:p w:rsidR="004209D4" w:rsidRDefault="004209D4" w:rsidP="004209D4">
      <w:pPr>
        <w:pStyle w:val="ListBullet"/>
      </w:pPr>
      <w:r>
        <w:t>around $130 million under the Sustainable Rural Water Use and Infrastructure Program;</w:t>
      </w:r>
      <w:r w:rsidR="00CA256F">
        <w:t xml:space="preserve"> and</w:t>
      </w:r>
    </w:p>
    <w:p w:rsidR="004209D4" w:rsidRDefault="004209D4" w:rsidP="004209D4">
      <w:pPr>
        <w:pStyle w:val="ListBullet"/>
      </w:pPr>
      <w:r>
        <w:t>increases of a</w:t>
      </w:r>
      <w:r w:rsidR="00F12705">
        <w:t>round</w:t>
      </w:r>
      <w:r>
        <w:t xml:space="preserve"> $</w:t>
      </w:r>
      <w:r w:rsidR="002E5839">
        <w:t>4</w:t>
      </w:r>
      <w:r w:rsidR="00101B46">
        <w:t>8</w:t>
      </w:r>
      <w:r w:rsidR="00F12705">
        <w:t>5</w:t>
      </w:r>
      <w:r w:rsidR="002E5839">
        <w:t> </w:t>
      </w:r>
      <w:r>
        <w:t>million in other on-going programs.</w:t>
      </w:r>
      <w:r w:rsidR="00CA256F">
        <w:t xml:space="preserve"> </w:t>
      </w:r>
    </w:p>
    <w:p w:rsidR="004209D4" w:rsidRDefault="00220052" w:rsidP="004209D4">
      <w:pPr>
        <w:pStyle w:val="BodyText"/>
      </w:pPr>
      <w:r>
        <w:t xml:space="preserve">Because </w:t>
      </w:r>
      <w:r w:rsidR="004209D4">
        <w:t>not all taxation concessions affording assistance to industry are quantified in the annual TES</w:t>
      </w:r>
      <w:r>
        <w:t>,</w:t>
      </w:r>
      <w:r w:rsidR="004209D4">
        <w:t xml:space="preserve"> </w:t>
      </w:r>
      <w:r>
        <w:t xml:space="preserve">the coverage </w:t>
      </w:r>
      <w:r w:rsidR="00326A9D">
        <w:t xml:space="preserve">of </w:t>
      </w:r>
      <w:r>
        <w:t xml:space="preserve">taxation expenditures </w:t>
      </w:r>
      <w:r w:rsidR="004209D4">
        <w:t>in the assistance estimates</w:t>
      </w:r>
      <w:r w:rsidR="00326A9D">
        <w:t xml:space="preserve"> is limited</w:t>
      </w:r>
      <w:r w:rsidR="004209D4">
        <w:t xml:space="preserve">. In cases where quantification is not practicable, the TES </w:t>
      </w:r>
      <w:r w:rsidR="00326A9D">
        <w:t xml:space="preserve">generally </w:t>
      </w:r>
      <w:r w:rsidR="004209D4">
        <w:t xml:space="preserve">provides indicative ranges within which the value of the concession may fall. The published ranges suggest that gross budgetary assistance to industry could be substantially higher than the assistance estimates reported in this </w:t>
      </w:r>
      <w:r w:rsidR="004209D4" w:rsidRPr="007D1E1F">
        <w:rPr>
          <w:i/>
        </w:rPr>
        <w:t>Review</w:t>
      </w:r>
      <w:r w:rsidR="004209D4">
        <w:t>.</w:t>
      </w:r>
    </w:p>
    <w:p w:rsidR="004209D4" w:rsidRDefault="004209D4" w:rsidP="004209D4">
      <w:pPr>
        <w:pStyle w:val="Heading3"/>
      </w:pPr>
      <w:r>
        <w:t>Activities targeted</w:t>
      </w:r>
    </w:p>
    <w:p w:rsidR="004209D4" w:rsidRDefault="004209D4" w:rsidP="004209D4">
      <w:pPr>
        <w:pStyle w:val="BodyText"/>
      </w:pPr>
      <w:r>
        <w:t xml:space="preserve">Budgetary assistance is often designed to encourage particular activities (such as R&amp;D or exports) or to support particular firms, industries or sectors. To provide an indication of the distribution of assistance among activities and to facilitate more detailed assessments of changes in the composition and nature of assistance, the Commission categorises its estimates of Australian Government budgetary assistance into: </w:t>
      </w:r>
    </w:p>
    <w:p w:rsidR="004209D4" w:rsidRDefault="004209D4" w:rsidP="004209D4">
      <w:pPr>
        <w:pStyle w:val="ListBullet"/>
      </w:pPr>
      <w:r w:rsidRPr="00FB3D2B">
        <w:rPr>
          <w:i/>
        </w:rPr>
        <w:t>R&amp;D</w:t>
      </w:r>
      <w:r w:rsidR="00FB3D2B" w:rsidRPr="00FB3D2B">
        <w:t xml:space="preserve"> measures</w:t>
      </w:r>
      <w:r>
        <w:t xml:space="preserve">, including that undertaken by CSIRO, CRCs and rural R&amp;D corporations, as well as R&amp;D taxation concessions; </w:t>
      </w:r>
    </w:p>
    <w:p w:rsidR="004209D4" w:rsidRDefault="004209D4" w:rsidP="004209D4">
      <w:pPr>
        <w:pStyle w:val="ListBullet"/>
      </w:pPr>
      <w:r w:rsidRPr="00FB3D2B">
        <w:rPr>
          <w:i/>
        </w:rPr>
        <w:t>Export</w:t>
      </w:r>
      <w:r w:rsidRPr="00FB3D2B">
        <w:t xml:space="preserve"> measures</w:t>
      </w:r>
      <w:r>
        <w:t xml:space="preserve">, including through Export Market Development Grants, import duty drawback, TRADEX and Austrade; </w:t>
      </w:r>
    </w:p>
    <w:p w:rsidR="004209D4" w:rsidRDefault="004209D4" w:rsidP="004209D4">
      <w:pPr>
        <w:pStyle w:val="ListBullet"/>
      </w:pPr>
      <w:r w:rsidRPr="00FB3D2B">
        <w:rPr>
          <w:i/>
        </w:rPr>
        <w:t>Investment</w:t>
      </w:r>
      <w:r w:rsidRPr="00FB3D2B">
        <w:t xml:space="preserve"> measures</w:t>
      </w:r>
      <w:r>
        <w:t xml:space="preserve">, including development allowances and several former investment attraction packages; </w:t>
      </w:r>
    </w:p>
    <w:p w:rsidR="004209D4" w:rsidRDefault="004209D4" w:rsidP="004209D4">
      <w:pPr>
        <w:pStyle w:val="ListBullet"/>
      </w:pPr>
      <w:r w:rsidRPr="00FB3D2B">
        <w:rPr>
          <w:i/>
        </w:rPr>
        <w:t>Industry-specific</w:t>
      </w:r>
      <w:r w:rsidRPr="00FB3D2B">
        <w:t xml:space="preserve"> measures</w:t>
      </w:r>
      <w:r>
        <w:t xml:space="preserve">, including the Automotive </w:t>
      </w:r>
      <w:r w:rsidR="00326A9D">
        <w:t>Transformation</w:t>
      </w:r>
      <w:r>
        <w:t xml:space="preserve"> Scheme, the Textiles, Clothing and Footwear Strategic Investment Program, film industry measures and the Offshore Banking Unit </w:t>
      </w:r>
      <w:r w:rsidR="00C91FD9">
        <w:t>Taxation Concession</w:t>
      </w:r>
      <w:r>
        <w:t xml:space="preserve">; </w:t>
      </w:r>
    </w:p>
    <w:p w:rsidR="004209D4" w:rsidRDefault="004209D4" w:rsidP="004209D4">
      <w:pPr>
        <w:pStyle w:val="ListBullet"/>
      </w:pPr>
      <w:r w:rsidRPr="00FB3D2B">
        <w:rPr>
          <w:i/>
        </w:rPr>
        <w:t>Sector-wide</w:t>
      </w:r>
      <w:r w:rsidRPr="00FB3D2B">
        <w:t xml:space="preserve"> measures</w:t>
      </w:r>
      <w:r>
        <w:t xml:space="preserve">, such as ‘exceptional circumstances’ drought relief payments and the tax concessions under the Farm Management Deposits Scheme, in the case of the primary sector; </w:t>
      </w:r>
    </w:p>
    <w:p w:rsidR="004209D4" w:rsidRDefault="004209D4" w:rsidP="004209D4">
      <w:pPr>
        <w:pStyle w:val="ListBullet"/>
      </w:pPr>
      <w:r w:rsidRPr="00FB3D2B">
        <w:rPr>
          <w:i/>
        </w:rPr>
        <w:lastRenderedPageBreak/>
        <w:t>Small business</w:t>
      </w:r>
      <w:r w:rsidRPr="00FB3D2B">
        <w:t xml:space="preserve"> programs</w:t>
      </w:r>
      <w:r>
        <w:t xml:space="preserve">, such as the Small Business and General Business Tax Break, the small business capital gains tax concessions, the 25 per cent Entrepreneurs’ Tax Offset and the Small Business Advisory Services Program; </w:t>
      </w:r>
    </w:p>
    <w:p w:rsidR="004209D4" w:rsidRDefault="004209D4" w:rsidP="004209D4">
      <w:pPr>
        <w:pStyle w:val="ListBullet"/>
      </w:pPr>
      <w:r w:rsidRPr="00FB3D2B">
        <w:rPr>
          <w:i/>
        </w:rPr>
        <w:t>Regional</w:t>
      </w:r>
      <w:r w:rsidRPr="00FB3D2B">
        <w:t xml:space="preserve"> assistance</w:t>
      </w:r>
      <w:r>
        <w:t xml:space="preserve">, including the Tasmanian Freight Equalisation Scheme, Regional Partnerships Program and various structural adjustment programs with a regional focus; and </w:t>
      </w:r>
    </w:p>
    <w:p w:rsidR="004209D4" w:rsidRDefault="004209D4" w:rsidP="004209D4">
      <w:pPr>
        <w:pStyle w:val="ListBullet"/>
      </w:pPr>
      <w:r>
        <w:t xml:space="preserve">a residual </w:t>
      </w:r>
      <w:r w:rsidRPr="00FB3D2B">
        <w:t>‘</w:t>
      </w:r>
      <w:r w:rsidRPr="00FB3D2B">
        <w:rPr>
          <w:i/>
        </w:rPr>
        <w:t>other</w:t>
      </w:r>
      <w:r w:rsidRPr="00FB3D2B">
        <w:t>’</w:t>
      </w:r>
      <w:r w:rsidR="00FB3D2B">
        <w:t xml:space="preserve"> category</w:t>
      </w:r>
      <w:r w:rsidR="00A40901">
        <w:t>,</w:t>
      </w:r>
      <w:r w:rsidR="004A7521">
        <w:t xml:space="preserve"> including the Textiles, </w:t>
      </w:r>
      <w:r w:rsidR="008354DD">
        <w:t>Leather, Clothing and</w:t>
      </w:r>
      <w:r w:rsidR="004A7521">
        <w:t xml:space="preserve"> Footwear </w:t>
      </w:r>
      <w:r w:rsidR="00FB3866">
        <w:t xml:space="preserve">Corporate Wear Program, the Pooled Development Funds initiative, and </w:t>
      </w:r>
      <w:r w:rsidR="004A7521">
        <w:t>the Enterprise Connect Innovation Centres Initiative.</w:t>
      </w:r>
      <w:r w:rsidR="00C374BC">
        <w:t xml:space="preserve"> </w:t>
      </w:r>
    </w:p>
    <w:p w:rsidR="00D26BB5" w:rsidRDefault="00D26BB5" w:rsidP="00D26BB5">
      <w:pPr>
        <w:pStyle w:val="BodyText"/>
      </w:pPr>
      <w:r>
        <w:t>The majority of b</w:t>
      </w:r>
      <w:r w:rsidR="004209D4">
        <w:t>udgetary assistance in 2011</w:t>
      </w:r>
      <w:r w:rsidR="004209D4">
        <w:noBreakHyphen/>
        <w:t>12 was</w:t>
      </w:r>
      <w:r>
        <w:t xml:space="preserve"> directed to specific industries (31 per cent); </w:t>
      </w:r>
      <w:r w:rsidR="004209D4">
        <w:t>R&amp;D (</w:t>
      </w:r>
      <w:r w:rsidR="002F7208">
        <w:t>2</w:t>
      </w:r>
      <w:r w:rsidR="001002E7">
        <w:t>8</w:t>
      </w:r>
      <w:r w:rsidR="002F7208">
        <w:t> </w:t>
      </w:r>
      <w:r w:rsidR="004209D4">
        <w:t>per</w:t>
      </w:r>
      <w:r w:rsidR="00BB2476">
        <w:t> </w:t>
      </w:r>
      <w:r w:rsidR="004209D4">
        <w:t>cent)</w:t>
      </w:r>
      <w:r w:rsidR="002F7208">
        <w:t xml:space="preserve">, </w:t>
      </w:r>
      <w:r w:rsidR="00440F1D">
        <w:t>and</w:t>
      </w:r>
      <w:r>
        <w:t xml:space="preserve"> </w:t>
      </w:r>
      <w:r w:rsidR="004209D4">
        <w:t>small business</w:t>
      </w:r>
      <w:r w:rsidR="002F7208">
        <w:t xml:space="preserve"> </w:t>
      </w:r>
      <w:r w:rsidR="004209D4">
        <w:t>(</w:t>
      </w:r>
      <w:r w:rsidR="002F7208">
        <w:t>2</w:t>
      </w:r>
      <w:r w:rsidR="001002E7">
        <w:t>2</w:t>
      </w:r>
      <w:r w:rsidR="002F7208">
        <w:t> </w:t>
      </w:r>
      <w:r w:rsidR="004209D4">
        <w:t>per</w:t>
      </w:r>
      <w:r w:rsidR="00BB2476">
        <w:t> </w:t>
      </w:r>
      <w:r w:rsidR="004209D4">
        <w:t>cent) (figure</w:t>
      </w:r>
      <w:r w:rsidR="007D1E1F">
        <w:t> </w:t>
      </w:r>
      <w:r w:rsidR="00AD25B0">
        <w:fldChar w:fldCharType="begin"/>
      </w:r>
      <w:r w:rsidR="00AD25B0">
        <w:instrText xml:space="preserve"> LINK </w:instrText>
      </w:r>
      <w:r w:rsidR="00655E7D">
        <w:instrText xml:space="preserve">Word.Document.12 "\\\\nch1\\esb\\T A R\\2011-12\\AAreport\\12 - Ch2 - Assistance estimates.docx" OLE_LINK13 </w:instrText>
      </w:r>
      <w:r w:rsidR="00AD25B0">
        <w:instrText xml:space="preserve">\a \t \u </w:instrText>
      </w:r>
      <w:r w:rsidR="00AD25B0">
        <w:fldChar w:fldCharType="separate"/>
      </w:r>
      <w:r w:rsidR="00655E7D">
        <w:t>2.4</w:t>
      </w:r>
      <w:r w:rsidR="00AD25B0">
        <w:fldChar w:fldCharType="end"/>
      </w:r>
      <w:r w:rsidR="004209D4">
        <w:t>, right hand panel). Th</w:t>
      </w:r>
      <w:r>
        <w:t xml:space="preserve">is division </w:t>
      </w:r>
      <w:r w:rsidR="004209D4">
        <w:t xml:space="preserve">of budgetary assistance to industry </w:t>
      </w:r>
      <w:r>
        <w:t>in 2011</w:t>
      </w:r>
      <w:r>
        <w:noBreakHyphen/>
        <w:t xml:space="preserve">12 is broadly similar to the division in </w:t>
      </w:r>
      <w:r w:rsidR="00344B04">
        <w:t>2006</w:t>
      </w:r>
      <w:r w:rsidR="001002E7">
        <w:noBreakHyphen/>
      </w:r>
      <w:r w:rsidR="00344B04">
        <w:t>07 (figure </w:t>
      </w:r>
      <w:r w:rsidR="00AD25B0">
        <w:fldChar w:fldCharType="begin"/>
      </w:r>
      <w:r w:rsidR="00AD25B0">
        <w:instrText xml:space="preserve"> LINK </w:instrText>
      </w:r>
      <w:r w:rsidR="00655E7D">
        <w:instrText xml:space="preserve">Word.Document.12 "\\\\nch1\\esb\\T A R\\2011-12\\AAreport\\12 - Ch2 - Assistance estimates.docx" OLE_LINK13 </w:instrText>
      </w:r>
      <w:r w:rsidR="00AD25B0">
        <w:instrText xml:space="preserve">\a \t \u </w:instrText>
      </w:r>
      <w:r w:rsidR="00AD25B0">
        <w:fldChar w:fldCharType="separate"/>
      </w:r>
      <w:r w:rsidR="00655E7D">
        <w:t>2.4</w:t>
      </w:r>
      <w:r w:rsidR="00AD25B0">
        <w:fldChar w:fldCharType="end"/>
      </w:r>
      <w:r w:rsidR="0052147F">
        <w:t>, left hand panel</w:t>
      </w:r>
      <w:r w:rsidR="001002E7">
        <w:t>)</w:t>
      </w:r>
      <w:r>
        <w:t xml:space="preserve"> though there have been </w:t>
      </w:r>
      <w:r w:rsidR="00EE6AE6">
        <w:t xml:space="preserve">substantial </w:t>
      </w:r>
      <w:r>
        <w:t>variations in the intervening years</w:t>
      </w:r>
      <w:r w:rsidR="004209D4">
        <w:t xml:space="preserve">. </w:t>
      </w:r>
      <w:r w:rsidR="00EE6AE6">
        <w:t>In particular</w:t>
      </w:r>
      <w:r>
        <w:t>, w</w:t>
      </w:r>
      <w:r w:rsidRPr="00893B9E">
        <w:t>ith the unwinding of the temporary tax breaks</w:t>
      </w:r>
      <w:r w:rsidR="00EE6AE6">
        <w:t xml:space="preserve"> to small business introduced in 2008</w:t>
      </w:r>
      <w:r>
        <w:t>,</w:t>
      </w:r>
      <w:r w:rsidRPr="00893B9E">
        <w:t xml:space="preserve"> the relative importance of assistance to small business is estimated to have declined from </w:t>
      </w:r>
      <w:r>
        <w:t>nearly</w:t>
      </w:r>
      <w:r w:rsidRPr="00893B9E">
        <w:t xml:space="preserve"> 40</w:t>
      </w:r>
      <w:r>
        <w:t> </w:t>
      </w:r>
      <w:r w:rsidRPr="00893B9E">
        <w:t>per</w:t>
      </w:r>
      <w:r>
        <w:t> </w:t>
      </w:r>
      <w:r w:rsidRPr="00893B9E">
        <w:t>cent of total budgetary assistance to industry in 2010</w:t>
      </w:r>
      <w:r>
        <w:noBreakHyphen/>
      </w:r>
      <w:r w:rsidRPr="00893B9E">
        <w:t xml:space="preserve">11 </w:t>
      </w:r>
      <w:r>
        <w:t>(as reported in the 2010</w:t>
      </w:r>
      <w:r>
        <w:noBreakHyphen/>
        <w:t xml:space="preserve">11 </w:t>
      </w:r>
      <w:r w:rsidRPr="00115B98">
        <w:rPr>
          <w:i/>
        </w:rPr>
        <w:t>Review</w:t>
      </w:r>
      <w:r>
        <w:t xml:space="preserve">) </w:t>
      </w:r>
      <w:r w:rsidRPr="00893B9E">
        <w:t xml:space="preserve">to around one </w:t>
      </w:r>
      <w:r>
        <w:t>quarter</w:t>
      </w:r>
      <w:r w:rsidRPr="00893B9E">
        <w:t xml:space="preserve"> </w:t>
      </w:r>
      <w:r>
        <w:t>reported for</w:t>
      </w:r>
      <w:r w:rsidRPr="00893B9E">
        <w:t xml:space="preserve"> 2011</w:t>
      </w:r>
      <w:r>
        <w:noBreakHyphen/>
      </w:r>
      <w:r w:rsidRPr="00893B9E">
        <w:t>12</w:t>
      </w:r>
      <w:r>
        <w:t xml:space="preserve"> (figure </w:t>
      </w:r>
      <w:r w:rsidR="00AD25B0">
        <w:fldChar w:fldCharType="begin"/>
      </w:r>
      <w:r w:rsidR="00AD25B0">
        <w:instrText xml:space="preserve"> LINK </w:instrText>
      </w:r>
      <w:r w:rsidR="00655E7D">
        <w:instrText xml:space="preserve">Word.Document.12 "\\\\nch1\\esb\\T A R\\2011-12\\AAreport\\12 - Ch2 - Assistance estimates.docx" OLE_LINK13 </w:instrText>
      </w:r>
      <w:r w:rsidR="00AD25B0">
        <w:instrText xml:space="preserve">\a \t \u </w:instrText>
      </w:r>
      <w:r w:rsidR="00AD25B0">
        <w:fldChar w:fldCharType="separate"/>
      </w:r>
      <w:r w:rsidR="00655E7D">
        <w:t>2.4</w:t>
      </w:r>
      <w:r w:rsidR="00AD25B0">
        <w:fldChar w:fldCharType="end"/>
      </w:r>
      <w:r>
        <w:t>, right hand panel)</w:t>
      </w:r>
      <w:r w:rsidRPr="00893B9E">
        <w:t xml:space="preserve">. </w:t>
      </w:r>
      <w:r>
        <w:t>The introduction of the Clean Energy Future Plan</w:t>
      </w:r>
      <w:r w:rsidR="00EE6AE6">
        <w:t>, which involves targeted assistance to qualifying activities and industries</w:t>
      </w:r>
      <w:r>
        <w:t xml:space="preserve"> has seen the share of industry-specific assistance increased significantly from 15 per cent </w:t>
      </w:r>
      <w:r w:rsidR="00EE6AE6">
        <w:t xml:space="preserve">of budgetary assistance </w:t>
      </w:r>
      <w:r>
        <w:t>in 2010</w:t>
      </w:r>
      <w:r>
        <w:noBreakHyphen/>
        <w:t>11 to over 30 per cent in 2011</w:t>
      </w:r>
      <w:r>
        <w:noBreakHyphen/>
        <w:t xml:space="preserve">12. </w:t>
      </w:r>
    </w:p>
    <w:p w:rsidR="00BC656C" w:rsidRDefault="00BC656C" w:rsidP="00BC656C">
      <w:pPr>
        <w:pStyle w:val="BodyText"/>
      </w:pPr>
      <w:r>
        <w:t>A number of budgetary measures included in the estimates relate to carbon emissions reduction, renewable energy and energy goals. These measures support a range of activities that span R&amp;D, industry-specific, sector-specific and other measures. The measures amounted to around $1.7 billion (18 per cent) of estimated budgetary assistance in 2011</w:t>
      </w:r>
      <w:r>
        <w:noBreakHyphen/>
        <w:t>12, around $1.4 billion higher than in 2010</w:t>
      </w:r>
      <w:r>
        <w:noBreakHyphen/>
        <w:t xml:space="preserve">11. The increase is largely on account of the Australian Government’s newly introduced Clean Energy Future Plan. </w:t>
      </w:r>
    </w:p>
    <w:p w:rsidR="00655E7D" w:rsidRDefault="00655E7D" w:rsidP="00655E7D">
      <w:pPr>
        <w:pStyle w:val="BodyText"/>
      </w:pPr>
      <w:r>
        <w:t xml:space="preserve">Some caution is required when interpreting these shares. While programs have been allocated to one category only (based on the nature of the support and main activities assessed as receiving that support), some have characteristics that relate to more than one category. For example, the R&amp;D category includes rural R&amp;D, which could also be considered sector specific. </w:t>
      </w:r>
    </w:p>
    <w:p w:rsidR="00655E7D" w:rsidRDefault="00655E7D" w:rsidP="00BC656C">
      <w:pPr>
        <w:pStyle w:val="BodyText"/>
      </w:pPr>
    </w:p>
    <w:p w:rsidR="00BC656C" w:rsidRDefault="00BC656C" w:rsidP="00D26BB5">
      <w:pPr>
        <w:pStyle w:val="BodyText"/>
      </w:pPr>
    </w:p>
    <w:p w:rsidR="004209D4" w:rsidRDefault="004209D4" w:rsidP="00B151BD">
      <w:pPr>
        <w:pStyle w:val="FigureTitle"/>
      </w:pPr>
      <w:r w:rsidRPr="00B151BD">
        <w:rPr>
          <w:b w:val="0"/>
        </w:rPr>
        <w:lastRenderedPageBreak/>
        <w:t xml:space="preserve">Figure </w:t>
      </w:r>
      <w:bookmarkStart w:id="14" w:name="OLE_LINK13"/>
      <w:r w:rsidRPr="00B151BD">
        <w:rPr>
          <w:b w:val="0"/>
        </w:rPr>
        <w:fldChar w:fldCharType="begin"/>
      </w:r>
      <w:r w:rsidRPr="00B151BD">
        <w:rPr>
          <w:b w:val="0"/>
        </w:rPr>
        <w:instrText xml:space="preserve"> COMMENTS  \* MERGEFORMAT </w:instrText>
      </w:r>
      <w:r w:rsidRPr="00B151BD">
        <w:rPr>
          <w:b w:val="0"/>
        </w:rPr>
        <w:fldChar w:fldCharType="separate"/>
      </w:r>
      <w:r w:rsidR="00655E7D">
        <w:rPr>
          <w:b w:val="0"/>
        </w:rPr>
        <w:t>2.</w:t>
      </w:r>
      <w:r w:rsidRPr="00B151BD">
        <w:rPr>
          <w:b w:val="0"/>
        </w:rPr>
        <w:fldChar w:fldCharType="end"/>
      </w:r>
      <w:r w:rsidR="000E0112" w:rsidRPr="00B151BD">
        <w:rPr>
          <w:b w:val="0"/>
        </w:rPr>
        <w:fldChar w:fldCharType="begin"/>
      </w:r>
      <w:r w:rsidR="000E0112" w:rsidRPr="00B151BD">
        <w:rPr>
          <w:b w:val="0"/>
        </w:rPr>
        <w:instrText xml:space="preserve"> SEQ Figure \* ARABIC </w:instrText>
      </w:r>
      <w:r w:rsidR="000E0112" w:rsidRPr="00B151BD">
        <w:rPr>
          <w:b w:val="0"/>
        </w:rPr>
        <w:fldChar w:fldCharType="separate"/>
      </w:r>
      <w:r w:rsidR="00E12ECE">
        <w:rPr>
          <w:b w:val="0"/>
          <w:noProof/>
        </w:rPr>
        <w:t>4</w:t>
      </w:r>
      <w:r w:rsidR="000E0112" w:rsidRPr="00B151BD">
        <w:rPr>
          <w:b w:val="0"/>
          <w:noProof/>
        </w:rPr>
        <w:fldChar w:fldCharType="end"/>
      </w:r>
      <w:bookmarkEnd w:id="14"/>
      <w:r>
        <w:tab/>
        <w:t>Budgetary assistance by category, 2006</w:t>
      </w:r>
      <w:r>
        <w:noBreakHyphen/>
        <w:t>07 and 2011</w:t>
      </w:r>
      <w:r>
        <w:noBreakHyphen/>
        <w:t>12</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4388"/>
        <w:gridCol w:w="4389"/>
      </w:tblGrid>
      <w:tr w:rsidR="004209D4" w:rsidRPr="00655E7D" w:rsidTr="000E117F">
        <w:trPr>
          <w:trHeight w:val="444"/>
        </w:trPr>
        <w:tc>
          <w:tcPr>
            <w:tcW w:w="4388" w:type="dxa"/>
          </w:tcPr>
          <w:p w:rsidR="004209D4" w:rsidRPr="00655E7D" w:rsidRDefault="004209D4" w:rsidP="000E117F">
            <w:pPr>
              <w:pStyle w:val="Figure"/>
              <w:rPr>
                <w:i/>
                <w:szCs w:val="24"/>
              </w:rPr>
            </w:pPr>
            <w:r w:rsidRPr="00655E7D">
              <w:rPr>
                <w:rFonts w:ascii="Arial" w:hAnsi="Arial" w:cs="Arial"/>
                <w:i/>
                <w:sz w:val="20"/>
              </w:rPr>
              <w:t>2006-07</w:t>
            </w:r>
          </w:p>
        </w:tc>
        <w:tc>
          <w:tcPr>
            <w:tcW w:w="4389" w:type="dxa"/>
          </w:tcPr>
          <w:p w:rsidR="004209D4" w:rsidRPr="00655E7D" w:rsidRDefault="004209D4" w:rsidP="000E117F">
            <w:pPr>
              <w:pStyle w:val="Figure"/>
              <w:rPr>
                <w:rFonts w:ascii="Arial" w:hAnsi="Arial" w:cs="Arial"/>
                <w:i/>
                <w:sz w:val="20"/>
              </w:rPr>
            </w:pPr>
            <w:r w:rsidRPr="00655E7D">
              <w:rPr>
                <w:rFonts w:ascii="Arial" w:hAnsi="Arial" w:cs="Arial"/>
                <w:i/>
                <w:sz w:val="20"/>
              </w:rPr>
              <w:t>2011-12</w:t>
            </w:r>
          </w:p>
        </w:tc>
      </w:tr>
      <w:tr w:rsidR="004209D4" w:rsidTr="00B1232F">
        <w:tblPrEx>
          <w:tblCellMar>
            <w:left w:w="108" w:type="dxa"/>
            <w:right w:w="108" w:type="dxa"/>
          </w:tblCellMar>
        </w:tblPrEx>
        <w:tc>
          <w:tcPr>
            <w:tcW w:w="4388" w:type="dxa"/>
          </w:tcPr>
          <w:p w:rsidR="004209D4" w:rsidDel="0092676F" w:rsidRDefault="00B1232F" w:rsidP="000E117F">
            <w:pPr>
              <w:pStyle w:val="Figure"/>
            </w:pPr>
            <w:r>
              <w:rPr>
                <w:noProof/>
              </w:rPr>
              <w:drawing>
                <wp:inline distT="0" distB="0" distL="0" distR="0" wp14:anchorId="0C5A315F" wp14:editId="7B24B365">
                  <wp:extent cx="2689412" cy="2919932"/>
                  <wp:effectExtent l="0" t="0" r="0" b="0"/>
                  <wp:docPr id="8" name="Chart 8" descr="Figure 2.4.  Budgetary assistance by category, 2006-07. This pie graph is described in the surrounding text."/>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4389" w:type="dxa"/>
          </w:tcPr>
          <w:p w:rsidR="004209D4" w:rsidRDefault="00B1232F" w:rsidP="000E117F">
            <w:pPr>
              <w:pStyle w:val="Figure"/>
              <w:rPr>
                <w:i/>
                <w:szCs w:val="24"/>
              </w:rPr>
            </w:pPr>
            <w:r>
              <w:rPr>
                <w:noProof/>
              </w:rPr>
              <w:drawing>
                <wp:inline distT="0" distB="0" distL="0" distR="0" wp14:anchorId="28262593" wp14:editId="5A7C4AE6">
                  <wp:extent cx="2704779" cy="2919932"/>
                  <wp:effectExtent l="0" t="0" r="635" b="0"/>
                  <wp:docPr id="1" name="Chart 1" descr="Figure 2.4. Budgetary assistance by category, 2011-12. This pie graph is decribed in the surrounding text.&#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D41313" w:rsidRPr="00D41313" w:rsidRDefault="00D968E2" w:rsidP="00D41313">
      <w:pPr>
        <w:pStyle w:val="Source"/>
        <w:rPr>
          <w:rStyle w:val="DraftingNote"/>
          <w:b w:val="0"/>
          <w:color w:val="auto"/>
          <w:sz w:val="18"/>
          <w:u w:val="none"/>
        </w:rPr>
      </w:pPr>
      <w:r>
        <w:rPr>
          <w:i/>
        </w:rPr>
        <w:t>S</w:t>
      </w:r>
      <w:r w:rsidR="004209D4">
        <w:rPr>
          <w:i/>
        </w:rPr>
        <w:t>ource</w:t>
      </w:r>
      <w:r w:rsidR="004209D4" w:rsidRPr="00167F06">
        <w:t xml:space="preserve">: </w:t>
      </w:r>
      <w:r w:rsidR="00D41313">
        <w:t xml:space="preserve">Commission estimates. </w:t>
      </w:r>
    </w:p>
    <w:p w:rsidR="0029147F" w:rsidRDefault="0029147F" w:rsidP="0029147F">
      <w:pPr>
        <w:pStyle w:val="Heading3"/>
      </w:pPr>
      <w:r>
        <w:t>Sectoral and industry distribution</w:t>
      </w:r>
    </w:p>
    <w:p w:rsidR="00A406AC" w:rsidRDefault="00A406AC" w:rsidP="00A406AC">
      <w:pPr>
        <w:pStyle w:val="BodyText"/>
      </w:pPr>
      <w:r>
        <w:t xml:space="preserve">The Commission records the incidence of budgetary assistance by the initial benefiting industry, that is, the industry </w:t>
      </w:r>
      <w:r w:rsidR="00DB63DC">
        <w:t xml:space="preserve">to </w:t>
      </w:r>
      <w:r>
        <w:t>which the assistance first</w:t>
      </w:r>
      <w:r w:rsidR="00DB63DC">
        <w:t xml:space="preserve"> accrues</w:t>
      </w:r>
      <w:r>
        <w:t>. Estimates are presented for</w:t>
      </w:r>
      <w:r w:rsidR="00D968E2">
        <w:t xml:space="preserve"> 34 </w:t>
      </w:r>
      <w:r>
        <w:t xml:space="preserve">industry groupings, while four ‘unallocated’ categories are used for programs for which it has not been possible to confidently identify the initial </w:t>
      </w:r>
      <w:r w:rsidR="00FA2659">
        <w:t>benefiting industry or sector.</w:t>
      </w:r>
      <w:r w:rsidR="004C765A">
        <w:t xml:space="preserve"> </w:t>
      </w:r>
    </w:p>
    <w:p w:rsidR="00ED426A" w:rsidRDefault="00A406AC" w:rsidP="00ED426A">
      <w:pPr>
        <w:pStyle w:val="BodyText"/>
      </w:pPr>
      <w:r>
        <w:t>In 201</w:t>
      </w:r>
      <w:r w:rsidR="00FA2659">
        <w:t>1</w:t>
      </w:r>
      <w:r w:rsidR="00FA2659">
        <w:noBreakHyphen/>
      </w:r>
      <w:r>
        <w:t>1</w:t>
      </w:r>
      <w:r w:rsidR="00FA2659">
        <w:t>2</w:t>
      </w:r>
      <w:r>
        <w:t xml:space="preserve">, the services sector is estimated to have received around </w:t>
      </w:r>
      <w:r w:rsidR="004C765A">
        <w:t>4</w:t>
      </w:r>
      <w:r w:rsidR="00E623DF">
        <w:t>5</w:t>
      </w:r>
      <w:r w:rsidR="00FA2659">
        <w:t> </w:t>
      </w:r>
      <w:r>
        <w:t>per</w:t>
      </w:r>
      <w:r w:rsidR="00FA2659">
        <w:t> </w:t>
      </w:r>
      <w:r>
        <w:t xml:space="preserve">cent of estimated budgetary assistance; </w:t>
      </w:r>
      <w:r w:rsidR="00FA2659">
        <w:t>up</w:t>
      </w:r>
      <w:r>
        <w:t xml:space="preserve"> from around 3</w:t>
      </w:r>
      <w:r w:rsidR="00FA2659">
        <w:t>4 </w:t>
      </w:r>
      <w:r>
        <w:t>per</w:t>
      </w:r>
      <w:r w:rsidR="00FA2659">
        <w:t> </w:t>
      </w:r>
      <w:r>
        <w:t>cent in 200</w:t>
      </w:r>
      <w:r w:rsidR="00FA2659">
        <w:t>6</w:t>
      </w:r>
      <w:r w:rsidR="00FA2659">
        <w:noBreakHyphen/>
      </w:r>
      <w:r>
        <w:t>0</w:t>
      </w:r>
      <w:r w:rsidR="00FA2659">
        <w:t>7 (figure</w:t>
      </w:r>
      <w:r w:rsidR="00415467">
        <w:t> </w:t>
      </w:r>
      <w:r w:rsidR="00796F18">
        <w:fldChar w:fldCharType="begin"/>
      </w:r>
      <w:r w:rsidR="00796F18">
        <w:instrText xml:space="preserve"> LINK </w:instrText>
      </w:r>
      <w:r w:rsidR="00655E7D">
        <w:instrText xml:space="preserve">Word.Document.12 "\\\\nch1\\esb\\T A R\\2011-12\\AAreport\\12 - Ch2 - Assistance estimates.docx" OLE_LINK14 </w:instrText>
      </w:r>
      <w:r w:rsidR="00796F18">
        <w:instrText xml:space="preserve">\a \t \u </w:instrText>
      </w:r>
      <w:r w:rsidR="00796F18">
        <w:fldChar w:fldCharType="separate"/>
      </w:r>
      <w:r w:rsidR="00655E7D">
        <w:t>2.5</w:t>
      </w:r>
      <w:r w:rsidR="00796F18">
        <w:fldChar w:fldCharType="end"/>
      </w:r>
      <w:r w:rsidR="00FA2659">
        <w:t>).</w:t>
      </w:r>
      <w:r w:rsidR="00415467">
        <w:t xml:space="preserve"> </w:t>
      </w:r>
      <w:r w:rsidR="00ED426A">
        <w:t>The manufacturing and primary production sectors, which together contribute about 12 per cent of value added, received around one third of total estimated budgetary assistance in 2011</w:t>
      </w:r>
      <w:r w:rsidR="00ED426A">
        <w:noBreakHyphen/>
        <w:t xml:space="preserve">12, while the mining sector received relatively little measured </w:t>
      </w:r>
      <w:r w:rsidR="00C91FD9">
        <w:t xml:space="preserve">budgetary </w:t>
      </w:r>
      <w:r w:rsidR="00ED426A">
        <w:t xml:space="preserve">assistance. While it has been practicable to assign an initial benefiting industry to </w:t>
      </w:r>
      <w:r w:rsidR="0052147F">
        <w:t xml:space="preserve">over 80 per cent </w:t>
      </w:r>
      <w:r w:rsidR="00ED426A">
        <w:t>of budgetary assistance, the proportion not assigned to a benefiting industry has increased.</w:t>
      </w:r>
      <w:r w:rsidR="004C765A">
        <w:t xml:space="preserve"> </w:t>
      </w:r>
    </w:p>
    <w:p w:rsidR="00040F7D" w:rsidRDefault="008B3550" w:rsidP="00FA2659">
      <w:pPr>
        <w:pStyle w:val="FigureTitle"/>
      </w:pPr>
      <w:r>
        <w:rPr>
          <w:b w:val="0"/>
        </w:rPr>
        <w:lastRenderedPageBreak/>
        <w:t xml:space="preserve">Figure </w:t>
      </w:r>
      <w:bookmarkStart w:id="15" w:name="OLE_LINK14"/>
      <w:r>
        <w:fldChar w:fldCharType="begin"/>
      </w:r>
      <w:r>
        <w:rPr>
          <w:b w:val="0"/>
        </w:rPr>
        <w:instrText xml:space="preserve"> COMMENTS  \* MERGEFORMAT </w:instrText>
      </w:r>
      <w:r>
        <w:fldChar w:fldCharType="separate"/>
      </w:r>
      <w:r w:rsidR="00655E7D">
        <w:rPr>
          <w:b w:val="0"/>
        </w:rPr>
        <w:t>2.</w:t>
      </w:r>
      <w:r>
        <w:fldChar w:fldCharType="end"/>
      </w:r>
      <w:r>
        <w:fldChar w:fldCharType="begin"/>
      </w:r>
      <w:r>
        <w:rPr>
          <w:b w:val="0"/>
        </w:rPr>
        <w:instrText xml:space="preserve"> SEQ Figure \* ARABIC </w:instrText>
      </w:r>
      <w:r>
        <w:fldChar w:fldCharType="separate"/>
      </w:r>
      <w:r w:rsidR="00E12ECE">
        <w:rPr>
          <w:b w:val="0"/>
          <w:noProof/>
        </w:rPr>
        <w:t>5</w:t>
      </w:r>
      <w:r>
        <w:fldChar w:fldCharType="end"/>
      </w:r>
      <w:bookmarkEnd w:id="15"/>
      <w:r>
        <w:tab/>
      </w:r>
      <w:r w:rsidR="000567A8">
        <w:t xml:space="preserve">Budgetary assistance by </w:t>
      </w:r>
      <w:r w:rsidR="001D3023">
        <w:t xml:space="preserve">industry </w:t>
      </w:r>
      <w:r w:rsidR="000567A8">
        <w:t>sector, 2006</w:t>
      </w:r>
      <w:r w:rsidR="000567A8">
        <w:noBreakHyphen/>
        <w:t>07 and 2011</w:t>
      </w:r>
      <w:r w:rsidR="000567A8">
        <w:noBreakHyphen/>
        <w:t>12</w:t>
      </w:r>
    </w:p>
    <w:tbl>
      <w:tblPr>
        <w:tblW w:w="0" w:type="auto"/>
        <w:jc w:val="center"/>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4399"/>
        <w:gridCol w:w="4389"/>
      </w:tblGrid>
      <w:tr w:rsidR="001735BC" w:rsidRPr="00761879" w:rsidTr="00FA2659">
        <w:trPr>
          <w:trHeight w:val="114"/>
          <w:jc w:val="center"/>
        </w:trPr>
        <w:tc>
          <w:tcPr>
            <w:tcW w:w="4399" w:type="dxa"/>
          </w:tcPr>
          <w:p w:rsidR="001735BC" w:rsidRPr="00761879" w:rsidRDefault="00287173" w:rsidP="00FA2659">
            <w:pPr>
              <w:pStyle w:val="Figure"/>
              <w:spacing w:line="240" w:lineRule="auto"/>
              <w:rPr>
                <w:rFonts w:ascii="Arial" w:hAnsi="Arial" w:cs="Arial"/>
                <w:i/>
                <w:sz w:val="20"/>
              </w:rPr>
            </w:pPr>
            <w:r w:rsidRPr="00761879">
              <w:rPr>
                <w:rFonts w:ascii="Arial" w:hAnsi="Arial" w:cs="Arial"/>
                <w:i/>
                <w:sz w:val="20"/>
              </w:rPr>
              <w:t>2006-07</w:t>
            </w:r>
          </w:p>
        </w:tc>
        <w:tc>
          <w:tcPr>
            <w:tcW w:w="4389" w:type="dxa"/>
          </w:tcPr>
          <w:p w:rsidR="001735BC" w:rsidRPr="00761879" w:rsidRDefault="00287173" w:rsidP="00FA2659">
            <w:pPr>
              <w:pStyle w:val="Figure"/>
              <w:spacing w:line="240" w:lineRule="auto"/>
              <w:rPr>
                <w:rFonts w:ascii="Arial" w:hAnsi="Arial" w:cs="Arial"/>
                <w:i/>
                <w:sz w:val="20"/>
              </w:rPr>
            </w:pPr>
            <w:r w:rsidRPr="00761879">
              <w:rPr>
                <w:rFonts w:ascii="Arial" w:hAnsi="Arial" w:cs="Arial"/>
                <w:i/>
                <w:sz w:val="20"/>
              </w:rPr>
              <w:t>2011-12</w:t>
            </w:r>
          </w:p>
        </w:tc>
      </w:tr>
      <w:tr w:rsidR="001735BC" w:rsidRPr="00287173" w:rsidTr="006E6FC1">
        <w:tblPrEx>
          <w:tblCellMar>
            <w:left w:w="108" w:type="dxa"/>
            <w:right w:w="108" w:type="dxa"/>
          </w:tblCellMar>
        </w:tblPrEx>
        <w:trPr>
          <w:trHeight w:val="113"/>
          <w:jc w:val="center"/>
        </w:trPr>
        <w:tc>
          <w:tcPr>
            <w:tcW w:w="4399" w:type="dxa"/>
          </w:tcPr>
          <w:p w:rsidR="001735BC" w:rsidRPr="00FA2659" w:rsidRDefault="003E7E2F" w:rsidP="00FA2659">
            <w:pPr>
              <w:pStyle w:val="Figure"/>
              <w:spacing w:line="240" w:lineRule="auto"/>
              <w:rPr>
                <w:rFonts w:ascii="Arial" w:hAnsi="Arial" w:cs="Arial"/>
                <w:sz w:val="20"/>
              </w:rPr>
            </w:pPr>
            <w:r>
              <w:rPr>
                <w:noProof/>
              </w:rPr>
              <w:drawing>
                <wp:inline distT="0" distB="0" distL="0" distR="0" wp14:anchorId="64A340E2" wp14:editId="65FD19BB">
                  <wp:extent cx="2700000" cy="2880000"/>
                  <wp:effectExtent l="0" t="0" r="5715" b="0"/>
                  <wp:docPr id="2" name="Chart 2" descr="Figure 2.4 Budgetray assistance by sector, 2005-06 and 2010-11. This pie graph is decsribed in the surrounding text."/>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c>
          <w:tcPr>
            <w:tcW w:w="4389" w:type="dxa"/>
          </w:tcPr>
          <w:p w:rsidR="001735BC" w:rsidRPr="00FA2659" w:rsidRDefault="006E6FC1" w:rsidP="00EE229C">
            <w:pPr>
              <w:pStyle w:val="Figure"/>
              <w:keepLines/>
              <w:framePr w:w="2155" w:hSpace="227" w:vSpace="181" w:wrap="around" w:vAnchor="text" w:hAnchor="page" w:xAlign="outside" w:y="1"/>
              <w:spacing w:line="240" w:lineRule="auto"/>
              <w:rPr>
                <w:rFonts w:ascii="Arial" w:hAnsi="Arial" w:cs="Arial"/>
                <w:sz w:val="20"/>
              </w:rPr>
            </w:pPr>
            <w:r>
              <w:rPr>
                <w:noProof/>
              </w:rPr>
              <w:drawing>
                <wp:inline distT="0" distB="0" distL="0" distR="0" wp14:anchorId="4468064D" wp14:editId="65C68B37">
                  <wp:extent cx="2700000" cy="2880000"/>
                  <wp:effectExtent l="0" t="0" r="5715" b="0"/>
                  <wp:docPr id="7" name="Chart 7" descr="Figure 2.4 right hand panel. Budgetray assistance by sector 2005-06 and 2010-11. This pie graph is decsribed in the surrounding text."/>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8B3550" w:rsidRDefault="00ED426A">
      <w:pPr>
        <w:pStyle w:val="Source"/>
      </w:pPr>
      <w:r>
        <w:rPr>
          <w:i/>
        </w:rPr>
        <w:t>S</w:t>
      </w:r>
      <w:r w:rsidR="008B3550">
        <w:rPr>
          <w:i/>
        </w:rPr>
        <w:t>ource</w:t>
      </w:r>
      <w:r w:rsidR="008B3550" w:rsidRPr="00167F06">
        <w:t xml:space="preserve">: </w:t>
      </w:r>
      <w:r w:rsidR="000567A8">
        <w:t xml:space="preserve">Commission estimates. </w:t>
      </w:r>
    </w:p>
    <w:p w:rsidR="008B3550" w:rsidRDefault="00081CDE" w:rsidP="008B3550">
      <w:pPr>
        <w:pStyle w:val="BodyText"/>
      </w:pPr>
      <w:r>
        <w:t>In 2011</w:t>
      </w:r>
      <w:r>
        <w:noBreakHyphen/>
        <w:t>12, most budgetary assistance was afforded through outlays f</w:t>
      </w:r>
      <w:r w:rsidR="008B3550">
        <w:t>or the primary</w:t>
      </w:r>
      <w:r w:rsidR="00115B98">
        <w:t xml:space="preserve"> production</w:t>
      </w:r>
      <w:r>
        <w:t>, mining</w:t>
      </w:r>
      <w:r w:rsidR="008B3550">
        <w:t xml:space="preserve"> </w:t>
      </w:r>
      <w:r w:rsidR="000D3E2E">
        <w:t xml:space="preserve">and manufacturing </w:t>
      </w:r>
      <w:r w:rsidR="008B3550">
        <w:t>sector</w:t>
      </w:r>
      <w:r w:rsidR="000D3E2E">
        <w:t>s</w:t>
      </w:r>
      <w:r w:rsidR="008B3550">
        <w:t xml:space="preserve"> </w:t>
      </w:r>
      <w:r w:rsidR="008B3550" w:rsidRPr="000D3E2E">
        <w:t xml:space="preserve">while for </w:t>
      </w:r>
      <w:r w:rsidR="000D3E2E" w:rsidRPr="000D3E2E">
        <w:t>services</w:t>
      </w:r>
      <w:r w:rsidR="004A7521">
        <w:t xml:space="preserve">, </w:t>
      </w:r>
      <w:r w:rsidR="000D3E2E" w:rsidRPr="000D3E2E">
        <w:t xml:space="preserve">the majority of </w:t>
      </w:r>
      <w:r w:rsidR="008B3550" w:rsidRPr="000D3E2E">
        <w:t xml:space="preserve">assistance was </w:t>
      </w:r>
      <w:r w:rsidR="000D3E2E" w:rsidRPr="000D3E2E">
        <w:t xml:space="preserve">provided through </w:t>
      </w:r>
      <w:r w:rsidR="008B3550" w:rsidRPr="000D3E2E">
        <w:t>tax concessions</w:t>
      </w:r>
      <w:r w:rsidR="008B3550">
        <w:t xml:space="preserve">. </w:t>
      </w:r>
    </w:p>
    <w:p w:rsidR="001D3023" w:rsidRDefault="001D3023" w:rsidP="00C374BC">
      <w:pPr>
        <w:pStyle w:val="Heading3"/>
      </w:pPr>
      <w:r>
        <w:t>Budgetary assistance by industry grouping</w:t>
      </w:r>
    </w:p>
    <w:p w:rsidR="008B3550" w:rsidRDefault="00322992" w:rsidP="008B3550">
      <w:pPr>
        <w:pStyle w:val="BodyText"/>
      </w:pPr>
      <w:r>
        <w:t>Six</w:t>
      </w:r>
      <w:r w:rsidR="008B3550">
        <w:t xml:space="preserve"> </w:t>
      </w:r>
      <w:r w:rsidR="006F66B1">
        <w:t xml:space="preserve">industry </w:t>
      </w:r>
      <w:r w:rsidR="008B3550">
        <w:t xml:space="preserve">groups </w:t>
      </w:r>
      <w:r w:rsidR="006F66B1">
        <w:t xml:space="preserve">collectively </w:t>
      </w:r>
      <w:r w:rsidR="008B3550">
        <w:t xml:space="preserve">accounted for </w:t>
      </w:r>
      <w:r w:rsidR="006F66B1">
        <w:t xml:space="preserve">around </w:t>
      </w:r>
      <w:r w:rsidR="000F2ECC">
        <w:t>50</w:t>
      </w:r>
      <w:r w:rsidR="00076BB0">
        <w:t> </w:t>
      </w:r>
      <w:r w:rsidR="008B3550">
        <w:t>per</w:t>
      </w:r>
      <w:r w:rsidR="00076BB0">
        <w:t> </w:t>
      </w:r>
      <w:r w:rsidR="008B3550">
        <w:t>cent of estimated budgetary assistance to industry in 201</w:t>
      </w:r>
      <w:r w:rsidR="00143D93">
        <w:t>1</w:t>
      </w:r>
      <w:r w:rsidR="00143D93">
        <w:noBreakHyphen/>
      </w:r>
      <w:r w:rsidR="008B3550">
        <w:t>1</w:t>
      </w:r>
      <w:r w:rsidR="00143D93">
        <w:t>2</w:t>
      </w:r>
      <w:r w:rsidR="008B3550">
        <w:t xml:space="preserve"> (table</w:t>
      </w:r>
      <w:r w:rsidR="009176D4">
        <w:t> </w:t>
      </w:r>
      <w:r w:rsidR="009C72C9">
        <w:fldChar w:fldCharType="begin"/>
      </w:r>
      <w:r w:rsidR="009C72C9">
        <w:instrText xml:space="preserve"> LINK </w:instrText>
      </w:r>
      <w:r w:rsidR="00655E7D">
        <w:instrText xml:space="preserve">Word.Document.12 "\\\\nch1\\esb\\T A R\\2011-12\\AAreport\\12 - Ch2 - Assistance estimates.docx" OLE_LINK15 </w:instrText>
      </w:r>
      <w:r w:rsidR="009C72C9">
        <w:instrText xml:space="preserve">\a \t </w:instrText>
      </w:r>
      <w:r w:rsidR="009C72C9">
        <w:fldChar w:fldCharType="separate"/>
      </w:r>
      <w:r w:rsidR="00655E7D">
        <w:t>2.4</w:t>
      </w:r>
      <w:r w:rsidR="009C72C9">
        <w:fldChar w:fldCharType="end"/>
      </w:r>
      <w:r w:rsidR="008B3550">
        <w:t>).</w:t>
      </w:r>
    </w:p>
    <w:p w:rsidR="00634213" w:rsidRDefault="00252C44" w:rsidP="00371CCC">
      <w:pPr>
        <w:pStyle w:val="ListBullet"/>
      </w:pPr>
      <w:r>
        <w:t>Budgetary assistance was highest for the</w:t>
      </w:r>
      <w:r w:rsidR="00371CCC">
        <w:t xml:space="preserve"> </w:t>
      </w:r>
      <w:r w:rsidR="00371CCC" w:rsidRPr="001811B6">
        <w:rPr>
          <w:i/>
        </w:rPr>
        <w:t>Electricity, gas, water and waste services</w:t>
      </w:r>
      <w:r>
        <w:t xml:space="preserve"> industry ($</w:t>
      </w:r>
      <w:r w:rsidR="00371CCC">
        <w:t>1.1</w:t>
      </w:r>
      <w:r w:rsidR="00634213">
        <w:t> </w:t>
      </w:r>
      <w:r w:rsidR="00371CCC">
        <w:t>b</w:t>
      </w:r>
      <w:r>
        <w:t xml:space="preserve">illion), </w:t>
      </w:r>
      <w:r w:rsidR="00CE797E">
        <w:t xml:space="preserve">mainly in the form of </w:t>
      </w:r>
      <w:r w:rsidR="00371CCC">
        <w:t>transitional assistance provided under the Energy Security Fund</w:t>
      </w:r>
      <w:r w:rsidR="00CE797E">
        <w:t>.</w:t>
      </w:r>
    </w:p>
    <w:p w:rsidR="00B23473" w:rsidRDefault="00B23473" w:rsidP="00B23473">
      <w:pPr>
        <w:pStyle w:val="ListBullet"/>
      </w:pPr>
      <w:r w:rsidRPr="001811B6">
        <w:rPr>
          <w:i/>
        </w:rPr>
        <w:t>Financ</w:t>
      </w:r>
      <w:r>
        <w:rPr>
          <w:i/>
        </w:rPr>
        <w:t xml:space="preserve">ial </w:t>
      </w:r>
      <w:r w:rsidRPr="001811B6">
        <w:rPr>
          <w:i/>
        </w:rPr>
        <w:t xml:space="preserve">and </w:t>
      </w:r>
      <w:r>
        <w:rPr>
          <w:i/>
        </w:rPr>
        <w:t>insurance services</w:t>
      </w:r>
      <w:r>
        <w:t xml:space="preserve"> was the next highest recipient ($</w:t>
      </w:r>
      <w:r w:rsidR="000F2ECC">
        <w:t>914.7</w:t>
      </w:r>
      <w:r>
        <w:t xml:space="preserve"> million), mainly in the form of the </w:t>
      </w:r>
      <w:r w:rsidRPr="00B23473">
        <w:t xml:space="preserve">Concessional </w:t>
      </w:r>
      <w:r w:rsidR="001811B6">
        <w:t>R</w:t>
      </w:r>
      <w:r w:rsidRPr="00B23473">
        <w:t xml:space="preserve">ate of </w:t>
      </w:r>
      <w:r w:rsidR="001811B6">
        <w:t>W</w:t>
      </w:r>
      <w:r w:rsidRPr="00B23473">
        <w:t xml:space="preserve">ithholding </w:t>
      </w:r>
      <w:r w:rsidR="001811B6">
        <w:t>T</w:t>
      </w:r>
      <w:r w:rsidRPr="00B23473">
        <w:t>ax</w:t>
      </w:r>
      <w:r>
        <w:t xml:space="preserve"> </w:t>
      </w:r>
      <w:r w:rsidR="001811B6">
        <w:t>c</w:t>
      </w:r>
      <w:r>
        <w:t xml:space="preserve">oncession, the Offshore Banking Unit Taxation Concession </w:t>
      </w:r>
      <w:r w:rsidR="001811B6">
        <w:t>and Small Business Capital Gains Tax concession measures.</w:t>
      </w:r>
      <w:r w:rsidR="001811B6">
        <w:rPr>
          <w:rStyle w:val="FootnoteReference"/>
        </w:rPr>
        <w:footnoteReference w:id="1"/>
      </w:r>
    </w:p>
    <w:p w:rsidR="000F2ECC" w:rsidRDefault="000F2ECC" w:rsidP="00B23473">
      <w:pPr>
        <w:pStyle w:val="ListBullet"/>
      </w:pPr>
      <w:r>
        <w:rPr>
          <w:i/>
        </w:rPr>
        <w:t>Mining</w:t>
      </w:r>
      <w:r w:rsidRPr="000F2ECC">
        <w:t xml:space="preserve"> </w:t>
      </w:r>
      <w:r>
        <w:t>accounted for $700.4 million, mainly in the form of the Coal Sector Jobs Package and R&amp;D tax concession programs.</w:t>
      </w:r>
    </w:p>
    <w:p w:rsidR="0052147F" w:rsidRDefault="0052147F" w:rsidP="0052147F">
      <w:pPr>
        <w:pStyle w:val="ListBullet"/>
      </w:pPr>
      <w:r w:rsidRPr="00DB266B">
        <w:rPr>
          <w:i/>
        </w:rPr>
        <w:lastRenderedPageBreak/>
        <w:t>Motor vehicles and parts</w:t>
      </w:r>
      <w:r>
        <w:t xml:space="preserve"> accounted for $620.7 million, mainly in the form of the Automotive Transformation Scheme, the Green Car Innovation Fund, Assistance to Ford Australia and the TRADEX scheme.</w:t>
      </w:r>
    </w:p>
    <w:p w:rsidR="0052147F" w:rsidRDefault="0052147F" w:rsidP="0052147F">
      <w:pPr>
        <w:pStyle w:val="ListBullet"/>
      </w:pPr>
      <w:r w:rsidRPr="001811B6">
        <w:rPr>
          <w:i/>
        </w:rPr>
        <w:t>Property, professional and administrative services</w:t>
      </w:r>
      <w:r>
        <w:t xml:space="preserve"> accounted for $611.3 million, mainly in the form of R&amp;D tax concession programs and Small Business Capital Gains Tax concession measures.</w:t>
      </w:r>
    </w:p>
    <w:p w:rsidR="0052147F" w:rsidRDefault="0052147F" w:rsidP="0052147F">
      <w:pPr>
        <w:pStyle w:val="ListBullet"/>
      </w:pPr>
      <w:r w:rsidRPr="001811B6">
        <w:rPr>
          <w:i/>
        </w:rPr>
        <w:t>Sheep, beef cattle and grain farming</w:t>
      </w:r>
      <w:r>
        <w:t xml:space="preserve"> accounted for $567.9 million, mainly in the form of the Farm Management Deposits Scheme, Income Tax Averaging Provisions for Primary Producers, the Small Business Capital Gains Tax concession measures, and assistance to the Grains R&amp;D Corporation.</w:t>
      </w:r>
    </w:p>
    <w:p w:rsidR="0052147F" w:rsidRDefault="0052147F" w:rsidP="0052147F">
      <w:pPr>
        <w:pStyle w:val="BodyText"/>
      </w:pPr>
      <w:r>
        <w:t xml:space="preserve">Budgetary assistance not assigned to an industry sector is reported in the </w:t>
      </w:r>
      <w:r w:rsidRPr="00DB266B">
        <w:rPr>
          <w:i/>
        </w:rPr>
        <w:t>Unallocated other</w:t>
      </w:r>
      <w:r>
        <w:t xml:space="preserve"> category. That assistance accounted for around 14 per cent of total estimated budgetary assistance in 2011</w:t>
      </w:r>
      <w:r>
        <w:noBreakHyphen/>
        <w:t>12. The Small Business and General Business Tax Break ($680 million),</w:t>
      </w:r>
      <w:r w:rsidRPr="006F66B1">
        <w:t xml:space="preserve"> </w:t>
      </w:r>
      <w:r>
        <w:t xml:space="preserve">for which Industry allocation data is currently not available through taxation statistics, accounts for around a half of the category. Other budgetary assistance not classified to industry included Tourism Australia, Austrade and the TCF Corporate Wear Program. </w:t>
      </w:r>
    </w:p>
    <w:p w:rsidR="008B3550" w:rsidRDefault="008B3550">
      <w:pPr>
        <w:pStyle w:val="TableTitle"/>
      </w:pPr>
      <w:r>
        <w:rPr>
          <w:b w:val="0"/>
        </w:rPr>
        <w:lastRenderedPageBreak/>
        <w:t xml:space="preserve">Table </w:t>
      </w:r>
      <w:bookmarkStart w:id="16" w:name="OLE_LINK15"/>
      <w:r>
        <w:rPr>
          <w:b w:val="0"/>
        </w:rPr>
        <w:fldChar w:fldCharType="begin"/>
      </w:r>
      <w:r>
        <w:rPr>
          <w:b w:val="0"/>
        </w:rPr>
        <w:instrText xml:space="preserve"> COMMENTS  \* MERGEFORMAT </w:instrText>
      </w:r>
      <w:r>
        <w:rPr>
          <w:b w:val="0"/>
        </w:rPr>
        <w:fldChar w:fldCharType="separate"/>
      </w:r>
      <w:r w:rsidR="00655E7D">
        <w:rPr>
          <w:b w:val="0"/>
        </w:rPr>
        <w:t>2.</w:t>
      </w:r>
      <w:r>
        <w:rPr>
          <w:b w:val="0"/>
        </w:rPr>
        <w:fldChar w:fldCharType="end"/>
      </w:r>
      <w:r>
        <w:rPr>
          <w:b w:val="0"/>
        </w:rPr>
        <w:fldChar w:fldCharType="begin"/>
      </w:r>
      <w:r>
        <w:rPr>
          <w:b w:val="0"/>
        </w:rPr>
        <w:instrText xml:space="preserve"> SEQ Table \* ARABIC </w:instrText>
      </w:r>
      <w:r>
        <w:rPr>
          <w:b w:val="0"/>
        </w:rPr>
        <w:fldChar w:fldCharType="separate"/>
      </w:r>
      <w:r w:rsidR="00E12ECE">
        <w:rPr>
          <w:b w:val="0"/>
          <w:noProof/>
        </w:rPr>
        <w:t>4</w:t>
      </w:r>
      <w:r>
        <w:rPr>
          <w:b w:val="0"/>
        </w:rPr>
        <w:fldChar w:fldCharType="end"/>
      </w:r>
      <w:bookmarkEnd w:id="16"/>
      <w:r>
        <w:tab/>
        <w:t>Budgetary assistance by industry grouping, 2011</w:t>
      </w:r>
      <w:r>
        <w:noBreakHyphen/>
        <w:t>12</w:t>
      </w:r>
    </w:p>
    <w:p w:rsidR="008B3550" w:rsidRDefault="008B3550">
      <w:pPr>
        <w:pStyle w:val="Subtitle"/>
      </w:pPr>
      <w:r>
        <w:t>$</w:t>
      </w:r>
      <w:r w:rsidR="00A77DC7">
        <w:t xml:space="preserve"> </w:t>
      </w:r>
      <w:r>
        <w:t>million (nominal)</w:t>
      </w:r>
    </w:p>
    <w:tbl>
      <w:tblPr>
        <w:tblW w:w="4998" w:type="pct"/>
        <w:tblCellMar>
          <w:left w:w="0" w:type="dxa"/>
          <w:right w:w="0" w:type="dxa"/>
        </w:tblCellMar>
        <w:tblLook w:val="0000" w:firstRow="0" w:lastRow="0" w:firstColumn="0" w:lastColumn="0" w:noHBand="0" w:noVBand="0"/>
      </w:tblPr>
      <w:tblGrid>
        <w:gridCol w:w="4112"/>
        <w:gridCol w:w="1558"/>
        <w:gridCol w:w="1558"/>
        <w:gridCol w:w="1557"/>
      </w:tblGrid>
      <w:tr w:rsidR="007E3E60" w:rsidRPr="000567A8" w:rsidTr="009C0A1F">
        <w:trPr>
          <w:trHeight w:val="397"/>
        </w:trPr>
        <w:tc>
          <w:tcPr>
            <w:tcW w:w="2340" w:type="pct"/>
            <w:tcBorders>
              <w:top w:val="single" w:sz="6" w:space="0" w:color="auto"/>
              <w:bottom w:val="single" w:sz="6" w:space="0" w:color="auto"/>
            </w:tcBorders>
            <w:shd w:val="clear" w:color="auto" w:fill="auto"/>
            <w:vAlign w:val="bottom"/>
          </w:tcPr>
          <w:p w:rsidR="008B3550" w:rsidRPr="000567A8" w:rsidRDefault="008B3550" w:rsidP="009C0A1F">
            <w:pPr>
              <w:pStyle w:val="TableColumnHeading"/>
              <w:jc w:val="left"/>
              <w:rPr>
                <w:sz w:val="18"/>
                <w:szCs w:val="18"/>
              </w:rPr>
            </w:pPr>
          </w:p>
        </w:tc>
        <w:tc>
          <w:tcPr>
            <w:tcW w:w="887" w:type="pct"/>
            <w:tcBorders>
              <w:top w:val="single" w:sz="6" w:space="0" w:color="auto"/>
              <w:bottom w:val="single" w:sz="6" w:space="0" w:color="auto"/>
            </w:tcBorders>
            <w:shd w:val="clear" w:color="auto" w:fill="auto"/>
            <w:vAlign w:val="bottom"/>
          </w:tcPr>
          <w:p w:rsidR="008B3550" w:rsidRPr="000567A8" w:rsidRDefault="008B3550" w:rsidP="009C0A1F">
            <w:pPr>
              <w:pStyle w:val="TableColumnHeading"/>
              <w:rPr>
                <w:sz w:val="18"/>
                <w:szCs w:val="18"/>
              </w:rPr>
            </w:pPr>
            <w:r w:rsidRPr="000567A8">
              <w:rPr>
                <w:sz w:val="18"/>
                <w:szCs w:val="18"/>
              </w:rPr>
              <w:t>Outlays</w:t>
            </w:r>
          </w:p>
        </w:tc>
        <w:tc>
          <w:tcPr>
            <w:tcW w:w="887" w:type="pct"/>
            <w:tcBorders>
              <w:top w:val="single" w:sz="6" w:space="0" w:color="auto"/>
              <w:bottom w:val="single" w:sz="6" w:space="0" w:color="auto"/>
            </w:tcBorders>
            <w:vAlign w:val="bottom"/>
          </w:tcPr>
          <w:p w:rsidR="008B3550" w:rsidRPr="000567A8" w:rsidRDefault="008B3550" w:rsidP="009C0A1F">
            <w:pPr>
              <w:pStyle w:val="TableColumnHeading"/>
              <w:ind w:right="28"/>
              <w:rPr>
                <w:sz w:val="18"/>
                <w:szCs w:val="18"/>
              </w:rPr>
            </w:pPr>
            <w:r w:rsidRPr="000567A8">
              <w:rPr>
                <w:sz w:val="18"/>
                <w:szCs w:val="18"/>
              </w:rPr>
              <w:t>Tax concessions</w:t>
            </w:r>
          </w:p>
        </w:tc>
        <w:tc>
          <w:tcPr>
            <w:tcW w:w="886" w:type="pct"/>
            <w:tcBorders>
              <w:top w:val="single" w:sz="6" w:space="0" w:color="auto"/>
              <w:bottom w:val="single" w:sz="6" w:space="0" w:color="auto"/>
            </w:tcBorders>
            <w:shd w:val="clear" w:color="auto" w:fill="auto"/>
            <w:vAlign w:val="bottom"/>
          </w:tcPr>
          <w:p w:rsidR="008B3550" w:rsidRPr="000567A8" w:rsidRDefault="008B3550" w:rsidP="009C0A1F">
            <w:pPr>
              <w:pStyle w:val="TableColumnHeading"/>
              <w:ind w:right="28"/>
              <w:rPr>
                <w:sz w:val="18"/>
                <w:szCs w:val="18"/>
              </w:rPr>
            </w:pPr>
            <w:r w:rsidRPr="000567A8">
              <w:rPr>
                <w:sz w:val="18"/>
                <w:szCs w:val="18"/>
              </w:rPr>
              <w:t>Total budgetary assistance</w:t>
            </w:r>
          </w:p>
        </w:tc>
      </w:tr>
      <w:tr w:rsidR="00A654DD" w:rsidTr="00634213">
        <w:trPr>
          <w:trHeight w:val="227"/>
        </w:trPr>
        <w:tc>
          <w:tcPr>
            <w:tcW w:w="2340" w:type="pct"/>
            <w:vAlign w:val="center"/>
          </w:tcPr>
          <w:p w:rsidR="00A654DD" w:rsidRPr="00B2242C" w:rsidRDefault="00A654DD" w:rsidP="00BD7E4F">
            <w:pPr>
              <w:pStyle w:val="TableUnitsRow"/>
              <w:spacing w:after="0"/>
              <w:jc w:val="left"/>
              <w:rPr>
                <w:b/>
                <w:sz w:val="18"/>
                <w:szCs w:val="18"/>
              </w:rPr>
            </w:pPr>
            <w:r w:rsidRPr="00B2242C">
              <w:rPr>
                <w:b/>
                <w:sz w:val="18"/>
                <w:szCs w:val="18"/>
              </w:rPr>
              <w:t>Primary production</w:t>
            </w:r>
          </w:p>
        </w:tc>
        <w:tc>
          <w:tcPr>
            <w:tcW w:w="887" w:type="pct"/>
            <w:vAlign w:val="bottom"/>
          </w:tcPr>
          <w:p w:rsidR="00A654DD" w:rsidRPr="00A654DD" w:rsidRDefault="00A654DD" w:rsidP="00C93DE2">
            <w:pPr>
              <w:pStyle w:val="TableUnitsRow"/>
              <w:spacing w:after="0"/>
              <w:rPr>
                <w:b/>
                <w:sz w:val="18"/>
                <w:szCs w:val="18"/>
              </w:rPr>
            </w:pPr>
            <w:r w:rsidRPr="00A654DD">
              <w:rPr>
                <w:b/>
                <w:sz w:val="18"/>
                <w:szCs w:val="18"/>
              </w:rPr>
              <w:t>8</w:t>
            </w:r>
            <w:r w:rsidR="00C93DE2">
              <w:rPr>
                <w:b/>
                <w:sz w:val="18"/>
                <w:szCs w:val="18"/>
              </w:rPr>
              <w:t>91.2</w:t>
            </w:r>
          </w:p>
        </w:tc>
        <w:tc>
          <w:tcPr>
            <w:tcW w:w="887" w:type="pct"/>
            <w:vAlign w:val="bottom"/>
          </w:tcPr>
          <w:p w:rsidR="00A654DD" w:rsidRPr="00A654DD" w:rsidRDefault="00A654DD" w:rsidP="00C93DE2">
            <w:pPr>
              <w:pStyle w:val="TableUnitsRow"/>
              <w:spacing w:after="0"/>
              <w:rPr>
                <w:b/>
                <w:sz w:val="18"/>
                <w:szCs w:val="18"/>
              </w:rPr>
            </w:pPr>
            <w:r w:rsidRPr="00A654DD">
              <w:rPr>
                <w:b/>
                <w:sz w:val="18"/>
                <w:szCs w:val="18"/>
              </w:rPr>
              <w:t>5</w:t>
            </w:r>
            <w:r w:rsidR="00C93DE2">
              <w:rPr>
                <w:b/>
                <w:sz w:val="18"/>
                <w:szCs w:val="18"/>
              </w:rPr>
              <w:t>48.3</w:t>
            </w:r>
          </w:p>
        </w:tc>
        <w:tc>
          <w:tcPr>
            <w:tcW w:w="886" w:type="pct"/>
            <w:vAlign w:val="bottom"/>
          </w:tcPr>
          <w:p w:rsidR="00A654DD" w:rsidRPr="00A654DD" w:rsidRDefault="00A654DD" w:rsidP="00817952">
            <w:pPr>
              <w:pStyle w:val="TableUnitsRow"/>
              <w:spacing w:after="0"/>
              <w:rPr>
                <w:b/>
                <w:sz w:val="18"/>
                <w:szCs w:val="18"/>
              </w:rPr>
            </w:pPr>
            <w:r w:rsidRPr="00A654DD">
              <w:rPr>
                <w:b/>
                <w:sz w:val="18"/>
                <w:szCs w:val="18"/>
              </w:rPr>
              <w:t>14</w:t>
            </w:r>
            <w:r w:rsidR="00817952">
              <w:rPr>
                <w:b/>
                <w:sz w:val="18"/>
                <w:szCs w:val="18"/>
              </w:rPr>
              <w:t>39.5</w:t>
            </w:r>
          </w:p>
        </w:tc>
      </w:tr>
      <w:tr w:rsidR="00A654DD" w:rsidTr="00634213">
        <w:trPr>
          <w:trHeight w:val="170"/>
        </w:trPr>
        <w:tc>
          <w:tcPr>
            <w:tcW w:w="2340" w:type="pct"/>
            <w:vAlign w:val="center"/>
          </w:tcPr>
          <w:p w:rsidR="00A654DD" w:rsidRPr="00B2242C" w:rsidRDefault="00A654DD" w:rsidP="00A77DC7">
            <w:pPr>
              <w:pStyle w:val="TableBodyText"/>
              <w:jc w:val="left"/>
              <w:rPr>
                <w:sz w:val="18"/>
                <w:szCs w:val="18"/>
              </w:rPr>
            </w:pPr>
            <w:r w:rsidRPr="00B2242C">
              <w:rPr>
                <w:sz w:val="18"/>
                <w:szCs w:val="18"/>
              </w:rPr>
              <w:t>Horticulture and fruit growing</w:t>
            </w:r>
          </w:p>
        </w:tc>
        <w:tc>
          <w:tcPr>
            <w:tcW w:w="887" w:type="pct"/>
            <w:vAlign w:val="bottom"/>
          </w:tcPr>
          <w:p w:rsidR="00A654DD" w:rsidRPr="00A654DD" w:rsidRDefault="00A654DD" w:rsidP="00C93DE2">
            <w:pPr>
              <w:pStyle w:val="TableBodyText"/>
              <w:rPr>
                <w:sz w:val="18"/>
                <w:szCs w:val="18"/>
              </w:rPr>
            </w:pPr>
            <w:r w:rsidRPr="00A654DD">
              <w:rPr>
                <w:sz w:val="18"/>
                <w:szCs w:val="18"/>
              </w:rPr>
              <w:t>8</w:t>
            </w:r>
            <w:r w:rsidR="00C93DE2">
              <w:rPr>
                <w:sz w:val="18"/>
                <w:szCs w:val="18"/>
              </w:rPr>
              <w:t>3.4</w:t>
            </w:r>
          </w:p>
        </w:tc>
        <w:tc>
          <w:tcPr>
            <w:tcW w:w="887" w:type="pct"/>
            <w:vAlign w:val="bottom"/>
          </w:tcPr>
          <w:p w:rsidR="00A654DD" w:rsidRPr="00A654DD" w:rsidRDefault="00A654DD" w:rsidP="00C93DE2">
            <w:pPr>
              <w:pStyle w:val="TableBodyText"/>
              <w:rPr>
                <w:sz w:val="18"/>
                <w:szCs w:val="18"/>
              </w:rPr>
            </w:pPr>
            <w:r w:rsidRPr="00A654DD">
              <w:rPr>
                <w:sz w:val="18"/>
                <w:szCs w:val="18"/>
              </w:rPr>
              <w:t>55.</w:t>
            </w:r>
            <w:r w:rsidR="00C93DE2">
              <w:rPr>
                <w:sz w:val="18"/>
                <w:szCs w:val="18"/>
              </w:rPr>
              <w:t>6</w:t>
            </w:r>
          </w:p>
        </w:tc>
        <w:tc>
          <w:tcPr>
            <w:tcW w:w="886" w:type="pct"/>
            <w:vAlign w:val="bottom"/>
          </w:tcPr>
          <w:p w:rsidR="00A654DD" w:rsidRPr="00A654DD" w:rsidRDefault="00A654DD" w:rsidP="00817952">
            <w:pPr>
              <w:pStyle w:val="TableBodyText"/>
              <w:rPr>
                <w:sz w:val="18"/>
                <w:szCs w:val="18"/>
              </w:rPr>
            </w:pPr>
            <w:r w:rsidRPr="00A654DD">
              <w:rPr>
                <w:sz w:val="18"/>
                <w:szCs w:val="18"/>
              </w:rPr>
              <w:t>13</w:t>
            </w:r>
            <w:r w:rsidR="00E0600F">
              <w:rPr>
                <w:sz w:val="18"/>
                <w:szCs w:val="18"/>
              </w:rPr>
              <w:t>9.</w:t>
            </w:r>
            <w:r w:rsidR="00817952">
              <w:rPr>
                <w:sz w:val="18"/>
                <w:szCs w:val="18"/>
              </w:rPr>
              <w:t>0</w:t>
            </w:r>
          </w:p>
        </w:tc>
      </w:tr>
      <w:tr w:rsidR="00A654DD" w:rsidTr="00634213">
        <w:trPr>
          <w:trHeight w:val="170"/>
        </w:trPr>
        <w:tc>
          <w:tcPr>
            <w:tcW w:w="2340" w:type="pct"/>
            <w:vAlign w:val="center"/>
          </w:tcPr>
          <w:p w:rsidR="00A654DD" w:rsidRPr="00B2242C" w:rsidRDefault="00A654DD" w:rsidP="00A77DC7">
            <w:pPr>
              <w:pStyle w:val="TableBodyText"/>
              <w:jc w:val="left"/>
              <w:rPr>
                <w:sz w:val="18"/>
                <w:szCs w:val="18"/>
              </w:rPr>
            </w:pPr>
            <w:r w:rsidRPr="00B2242C">
              <w:rPr>
                <w:sz w:val="18"/>
                <w:szCs w:val="18"/>
              </w:rPr>
              <w:t>Sheep, beef cattle and grain farming</w:t>
            </w:r>
          </w:p>
        </w:tc>
        <w:tc>
          <w:tcPr>
            <w:tcW w:w="887" w:type="pct"/>
            <w:vAlign w:val="bottom"/>
          </w:tcPr>
          <w:p w:rsidR="00A654DD" w:rsidRPr="00A654DD" w:rsidRDefault="00A654DD" w:rsidP="00C93DE2">
            <w:pPr>
              <w:pStyle w:val="TableBodyText"/>
              <w:rPr>
                <w:sz w:val="18"/>
                <w:szCs w:val="18"/>
              </w:rPr>
            </w:pPr>
            <w:r w:rsidRPr="00A654DD">
              <w:rPr>
                <w:sz w:val="18"/>
                <w:szCs w:val="18"/>
              </w:rPr>
              <w:t>2</w:t>
            </w:r>
            <w:r w:rsidR="00C93DE2">
              <w:rPr>
                <w:sz w:val="18"/>
                <w:szCs w:val="18"/>
              </w:rPr>
              <w:t>12.9</w:t>
            </w:r>
          </w:p>
        </w:tc>
        <w:tc>
          <w:tcPr>
            <w:tcW w:w="887" w:type="pct"/>
            <w:vAlign w:val="bottom"/>
          </w:tcPr>
          <w:p w:rsidR="00A654DD" w:rsidRPr="00A654DD" w:rsidRDefault="00A654DD" w:rsidP="00C93DE2">
            <w:pPr>
              <w:pStyle w:val="TableBodyText"/>
              <w:rPr>
                <w:sz w:val="18"/>
                <w:szCs w:val="18"/>
              </w:rPr>
            </w:pPr>
            <w:r w:rsidRPr="00A654DD">
              <w:rPr>
                <w:sz w:val="18"/>
                <w:szCs w:val="18"/>
              </w:rPr>
              <w:t>355.</w:t>
            </w:r>
            <w:r w:rsidR="00C93DE2">
              <w:rPr>
                <w:sz w:val="18"/>
                <w:szCs w:val="18"/>
              </w:rPr>
              <w:t>0</w:t>
            </w:r>
          </w:p>
        </w:tc>
        <w:tc>
          <w:tcPr>
            <w:tcW w:w="886" w:type="pct"/>
            <w:vAlign w:val="bottom"/>
          </w:tcPr>
          <w:p w:rsidR="00A654DD" w:rsidRPr="00A654DD" w:rsidRDefault="00A654DD" w:rsidP="00817952">
            <w:pPr>
              <w:pStyle w:val="TableBodyText"/>
              <w:rPr>
                <w:sz w:val="18"/>
                <w:szCs w:val="18"/>
              </w:rPr>
            </w:pPr>
            <w:r w:rsidRPr="00A654DD">
              <w:rPr>
                <w:sz w:val="18"/>
                <w:szCs w:val="18"/>
              </w:rPr>
              <w:t>56</w:t>
            </w:r>
            <w:r w:rsidR="00817952">
              <w:rPr>
                <w:sz w:val="18"/>
                <w:szCs w:val="18"/>
              </w:rPr>
              <w:t>7.9</w:t>
            </w:r>
          </w:p>
        </w:tc>
      </w:tr>
      <w:tr w:rsidR="00A654DD" w:rsidTr="00634213">
        <w:trPr>
          <w:trHeight w:val="170"/>
        </w:trPr>
        <w:tc>
          <w:tcPr>
            <w:tcW w:w="2340" w:type="pct"/>
            <w:vAlign w:val="center"/>
          </w:tcPr>
          <w:p w:rsidR="00A654DD" w:rsidRPr="00B2242C" w:rsidRDefault="00A654DD" w:rsidP="00A77DC7">
            <w:pPr>
              <w:pStyle w:val="TableBodyText"/>
              <w:jc w:val="left"/>
              <w:rPr>
                <w:sz w:val="18"/>
                <w:szCs w:val="18"/>
              </w:rPr>
            </w:pPr>
            <w:r w:rsidRPr="00B2242C">
              <w:rPr>
                <w:sz w:val="18"/>
                <w:szCs w:val="18"/>
              </w:rPr>
              <w:t>Other crop growing</w:t>
            </w:r>
          </w:p>
        </w:tc>
        <w:tc>
          <w:tcPr>
            <w:tcW w:w="887" w:type="pct"/>
            <w:vAlign w:val="bottom"/>
          </w:tcPr>
          <w:p w:rsidR="00A654DD" w:rsidRPr="00A654DD" w:rsidRDefault="00A654DD" w:rsidP="00C93DE2">
            <w:pPr>
              <w:pStyle w:val="TableBodyText"/>
              <w:rPr>
                <w:sz w:val="18"/>
                <w:szCs w:val="18"/>
              </w:rPr>
            </w:pPr>
            <w:r w:rsidRPr="00A654DD">
              <w:rPr>
                <w:sz w:val="18"/>
                <w:szCs w:val="18"/>
              </w:rPr>
              <w:t>3</w:t>
            </w:r>
            <w:r w:rsidR="00C93DE2">
              <w:rPr>
                <w:sz w:val="18"/>
                <w:szCs w:val="18"/>
              </w:rPr>
              <w:t>0.2</w:t>
            </w:r>
          </w:p>
        </w:tc>
        <w:tc>
          <w:tcPr>
            <w:tcW w:w="887" w:type="pct"/>
            <w:vAlign w:val="bottom"/>
          </w:tcPr>
          <w:p w:rsidR="00A654DD" w:rsidRPr="00A654DD" w:rsidRDefault="00A654DD" w:rsidP="00C93DE2">
            <w:pPr>
              <w:pStyle w:val="TableBodyText"/>
              <w:rPr>
                <w:sz w:val="18"/>
                <w:szCs w:val="18"/>
              </w:rPr>
            </w:pPr>
            <w:r w:rsidRPr="00A654DD">
              <w:rPr>
                <w:sz w:val="18"/>
                <w:szCs w:val="18"/>
              </w:rPr>
              <w:t>33.</w:t>
            </w:r>
            <w:r w:rsidR="00C93DE2">
              <w:rPr>
                <w:sz w:val="18"/>
                <w:szCs w:val="18"/>
              </w:rPr>
              <w:t>2</w:t>
            </w:r>
          </w:p>
        </w:tc>
        <w:tc>
          <w:tcPr>
            <w:tcW w:w="886" w:type="pct"/>
            <w:vAlign w:val="bottom"/>
          </w:tcPr>
          <w:p w:rsidR="00A654DD" w:rsidRPr="00A654DD" w:rsidRDefault="00A654DD" w:rsidP="00817952">
            <w:pPr>
              <w:pStyle w:val="TableBodyText"/>
              <w:rPr>
                <w:sz w:val="18"/>
                <w:szCs w:val="18"/>
              </w:rPr>
            </w:pPr>
            <w:r w:rsidRPr="00A654DD">
              <w:rPr>
                <w:sz w:val="18"/>
                <w:szCs w:val="18"/>
              </w:rPr>
              <w:t>6</w:t>
            </w:r>
            <w:r w:rsidR="00817952">
              <w:rPr>
                <w:sz w:val="18"/>
                <w:szCs w:val="18"/>
              </w:rPr>
              <w:t>3.4</w:t>
            </w:r>
          </w:p>
        </w:tc>
      </w:tr>
      <w:tr w:rsidR="00A654DD" w:rsidTr="00634213">
        <w:trPr>
          <w:trHeight w:val="170"/>
        </w:trPr>
        <w:tc>
          <w:tcPr>
            <w:tcW w:w="2340" w:type="pct"/>
            <w:vAlign w:val="center"/>
          </w:tcPr>
          <w:p w:rsidR="00A654DD" w:rsidRPr="00B2242C" w:rsidRDefault="00A654DD" w:rsidP="00A77DC7">
            <w:pPr>
              <w:pStyle w:val="TableBodyText"/>
              <w:jc w:val="left"/>
              <w:rPr>
                <w:sz w:val="18"/>
                <w:szCs w:val="18"/>
              </w:rPr>
            </w:pPr>
            <w:r w:rsidRPr="00B2242C">
              <w:rPr>
                <w:sz w:val="18"/>
                <w:szCs w:val="18"/>
              </w:rPr>
              <w:t>Dairy cattle farming</w:t>
            </w:r>
          </w:p>
        </w:tc>
        <w:tc>
          <w:tcPr>
            <w:tcW w:w="887" w:type="pct"/>
            <w:vAlign w:val="bottom"/>
          </w:tcPr>
          <w:p w:rsidR="00A654DD" w:rsidRPr="00A654DD" w:rsidRDefault="00A654DD" w:rsidP="00A654DD">
            <w:pPr>
              <w:pStyle w:val="TableBodyText"/>
              <w:rPr>
                <w:sz w:val="18"/>
                <w:szCs w:val="18"/>
              </w:rPr>
            </w:pPr>
            <w:r w:rsidRPr="00A654DD">
              <w:rPr>
                <w:sz w:val="18"/>
                <w:szCs w:val="18"/>
              </w:rPr>
              <w:t>29.6</w:t>
            </w:r>
          </w:p>
        </w:tc>
        <w:tc>
          <w:tcPr>
            <w:tcW w:w="887" w:type="pct"/>
            <w:vAlign w:val="bottom"/>
          </w:tcPr>
          <w:p w:rsidR="00A654DD" w:rsidRPr="00A654DD" w:rsidRDefault="00A654DD" w:rsidP="00A654DD">
            <w:pPr>
              <w:pStyle w:val="TableBodyText"/>
              <w:rPr>
                <w:sz w:val="18"/>
                <w:szCs w:val="18"/>
              </w:rPr>
            </w:pPr>
            <w:r w:rsidRPr="00A654DD">
              <w:rPr>
                <w:sz w:val="18"/>
                <w:szCs w:val="18"/>
              </w:rPr>
              <w:t>31.7</w:t>
            </w:r>
          </w:p>
        </w:tc>
        <w:tc>
          <w:tcPr>
            <w:tcW w:w="886" w:type="pct"/>
            <w:vAlign w:val="bottom"/>
          </w:tcPr>
          <w:p w:rsidR="00A654DD" w:rsidRPr="00A654DD" w:rsidRDefault="00A654DD" w:rsidP="00A654DD">
            <w:pPr>
              <w:pStyle w:val="TableBodyText"/>
              <w:rPr>
                <w:sz w:val="18"/>
                <w:szCs w:val="18"/>
              </w:rPr>
            </w:pPr>
            <w:r w:rsidRPr="00A654DD">
              <w:rPr>
                <w:sz w:val="18"/>
                <w:szCs w:val="18"/>
              </w:rPr>
              <w:t>61.3</w:t>
            </w:r>
          </w:p>
        </w:tc>
      </w:tr>
      <w:tr w:rsidR="00A654DD" w:rsidTr="00634213">
        <w:trPr>
          <w:trHeight w:val="170"/>
        </w:trPr>
        <w:tc>
          <w:tcPr>
            <w:tcW w:w="2340" w:type="pct"/>
            <w:vAlign w:val="center"/>
          </w:tcPr>
          <w:p w:rsidR="00A654DD" w:rsidRPr="00B2242C" w:rsidRDefault="00A654DD" w:rsidP="00A77DC7">
            <w:pPr>
              <w:pStyle w:val="TableBodyText"/>
              <w:jc w:val="left"/>
              <w:rPr>
                <w:sz w:val="18"/>
                <w:szCs w:val="18"/>
              </w:rPr>
            </w:pPr>
            <w:r w:rsidRPr="00B2242C">
              <w:rPr>
                <w:sz w:val="18"/>
                <w:szCs w:val="18"/>
              </w:rPr>
              <w:t>Other livestock farming</w:t>
            </w:r>
          </w:p>
        </w:tc>
        <w:tc>
          <w:tcPr>
            <w:tcW w:w="887" w:type="pct"/>
            <w:vAlign w:val="bottom"/>
          </w:tcPr>
          <w:p w:rsidR="00A654DD" w:rsidRPr="00A654DD" w:rsidRDefault="00A654DD" w:rsidP="00C93DE2">
            <w:pPr>
              <w:pStyle w:val="TableBodyText"/>
              <w:rPr>
                <w:sz w:val="18"/>
                <w:szCs w:val="18"/>
              </w:rPr>
            </w:pPr>
            <w:r w:rsidRPr="00A654DD">
              <w:rPr>
                <w:sz w:val="18"/>
                <w:szCs w:val="18"/>
              </w:rPr>
              <w:t>2</w:t>
            </w:r>
            <w:r w:rsidR="00C93DE2">
              <w:rPr>
                <w:sz w:val="18"/>
                <w:szCs w:val="18"/>
              </w:rPr>
              <w:t>2.2</w:t>
            </w:r>
          </w:p>
        </w:tc>
        <w:tc>
          <w:tcPr>
            <w:tcW w:w="887" w:type="pct"/>
            <w:vAlign w:val="bottom"/>
          </w:tcPr>
          <w:p w:rsidR="00A654DD" w:rsidRPr="00A654DD" w:rsidRDefault="00A654DD" w:rsidP="00A654DD">
            <w:pPr>
              <w:pStyle w:val="TableBodyText"/>
              <w:rPr>
                <w:sz w:val="18"/>
                <w:szCs w:val="18"/>
              </w:rPr>
            </w:pPr>
            <w:r w:rsidRPr="00A654DD">
              <w:rPr>
                <w:sz w:val="18"/>
                <w:szCs w:val="18"/>
              </w:rPr>
              <w:t>24.5</w:t>
            </w:r>
          </w:p>
        </w:tc>
        <w:tc>
          <w:tcPr>
            <w:tcW w:w="886" w:type="pct"/>
            <w:vAlign w:val="bottom"/>
          </w:tcPr>
          <w:p w:rsidR="00A654DD" w:rsidRPr="00A654DD" w:rsidRDefault="00A654DD" w:rsidP="00817952">
            <w:pPr>
              <w:pStyle w:val="TableBodyText"/>
              <w:rPr>
                <w:sz w:val="18"/>
                <w:szCs w:val="18"/>
              </w:rPr>
            </w:pPr>
            <w:r w:rsidRPr="00A654DD">
              <w:rPr>
                <w:sz w:val="18"/>
                <w:szCs w:val="18"/>
              </w:rPr>
              <w:t>4</w:t>
            </w:r>
            <w:r w:rsidR="00817952">
              <w:rPr>
                <w:sz w:val="18"/>
                <w:szCs w:val="18"/>
              </w:rPr>
              <w:t>6.7</w:t>
            </w:r>
          </w:p>
        </w:tc>
      </w:tr>
      <w:tr w:rsidR="00A654DD" w:rsidTr="00634213">
        <w:trPr>
          <w:trHeight w:val="170"/>
        </w:trPr>
        <w:tc>
          <w:tcPr>
            <w:tcW w:w="2340" w:type="pct"/>
            <w:vAlign w:val="center"/>
          </w:tcPr>
          <w:p w:rsidR="00A654DD" w:rsidRPr="00DD2C47" w:rsidRDefault="00A654DD" w:rsidP="007E3E60">
            <w:pPr>
              <w:pStyle w:val="TableBodyText"/>
              <w:jc w:val="left"/>
              <w:rPr>
                <w:sz w:val="18"/>
                <w:szCs w:val="18"/>
              </w:rPr>
            </w:pPr>
            <w:r w:rsidRPr="00B2242C">
              <w:rPr>
                <w:sz w:val="18"/>
                <w:szCs w:val="18"/>
              </w:rPr>
              <w:t>Aquaculture and fishing</w:t>
            </w:r>
            <w:r w:rsidRPr="00DD2C47">
              <w:rPr>
                <w:rStyle w:val="NoteLabel"/>
                <w:szCs w:val="18"/>
              </w:rPr>
              <w:t>a</w:t>
            </w:r>
          </w:p>
        </w:tc>
        <w:tc>
          <w:tcPr>
            <w:tcW w:w="887" w:type="pct"/>
            <w:vAlign w:val="bottom"/>
          </w:tcPr>
          <w:p w:rsidR="00A654DD" w:rsidRPr="00A654DD" w:rsidRDefault="00A654DD" w:rsidP="00C93DE2">
            <w:pPr>
              <w:pStyle w:val="TableBodyText"/>
              <w:spacing w:before="40"/>
              <w:rPr>
                <w:sz w:val="18"/>
                <w:szCs w:val="18"/>
              </w:rPr>
            </w:pPr>
            <w:r w:rsidRPr="00A654DD">
              <w:rPr>
                <w:sz w:val="18"/>
                <w:szCs w:val="18"/>
              </w:rPr>
              <w:t>5</w:t>
            </w:r>
            <w:r w:rsidR="00C93DE2">
              <w:rPr>
                <w:sz w:val="18"/>
                <w:szCs w:val="18"/>
              </w:rPr>
              <w:t>2.4</w:t>
            </w:r>
          </w:p>
        </w:tc>
        <w:tc>
          <w:tcPr>
            <w:tcW w:w="887" w:type="pct"/>
            <w:vAlign w:val="bottom"/>
          </w:tcPr>
          <w:p w:rsidR="00A654DD" w:rsidRPr="00A654DD" w:rsidRDefault="00A654DD" w:rsidP="006579E4">
            <w:pPr>
              <w:pStyle w:val="TableBodyText"/>
              <w:spacing w:before="40"/>
              <w:rPr>
                <w:sz w:val="18"/>
                <w:szCs w:val="18"/>
              </w:rPr>
            </w:pPr>
            <w:r w:rsidRPr="00A654DD">
              <w:rPr>
                <w:sz w:val="18"/>
                <w:szCs w:val="18"/>
              </w:rPr>
              <w:t>14.</w:t>
            </w:r>
            <w:r w:rsidR="006579E4">
              <w:rPr>
                <w:sz w:val="18"/>
                <w:szCs w:val="18"/>
              </w:rPr>
              <w:t>3</w:t>
            </w:r>
          </w:p>
        </w:tc>
        <w:tc>
          <w:tcPr>
            <w:tcW w:w="886" w:type="pct"/>
            <w:vAlign w:val="bottom"/>
          </w:tcPr>
          <w:p w:rsidR="00A654DD" w:rsidRPr="00A654DD" w:rsidRDefault="00A654DD" w:rsidP="00817952">
            <w:pPr>
              <w:pStyle w:val="TableBodyText"/>
              <w:spacing w:before="40"/>
              <w:rPr>
                <w:sz w:val="18"/>
                <w:szCs w:val="18"/>
              </w:rPr>
            </w:pPr>
            <w:r w:rsidRPr="00A654DD">
              <w:rPr>
                <w:sz w:val="18"/>
                <w:szCs w:val="18"/>
              </w:rPr>
              <w:t>6</w:t>
            </w:r>
            <w:r w:rsidR="00E0600F">
              <w:rPr>
                <w:sz w:val="18"/>
                <w:szCs w:val="18"/>
              </w:rPr>
              <w:t>6</w:t>
            </w:r>
            <w:r w:rsidR="00817952">
              <w:rPr>
                <w:sz w:val="18"/>
                <w:szCs w:val="18"/>
              </w:rPr>
              <w:t>.7</w:t>
            </w:r>
          </w:p>
        </w:tc>
      </w:tr>
      <w:tr w:rsidR="00A654DD" w:rsidTr="00634213">
        <w:trPr>
          <w:trHeight w:val="170"/>
        </w:trPr>
        <w:tc>
          <w:tcPr>
            <w:tcW w:w="2340" w:type="pct"/>
            <w:vAlign w:val="center"/>
          </w:tcPr>
          <w:p w:rsidR="00A654DD" w:rsidRPr="00B2242C" w:rsidRDefault="00A654DD" w:rsidP="00A77DC7">
            <w:pPr>
              <w:pStyle w:val="TableBodyText"/>
              <w:jc w:val="left"/>
              <w:rPr>
                <w:sz w:val="18"/>
                <w:szCs w:val="18"/>
              </w:rPr>
            </w:pPr>
            <w:r w:rsidRPr="00B2242C">
              <w:rPr>
                <w:sz w:val="18"/>
                <w:szCs w:val="18"/>
              </w:rPr>
              <w:t>Forestry and logging</w:t>
            </w:r>
          </w:p>
        </w:tc>
        <w:tc>
          <w:tcPr>
            <w:tcW w:w="887" w:type="pct"/>
            <w:vAlign w:val="bottom"/>
          </w:tcPr>
          <w:p w:rsidR="00A654DD" w:rsidRPr="00A654DD" w:rsidRDefault="00C93DE2" w:rsidP="00C93DE2">
            <w:pPr>
              <w:pStyle w:val="TableBodyText"/>
              <w:rPr>
                <w:sz w:val="18"/>
                <w:szCs w:val="18"/>
              </w:rPr>
            </w:pPr>
            <w:r>
              <w:rPr>
                <w:sz w:val="18"/>
                <w:szCs w:val="18"/>
              </w:rPr>
              <w:t>60.2</w:t>
            </w:r>
          </w:p>
        </w:tc>
        <w:tc>
          <w:tcPr>
            <w:tcW w:w="887" w:type="pct"/>
            <w:vAlign w:val="bottom"/>
          </w:tcPr>
          <w:p w:rsidR="00A654DD" w:rsidRPr="00A654DD" w:rsidRDefault="00A654DD" w:rsidP="006579E4">
            <w:pPr>
              <w:pStyle w:val="TableBodyText"/>
              <w:rPr>
                <w:sz w:val="18"/>
                <w:szCs w:val="18"/>
              </w:rPr>
            </w:pPr>
            <w:r w:rsidRPr="00A654DD">
              <w:rPr>
                <w:sz w:val="18"/>
                <w:szCs w:val="18"/>
              </w:rPr>
              <w:t>17.</w:t>
            </w:r>
            <w:r w:rsidR="006579E4">
              <w:rPr>
                <w:sz w:val="18"/>
                <w:szCs w:val="18"/>
              </w:rPr>
              <w:t>6</w:t>
            </w:r>
          </w:p>
        </w:tc>
        <w:tc>
          <w:tcPr>
            <w:tcW w:w="886" w:type="pct"/>
            <w:vAlign w:val="bottom"/>
          </w:tcPr>
          <w:p w:rsidR="00A654DD" w:rsidRPr="00A654DD" w:rsidRDefault="00A654DD" w:rsidP="00817952">
            <w:pPr>
              <w:pStyle w:val="TableBodyText"/>
              <w:rPr>
                <w:sz w:val="18"/>
                <w:szCs w:val="18"/>
              </w:rPr>
            </w:pPr>
            <w:r w:rsidRPr="00A654DD">
              <w:rPr>
                <w:sz w:val="18"/>
                <w:szCs w:val="18"/>
              </w:rPr>
              <w:t>7</w:t>
            </w:r>
            <w:r w:rsidR="00E0600F">
              <w:rPr>
                <w:sz w:val="18"/>
                <w:szCs w:val="18"/>
              </w:rPr>
              <w:t>7</w:t>
            </w:r>
            <w:r w:rsidR="00817952">
              <w:rPr>
                <w:sz w:val="18"/>
                <w:szCs w:val="18"/>
              </w:rPr>
              <w:t>.8</w:t>
            </w:r>
          </w:p>
        </w:tc>
      </w:tr>
      <w:tr w:rsidR="00A654DD" w:rsidTr="00634213">
        <w:trPr>
          <w:trHeight w:val="170"/>
        </w:trPr>
        <w:tc>
          <w:tcPr>
            <w:tcW w:w="2340" w:type="pct"/>
            <w:vAlign w:val="center"/>
          </w:tcPr>
          <w:p w:rsidR="00A654DD" w:rsidRPr="00B2242C" w:rsidRDefault="00A654DD" w:rsidP="00A77DC7">
            <w:pPr>
              <w:pStyle w:val="TableBodyText"/>
              <w:jc w:val="left"/>
              <w:rPr>
                <w:sz w:val="18"/>
                <w:szCs w:val="18"/>
              </w:rPr>
            </w:pPr>
            <w:r w:rsidRPr="00B2242C">
              <w:rPr>
                <w:sz w:val="18"/>
                <w:szCs w:val="18"/>
              </w:rPr>
              <w:t>Primary production support services</w:t>
            </w:r>
          </w:p>
        </w:tc>
        <w:tc>
          <w:tcPr>
            <w:tcW w:w="887" w:type="pct"/>
            <w:vAlign w:val="bottom"/>
          </w:tcPr>
          <w:p w:rsidR="00A654DD" w:rsidRPr="00A654DD" w:rsidRDefault="00C93DE2" w:rsidP="00C93DE2">
            <w:pPr>
              <w:pStyle w:val="TableBodyText"/>
              <w:rPr>
                <w:sz w:val="18"/>
                <w:szCs w:val="18"/>
              </w:rPr>
            </w:pPr>
            <w:r>
              <w:rPr>
                <w:sz w:val="18"/>
                <w:szCs w:val="18"/>
              </w:rPr>
              <w:t>4.6</w:t>
            </w:r>
          </w:p>
        </w:tc>
        <w:tc>
          <w:tcPr>
            <w:tcW w:w="887" w:type="pct"/>
            <w:vAlign w:val="bottom"/>
          </w:tcPr>
          <w:p w:rsidR="00A654DD" w:rsidRPr="00A654DD" w:rsidRDefault="00A654DD" w:rsidP="006579E4">
            <w:pPr>
              <w:pStyle w:val="TableBodyText"/>
              <w:rPr>
                <w:sz w:val="18"/>
                <w:szCs w:val="18"/>
              </w:rPr>
            </w:pPr>
            <w:r w:rsidRPr="00A654DD">
              <w:rPr>
                <w:sz w:val="18"/>
                <w:szCs w:val="18"/>
              </w:rPr>
              <w:t>14.</w:t>
            </w:r>
            <w:r w:rsidR="006579E4">
              <w:rPr>
                <w:sz w:val="18"/>
                <w:szCs w:val="18"/>
              </w:rPr>
              <w:t>6</w:t>
            </w:r>
          </w:p>
        </w:tc>
        <w:tc>
          <w:tcPr>
            <w:tcW w:w="886" w:type="pct"/>
            <w:vAlign w:val="bottom"/>
          </w:tcPr>
          <w:p w:rsidR="00A654DD" w:rsidRPr="00A654DD" w:rsidRDefault="00817952" w:rsidP="00817952">
            <w:pPr>
              <w:pStyle w:val="TableBodyText"/>
              <w:rPr>
                <w:sz w:val="18"/>
                <w:szCs w:val="18"/>
              </w:rPr>
            </w:pPr>
            <w:r>
              <w:rPr>
                <w:sz w:val="18"/>
                <w:szCs w:val="18"/>
              </w:rPr>
              <w:t>19.2</w:t>
            </w:r>
          </w:p>
        </w:tc>
      </w:tr>
      <w:tr w:rsidR="00A654DD" w:rsidTr="00634213">
        <w:trPr>
          <w:trHeight w:val="170"/>
        </w:trPr>
        <w:tc>
          <w:tcPr>
            <w:tcW w:w="2340" w:type="pct"/>
            <w:vAlign w:val="center"/>
          </w:tcPr>
          <w:p w:rsidR="00A654DD" w:rsidRPr="00DD2C47" w:rsidRDefault="00A654DD" w:rsidP="007E3E60">
            <w:pPr>
              <w:pStyle w:val="TableBodyText"/>
              <w:jc w:val="left"/>
              <w:rPr>
                <w:sz w:val="18"/>
                <w:szCs w:val="18"/>
              </w:rPr>
            </w:pPr>
            <w:r w:rsidRPr="00B2242C">
              <w:rPr>
                <w:sz w:val="18"/>
                <w:szCs w:val="18"/>
              </w:rPr>
              <w:t>Unallocated primary production</w:t>
            </w:r>
            <w:r w:rsidRPr="00DD2C47">
              <w:rPr>
                <w:rStyle w:val="NoteLabel"/>
                <w:szCs w:val="18"/>
              </w:rPr>
              <w:t>b</w:t>
            </w:r>
          </w:p>
        </w:tc>
        <w:tc>
          <w:tcPr>
            <w:tcW w:w="887" w:type="pct"/>
            <w:vAlign w:val="bottom"/>
          </w:tcPr>
          <w:p w:rsidR="00A654DD" w:rsidRPr="00A654DD" w:rsidRDefault="00A654DD" w:rsidP="00E0600F">
            <w:pPr>
              <w:pStyle w:val="TableBodyText"/>
              <w:spacing w:before="40"/>
              <w:rPr>
                <w:sz w:val="18"/>
                <w:szCs w:val="18"/>
              </w:rPr>
            </w:pPr>
            <w:r w:rsidRPr="00A654DD">
              <w:rPr>
                <w:sz w:val="18"/>
                <w:szCs w:val="18"/>
              </w:rPr>
              <w:t>3</w:t>
            </w:r>
            <w:r w:rsidR="00E0600F">
              <w:rPr>
                <w:sz w:val="18"/>
                <w:szCs w:val="18"/>
              </w:rPr>
              <w:t>95.8</w:t>
            </w:r>
          </w:p>
        </w:tc>
        <w:tc>
          <w:tcPr>
            <w:tcW w:w="887" w:type="pct"/>
            <w:vAlign w:val="bottom"/>
          </w:tcPr>
          <w:p w:rsidR="00A654DD" w:rsidRPr="00A654DD" w:rsidRDefault="006579E4" w:rsidP="006579E4">
            <w:pPr>
              <w:pStyle w:val="TableBodyText"/>
              <w:spacing w:before="40"/>
              <w:rPr>
                <w:sz w:val="18"/>
                <w:szCs w:val="18"/>
              </w:rPr>
            </w:pPr>
            <w:r>
              <w:rPr>
                <w:sz w:val="18"/>
                <w:szCs w:val="18"/>
              </w:rPr>
              <w:t>1.8</w:t>
            </w:r>
          </w:p>
        </w:tc>
        <w:tc>
          <w:tcPr>
            <w:tcW w:w="886" w:type="pct"/>
            <w:vAlign w:val="bottom"/>
          </w:tcPr>
          <w:p w:rsidR="00A654DD" w:rsidRPr="00A654DD" w:rsidRDefault="00817952" w:rsidP="00817952">
            <w:pPr>
              <w:pStyle w:val="TableBodyText"/>
              <w:spacing w:before="40"/>
              <w:rPr>
                <w:sz w:val="18"/>
                <w:szCs w:val="18"/>
              </w:rPr>
            </w:pPr>
            <w:r>
              <w:rPr>
                <w:sz w:val="18"/>
                <w:szCs w:val="18"/>
              </w:rPr>
              <w:t>397.6</w:t>
            </w:r>
          </w:p>
        </w:tc>
      </w:tr>
      <w:tr w:rsidR="00A654DD" w:rsidTr="00634213">
        <w:trPr>
          <w:trHeight w:val="227"/>
        </w:trPr>
        <w:tc>
          <w:tcPr>
            <w:tcW w:w="2340" w:type="pct"/>
            <w:vAlign w:val="center"/>
          </w:tcPr>
          <w:p w:rsidR="00A654DD" w:rsidRPr="00B2242C" w:rsidRDefault="00A654DD" w:rsidP="00A77DC7">
            <w:pPr>
              <w:pStyle w:val="TableBodyText"/>
              <w:jc w:val="left"/>
              <w:rPr>
                <w:b/>
                <w:sz w:val="18"/>
                <w:szCs w:val="18"/>
              </w:rPr>
            </w:pPr>
            <w:r w:rsidRPr="00B2242C">
              <w:rPr>
                <w:b/>
                <w:sz w:val="18"/>
                <w:szCs w:val="18"/>
              </w:rPr>
              <w:t>Mining</w:t>
            </w:r>
          </w:p>
        </w:tc>
        <w:tc>
          <w:tcPr>
            <w:tcW w:w="887" w:type="pct"/>
            <w:vAlign w:val="bottom"/>
          </w:tcPr>
          <w:p w:rsidR="00A654DD" w:rsidRPr="00A654DD" w:rsidRDefault="00C93DE2" w:rsidP="00C93DE2">
            <w:pPr>
              <w:pStyle w:val="TableBodyText"/>
              <w:rPr>
                <w:b/>
                <w:bCs/>
                <w:sz w:val="18"/>
                <w:szCs w:val="18"/>
              </w:rPr>
            </w:pPr>
            <w:r>
              <w:rPr>
                <w:b/>
                <w:bCs/>
                <w:sz w:val="18"/>
                <w:szCs w:val="18"/>
              </w:rPr>
              <w:t>400.9</w:t>
            </w:r>
          </w:p>
        </w:tc>
        <w:tc>
          <w:tcPr>
            <w:tcW w:w="887" w:type="pct"/>
            <w:vAlign w:val="bottom"/>
          </w:tcPr>
          <w:p w:rsidR="00A654DD" w:rsidRPr="00A654DD" w:rsidRDefault="006579E4" w:rsidP="006579E4">
            <w:pPr>
              <w:pStyle w:val="TableBodyText"/>
              <w:rPr>
                <w:b/>
                <w:bCs/>
                <w:sz w:val="18"/>
                <w:szCs w:val="18"/>
              </w:rPr>
            </w:pPr>
            <w:r>
              <w:rPr>
                <w:b/>
                <w:bCs/>
                <w:sz w:val="18"/>
                <w:szCs w:val="18"/>
              </w:rPr>
              <w:t>299.5</w:t>
            </w:r>
          </w:p>
        </w:tc>
        <w:tc>
          <w:tcPr>
            <w:tcW w:w="886" w:type="pct"/>
            <w:vAlign w:val="bottom"/>
          </w:tcPr>
          <w:p w:rsidR="00A654DD" w:rsidRPr="00A654DD" w:rsidRDefault="00817952" w:rsidP="00817952">
            <w:pPr>
              <w:pStyle w:val="TableBodyText"/>
              <w:rPr>
                <w:b/>
                <w:bCs/>
                <w:sz w:val="18"/>
                <w:szCs w:val="18"/>
              </w:rPr>
            </w:pPr>
            <w:r>
              <w:rPr>
                <w:b/>
                <w:bCs/>
                <w:sz w:val="18"/>
                <w:szCs w:val="18"/>
              </w:rPr>
              <w:t>700.4</w:t>
            </w:r>
          </w:p>
        </w:tc>
      </w:tr>
      <w:tr w:rsidR="00A654DD" w:rsidTr="00634213">
        <w:trPr>
          <w:trHeight w:val="227"/>
        </w:trPr>
        <w:tc>
          <w:tcPr>
            <w:tcW w:w="2340" w:type="pct"/>
            <w:vAlign w:val="center"/>
          </w:tcPr>
          <w:p w:rsidR="00A654DD" w:rsidRPr="00B2242C" w:rsidRDefault="00A654DD" w:rsidP="00A77DC7">
            <w:pPr>
              <w:pStyle w:val="TableBodyText"/>
              <w:jc w:val="left"/>
              <w:rPr>
                <w:b/>
                <w:sz w:val="18"/>
                <w:szCs w:val="18"/>
              </w:rPr>
            </w:pPr>
            <w:r w:rsidRPr="00B2242C">
              <w:rPr>
                <w:b/>
                <w:sz w:val="18"/>
                <w:szCs w:val="18"/>
              </w:rPr>
              <w:t>Manufacturing</w:t>
            </w:r>
          </w:p>
        </w:tc>
        <w:tc>
          <w:tcPr>
            <w:tcW w:w="887" w:type="pct"/>
            <w:vAlign w:val="bottom"/>
          </w:tcPr>
          <w:p w:rsidR="00A654DD" w:rsidRPr="00A654DD" w:rsidRDefault="00E0600F" w:rsidP="00C93DE2">
            <w:pPr>
              <w:pStyle w:val="TableBodyText"/>
              <w:rPr>
                <w:b/>
                <w:bCs/>
                <w:sz w:val="18"/>
                <w:szCs w:val="18"/>
              </w:rPr>
            </w:pPr>
            <w:r>
              <w:rPr>
                <w:b/>
                <w:bCs/>
                <w:sz w:val="18"/>
                <w:szCs w:val="18"/>
              </w:rPr>
              <w:t>1</w:t>
            </w:r>
            <w:r w:rsidR="00C93DE2">
              <w:rPr>
                <w:b/>
                <w:bCs/>
                <w:sz w:val="18"/>
                <w:szCs w:val="18"/>
              </w:rPr>
              <w:t>389.9</w:t>
            </w:r>
          </w:p>
        </w:tc>
        <w:tc>
          <w:tcPr>
            <w:tcW w:w="887" w:type="pct"/>
            <w:vAlign w:val="bottom"/>
          </w:tcPr>
          <w:p w:rsidR="00A654DD" w:rsidRPr="00A654DD" w:rsidRDefault="006579E4" w:rsidP="006579E4">
            <w:pPr>
              <w:pStyle w:val="TableBodyText"/>
              <w:rPr>
                <w:b/>
                <w:bCs/>
                <w:sz w:val="18"/>
                <w:szCs w:val="18"/>
              </w:rPr>
            </w:pPr>
            <w:r>
              <w:rPr>
                <w:b/>
                <w:bCs/>
                <w:sz w:val="18"/>
                <w:szCs w:val="18"/>
              </w:rPr>
              <w:t>362.6</w:t>
            </w:r>
          </w:p>
        </w:tc>
        <w:tc>
          <w:tcPr>
            <w:tcW w:w="886" w:type="pct"/>
            <w:vAlign w:val="bottom"/>
          </w:tcPr>
          <w:p w:rsidR="00A654DD" w:rsidRPr="00A654DD" w:rsidRDefault="00817952" w:rsidP="00817952">
            <w:pPr>
              <w:pStyle w:val="TableBodyText"/>
              <w:rPr>
                <w:b/>
                <w:bCs/>
                <w:sz w:val="18"/>
                <w:szCs w:val="18"/>
              </w:rPr>
            </w:pPr>
            <w:r>
              <w:rPr>
                <w:b/>
                <w:bCs/>
                <w:sz w:val="18"/>
                <w:szCs w:val="18"/>
              </w:rPr>
              <w:t>1752.6</w:t>
            </w:r>
          </w:p>
        </w:tc>
      </w:tr>
      <w:tr w:rsidR="00A654DD" w:rsidTr="00634213">
        <w:trPr>
          <w:trHeight w:val="170"/>
        </w:trPr>
        <w:tc>
          <w:tcPr>
            <w:tcW w:w="2340" w:type="pct"/>
            <w:vAlign w:val="center"/>
          </w:tcPr>
          <w:p w:rsidR="00A654DD" w:rsidRPr="00B2242C" w:rsidRDefault="00A654DD" w:rsidP="00A77DC7">
            <w:pPr>
              <w:pStyle w:val="TableBodyText"/>
              <w:jc w:val="left"/>
              <w:rPr>
                <w:sz w:val="18"/>
                <w:szCs w:val="18"/>
              </w:rPr>
            </w:pPr>
            <w:r w:rsidRPr="00B2242C">
              <w:rPr>
                <w:sz w:val="18"/>
                <w:szCs w:val="18"/>
              </w:rPr>
              <w:t>Food, beverages and tobacco</w:t>
            </w:r>
          </w:p>
        </w:tc>
        <w:tc>
          <w:tcPr>
            <w:tcW w:w="887" w:type="pct"/>
            <w:vAlign w:val="bottom"/>
          </w:tcPr>
          <w:p w:rsidR="00A654DD" w:rsidRPr="00A654DD" w:rsidRDefault="00A654DD" w:rsidP="00C93DE2">
            <w:pPr>
              <w:pStyle w:val="TableBodyText"/>
              <w:rPr>
                <w:sz w:val="18"/>
                <w:szCs w:val="18"/>
              </w:rPr>
            </w:pPr>
            <w:r w:rsidRPr="00A654DD">
              <w:rPr>
                <w:sz w:val="18"/>
                <w:szCs w:val="18"/>
              </w:rPr>
              <w:t>4</w:t>
            </w:r>
            <w:r w:rsidR="00C93DE2">
              <w:rPr>
                <w:sz w:val="18"/>
                <w:szCs w:val="18"/>
              </w:rPr>
              <w:t>4.6</w:t>
            </w:r>
          </w:p>
        </w:tc>
        <w:tc>
          <w:tcPr>
            <w:tcW w:w="887" w:type="pct"/>
            <w:vAlign w:val="bottom"/>
          </w:tcPr>
          <w:p w:rsidR="00A654DD" w:rsidRPr="00A654DD" w:rsidRDefault="006579E4" w:rsidP="006579E4">
            <w:pPr>
              <w:pStyle w:val="TableBodyText"/>
              <w:rPr>
                <w:sz w:val="18"/>
                <w:szCs w:val="18"/>
              </w:rPr>
            </w:pPr>
            <w:r>
              <w:rPr>
                <w:sz w:val="18"/>
                <w:szCs w:val="18"/>
              </w:rPr>
              <w:t>61.3</w:t>
            </w:r>
          </w:p>
        </w:tc>
        <w:tc>
          <w:tcPr>
            <w:tcW w:w="886" w:type="pct"/>
            <w:vAlign w:val="bottom"/>
          </w:tcPr>
          <w:p w:rsidR="00A654DD" w:rsidRPr="00A654DD" w:rsidRDefault="00A654DD" w:rsidP="00817952">
            <w:pPr>
              <w:pStyle w:val="TableBodyText"/>
              <w:rPr>
                <w:sz w:val="18"/>
                <w:szCs w:val="18"/>
              </w:rPr>
            </w:pPr>
            <w:r w:rsidRPr="00A654DD">
              <w:rPr>
                <w:sz w:val="18"/>
                <w:szCs w:val="18"/>
              </w:rPr>
              <w:t>1</w:t>
            </w:r>
            <w:r w:rsidR="00817952">
              <w:rPr>
                <w:sz w:val="18"/>
                <w:szCs w:val="18"/>
              </w:rPr>
              <w:t>05.8</w:t>
            </w:r>
          </w:p>
        </w:tc>
      </w:tr>
      <w:tr w:rsidR="00A654DD" w:rsidTr="00634213">
        <w:trPr>
          <w:trHeight w:val="170"/>
        </w:trPr>
        <w:tc>
          <w:tcPr>
            <w:tcW w:w="2340" w:type="pct"/>
            <w:vAlign w:val="center"/>
          </w:tcPr>
          <w:p w:rsidR="00A654DD" w:rsidRPr="00B2242C" w:rsidRDefault="00A654DD" w:rsidP="00A77DC7">
            <w:pPr>
              <w:pStyle w:val="TableBodyText"/>
              <w:jc w:val="left"/>
              <w:rPr>
                <w:sz w:val="18"/>
                <w:szCs w:val="18"/>
              </w:rPr>
            </w:pPr>
            <w:r w:rsidRPr="00B2242C">
              <w:rPr>
                <w:sz w:val="18"/>
                <w:szCs w:val="18"/>
              </w:rPr>
              <w:t>Textile, leather, clothing and footwear</w:t>
            </w:r>
          </w:p>
        </w:tc>
        <w:tc>
          <w:tcPr>
            <w:tcW w:w="887" w:type="pct"/>
            <w:vAlign w:val="bottom"/>
          </w:tcPr>
          <w:p w:rsidR="00A654DD" w:rsidRPr="00A654DD" w:rsidRDefault="00C93DE2" w:rsidP="00C93DE2">
            <w:pPr>
              <w:pStyle w:val="TableBodyText"/>
              <w:rPr>
                <w:sz w:val="18"/>
                <w:szCs w:val="18"/>
              </w:rPr>
            </w:pPr>
            <w:r>
              <w:rPr>
                <w:sz w:val="18"/>
                <w:szCs w:val="18"/>
              </w:rPr>
              <w:t>53.4</w:t>
            </w:r>
          </w:p>
        </w:tc>
        <w:tc>
          <w:tcPr>
            <w:tcW w:w="887" w:type="pct"/>
            <w:vAlign w:val="bottom"/>
          </w:tcPr>
          <w:p w:rsidR="00A654DD" w:rsidRPr="00A654DD" w:rsidRDefault="006579E4" w:rsidP="006579E4">
            <w:pPr>
              <w:pStyle w:val="TableBodyText"/>
              <w:rPr>
                <w:sz w:val="18"/>
                <w:szCs w:val="18"/>
              </w:rPr>
            </w:pPr>
            <w:r>
              <w:rPr>
                <w:sz w:val="18"/>
                <w:szCs w:val="18"/>
              </w:rPr>
              <w:t>6.6</w:t>
            </w:r>
          </w:p>
        </w:tc>
        <w:tc>
          <w:tcPr>
            <w:tcW w:w="886" w:type="pct"/>
            <w:vAlign w:val="bottom"/>
          </w:tcPr>
          <w:p w:rsidR="00A654DD" w:rsidRPr="00A654DD" w:rsidRDefault="00817952" w:rsidP="00817952">
            <w:pPr>
              <w:pStyle w:val="TableBodyText"/>
              <w:rPr>
                <w:sz w:val="18"/>
                <w:szCs w:val="18"/>
              </w:rPr>
            </w:pPr>
            <w:r>
              <w:rPr>
                <w:sz w:val="18"/>
                <w:szCs w:val="18"/>
              </w:rPr>
              <w:t>60.0</w:t>
            </w:r>
          </w:p>
        </w:tc>
      </w:tr>
      <w:tr w:rsidR="00A654DD" w:rsidTr="00634213">
        <w:trPr>
          <w:trHeight w:val="170"/>
        </w:trPr>
        <w:tc>
          <w:tcPr>
            <w:tcW w:w="2340" w:type="pct"/>
            <w:vAlign w:val="center"/>
          </w:tcPr>
          <w:p w:rsidR="00A654DD" w:rsidRPr="00B2242C" w:rsidRDefault="00A654DD" w:rsidP="00A77DC7">
            <w:pPr>
              <w:pStyle w:val="TableBodyText"/>
              <w:jc w:val="left"/>
              <w:rPr>
                <w:sz w:val="18"/>
                <w:szCs w:val="18"/>
              </w:rPr>
            </w:pPr>
            <w:r w:rsidRPr="00B2242C">
              <w:rPr>
                <w:sz w:val="18"/>
                <w:szCs w:val="18"/>
              </w:rPr>
              <w:t>Wood and paper products</w:t>
            </w:r>
          </w:p>
        </w:tc>
        <w:tc>
          <w:tcPr>
            <w:tcW w:w="887" w:type="pct"/>
            <w:vAlign w:val="bottom"/>
          </w:tcPr>
          <w:p w:rsidR="00A654DD" w:rsidRPr="00A654DD" w:rsidRDefault="00E0600F" w:rsidP="00C93DE2">
            <w:pPr>
              <w:pStyle w:val="TableBodyText"/>
              <w:rPr>
                <w:sz w:val="18"/>
                <w:szCs w:val="18"/>
              </w:rPr>
            </w:pPr>
            <w:r>
              <w:rPr>
                <w:sz w:val="18"/>
                <w:szCs w:val="18"/>
              </w:rPr>
              <w:t>8.</w:t>
            </w:r>
            <w:r w:rsidR="00C93DE2">
              <w:rPr>
                <w:sz w:val="18"/>
                <w:szCs w:val="18"/>
              </w:rPr>
              <w:t>4</w:t>
            </w:r>
          </w:p>
        </w:tc>
        <w:tc>
          <w:tcPr>
            <w:tcW w:w="887" w:type="pct"/>
            <w:vAlign w:val="bottom"/>
          </w:tcPr>
          <w:p w:rsidR="00A654DD" w:rsidRPr="00A654DD" w:rsidRDefault="006579E4" w:rsidP="006579E4">
            <w:pPr>
              <w:pStyle w:val="TableBodyText"/>
              <w:rPr>
                <w:sz w:val="18"/>
                <w:szCs w:val="18"/>
              </w:rPr>
            </w:pPr>
            <w:r>
              <w:rPr>
                <w:sz w:val="18"/>
                <w:szCs w:val="18"/>
              </w:rPr>
              <w:t>9.6</w:t>
            </w:r>
          </w:p>
        </w:tc>
        <w:tc>
          <w:tcPr>
            <w:tcW w:w="886" w:type="pct"/>
            <w:vAlign w:val="bottom"/>
          </w:tcPr>
          <w:p w:rsidR="00A654DD" w:rsidRPr="00A654DD" w:rsidRDefault="00817952" w:rsidP="00817952">
            <w:pPr>
              <w:pStyle w:val="TableBodyText"/>
              <w:rPr>
                <w:sz w:val="18"/>
                <w:szCs w:val="18"/>
              </w:rPr>
            </w:pPr>
            <w:r>
              <w:rPr>
                <w:sz w:val="18"/>
                <w:szCs w:val="18"/>
              </w:rPr>
              <w:t>18.0</w:t>
            </w:r>
          </w:p>
        </w:tc>
      </w:tr>
      <w:tr w:rsidR="00A654DD" w:rsidTr="00634213">
        <w:trPr>
          <w:trHeight w:val="170"/>
        </w:trPr>
        <w:tc>
          <w:tcPr>
            <w:tcW w:w="2340" w:type="pct"/>
            <w:vAlign w:val="center"/>
          </w:tcPr>
          <w:p w:rsidR="00A654DD" w:rsidRPr="00B2242C" w:rsidRDefault="00A654DD" w:rsidP="00A77DC7">
            <w:pPr>
              <w:pStyle w:val="TableBodyText"/>
              <w:jc w:val="left"/>
              <w:rPr>
                <w:sz w:val="18"/>
                <w:szCs w:val="18"/>
              </w:rPr>
            </w:pPr>
            <w:r w:rsidRPr="00B2242C">
              <w:rPr>
                <w:sz w:val="18"/>
                <w:szCs w:val="18"/>
              </w:rPr>
              <w:t>Printing and recorded media</w:t>
            </w:r>
          </w:p>
        </w:tc>
        <w:tc>
          <w:tcPr>
            <w:tcW w:w="887" w:type="pct"/>
            <w:vAlign w:val="bottom"/>
          </w:tcPr>
          <w:p w:rsidR="00A654DD" w:rsidRPr="00A654DD" w:rsidRDefault="00E0600F" w:rsidP="00C93DE2">
            <w:pPr>
              <w:pStyle w:val="TableBodyText"/>
              <w:rPr>
                <w:sz w:val="18"/>
                <w:szCs w:val="18"/>
              </w:rPr>
            </w:pPr>
            <w:r>
              <w:rPr>
                <w:sz w:val="18"/>
                <w:szCs w:val="18"/>
              </w:rPr>
              <w:t>8.</w:t>
            </w:r>
            <w:r w:rsidR="00C93DE2">
              <w:rPr>
                <w:sz w:val="18"/>
                <w:szCs w:val="18"/>
              </w:rPr>
              <w:t>4</w:t>
            </w:r>
          </w:p>
        </w:tc>
        <w:tc>
          <w:tcPr>
            <w:tcW w:w="887" w:type="pct"/>
            <w:vAlign w:val="bottom"/>
          </w:tcPr>
          <w:p w:rsidR="00A654DD" w:rsidRPr="00A654DD" w:rsidRDefault="006579E4" w:rsidP="006579E4">
            <w:pPr>
              <w:pStyle w:val="TableBodyText"/>
              <w:rPr>
                <w:sz w:val="18"/>
                <w:szCs w:val="18"/>
              </w:rPr>
            </w:pPr>
            <w:r>
              <w:rPr>
                <w:sz w:val="18"/>
                <w:szCs w:val="18"/>
              </w:rPr>
              <w:t>4.3</w:t>
            </w:r>
          </w:p>
        </w:tc>
        <w:tc>
          <w:tcPr>
            <w:tcW w:w="886" w:type="pct"/>
            <w:vAlign w:val="bottom"/>
          </w:tcPr>
          <w:p w:rsidR="00A654DD" w:rsidRPr="00A654DD" w:rsidRDefault="00A654DD" w:rsidP="00817952">
            <w:pPr>
              <w:pStyle w:val="TableBodyText"/>
              <w:rPr>
                <w:sz w:val="18"/>
                <w:szCs w:val="18"/>
              </w:rPr>
            </w:pPr>
            <w:r w:rsidRPr="00A654DD">
              <w:rPr>
                <w:sz w:val="18"/>
                <w:szCs w:val="18"/>
              </w:rPr>
              <w:t>1</w:t>
            </w:r>
            <w:r w:rsidR="00817952">
              <w:rPr>
                <w:sz w:val="18"/>
                <w:szCs w:val="18"/>
              </w:rPr>
              <w:t>2.7</w:t>
            </w:r>
          </w:p>
        </w:tc>
      </w:tr>
      <w:tr w:rsidR="00A654DD" w:rsidTr="00634213">
        <w:trPr>
          <w:trHeight w:val="170"/>
        </w:trPr>
        <w:tc>
          <w:tcPr>
            <w:tcW w:w="2340" w:type="pct"/>
            <w:vAlign w:val="center"/>
          </w:tcPr>
          <w:p w:rsidR="00A654DD" w:rsidRPr="00B2242C" w:rsidRDefault="00A654DD" w:rsidP="00A77DC7">
            <w:pPr>
              <w:pStyle w:val="TableBodyText"/>
              <w:jc w:val="left"/>
              <w:rPr>
                <w:sz w:val="18"/>
                <w:szCs w:val="18"/>
              </w:rPr>
            </w:pPr>
            <w:r w:rsidRPr="00B2242C">
              <w:rPr>
                <w:sz w:val="18"/>
                <w:szCs w:val="18"/>
              </w:rPr>
              <w:t xml:space="preserve">Petroleum, coal, chemical and rubber prod. </w:t>
            </w:r>
          </w:p>
        </w:tc>
        <w:tc>
          <w:tcPr>
            <w:tcW w:w="887" w:type="pct"/>
            <w:vAlign w:val="bottom"/>
          </w:tcPr>
          <w:p w:rsidR="00A654DD" w:rsidRPr="00A654DD" w:rsidRDefault="00A654DD" w:rsidP="00C93DE2">
            <w:pPr>
              <w:pStyle w:val="TableBodyText"/>
              <w:rPr>
                <w:sz w:val="18"/>
                <w:szCs w:val="18"/>
              </w:rPr>
            </w:pPr>
            <w:r w:rsidRPr="00A654DD">
              <w:rPr>
                <w:sz w:val="18"/>
                <w:szCs w:val="18"/>
              </w:rPr>
              <w:t>1</w:t>
            </w:r>
            <w:r w:rsidR="00C93DE2">
              <w:rPr>
                <w:sz w:val="18"/>
                <w:szCs w:val="18"/>
              </w:rPr>
              <w:t>77.7</w:t>
            </w:r>
          </w:p>
        </w:tc>
        <w:tc>
          <w:tcPr>
            <w:tcW w:w="887" w:type="pct"/>
            <w:vAlign w:val="bottom"/>
          </w:tcPr>
          <w:p w:rsidR="00A654DD" w:rsidRPr="00A654DD" w:rsidRDefault="006579E4" w:rsidP="006579E4">
            <w:pPr>
              <w:pStyle w:val="TableBodyText"/>
              <w:rPr>
                <w:sz w:val="18"/>
                <w:szCs w:val="18"/>
              </w:rPr>
            </w:pPr>
            <w:r>
              <w:rPr>
                <w:sz w:val="18"/>
                <w:szCs w:val="18"/>
              </w:rPr>
              <w:t>46.1</w:t>
            </w:r>
          </w:p>
        </w:tc>
        <w:tc>
          <w:tcPr>
            <w:tcW w:w="886" w:type="pct"/>
            <w:vAlign w:val="bottom"/>
          </w:tcPr>
          <w:p w:rsidR="00A654DD" w:rsidRPr="00A654DD" w:rsidRDefault="00817952" w:rsidP="00817952">
            <w:pPr>
              <w:pStyle w:val="TableBodyText"/>
              <w:rPr>
                <w:sz w:val="18"/>
                <w:szCs w:val="18"/>
              </w:rPr>
            </w:pPr>
            <w:r>
              <w:rPr>
                <w:sz w:val="18"/>
                <w:szCs w:val="18"/>
              </w:rPr>
              <w:t>223.8</w:t>
            </w:r>
          </w:p>
        </w:tc>
      </w:tr>
      <w:tr w:rsidR="00A654DD" w:rsidTr="00634213">
        <w:trPr>
          <w:trHeight w:val="170"/>
        </w:trPr>
        <w:tc>
          <w:tcPr>
            <w:tcW w:w="2340" w:type="pct"/>
            <w:vAlign w:val="center"/>
          </w:tcPr>
          <w:p w:rsidR="00A654DD" w:rsidRPr="00B2242C" w:rsidRDefault="00A654DD" w:rsidP="00A77DC7">
            <w:pPr>
              <w:pStyle w:val="TableBodyText"/>
              <w:jc w:val="left"/>
              <w:rPr>
                <w:sz w:val="18"/>
                <w:szCs w:val="18"/>
              </w:rPr>
            </w:pPr>
            <w:r w:rsidRPr="00B2242C">
              <w:rPr>
                <w:sz w:val="18"/>
                <w:szCs w:val="18"/>
              </w:rPr>
              <w:t>Non-metallic mineral products</w:t>
            </w:r>
          </w:p>
        </w:tc>
        <w:tc>
          <w:tcPr>
            <w:tcW w:w="887" w:type="pct"/>
            <w:vAlign w:val="bottom"/>
          </w:tcPr>
          <w:p w:rsidR="00A654DD" w:rsidRPr="00A654DD" w:rsidRDefault="00A654DD" w:rsidP="00C93DE2">
            <w:pPr>
              <w:pStyle w:val="TableBodyText"/>
              <w:rPr>
                <w:sz w:val="18"/>
                <w:szCs w:val="18"/>
              </w:rPr>
            </w:pPr>
            <w:r w:rsidRPr="00A654DD">
              <w:rPr>
                <w:sz w:val="18"/>
                <w:szCs w:val="18"/>
              </w:rPr>
              <w:t>8.</w:t>
            </w:r>
            <w:r w:rsidR="00C93DE2">
              <w:rPr>
                <w:sz w:val="18"/>
                <w:szCs w:val="18"/>
              </w:rPr>
              <w:t>6</w:t>
            </w:r>
          </w:p>
        </w:tc>
        <w:tc>
          <w:tcPr>
            <w:tcW w:w="887" w:type="pct"/>
            <w:vAlign w:val="bottom"/>
          </w:tcPr>
          <w:p w:rsidR="00A654DD" w:rsidRPr="00A654DD" w:rsidRDefault="006579E4" w:rsidP="006579E4">
            <w:pPr>
              <w:pStyle w:val="TableBodyText"/>
              <w:rPr>
                <w:sz w:val="18"/>
                <w:szCs w:val="18"/>
              </w:rPr>
            </w:pPr>
            <w:r>
              <w:rPr>
                <w:sz w:val="18"/>
                <w:szCs w:val="18"/>
              </w:rPr>
              <w:t>10.1</w:t>
            </w:r>
          </w:p>
        </w:tc>
        <w:tc>
          <w:tcPr>
            <w:tcW w:w="886" w:type="pct"/>
            <w:vAlign w:val="bottom"/>
          </w:tcPr>
          <w:p w:rsidR="00A654DD" w:rsidRPr="00A654DD" w:rsidRDefault="00A654DD" w:rsidP="00817952">
            <w:pPr>
              <w:pStyle w:val="TableBodyText"/>
              <w:rPr>
                <w:sz w:val="18"/>
                <w:szCs w:val="18"/>
              </w:rPr>
            </w:pPr>
            <w:r w:rsidRPr="00A654DD">
              <w:rPr>
                <w:sz w:val="18"/>
                <w:szCs w:val="18"/>
              </w:rPr>
              <w:t>1</w:t>
            </w:r>
            <w:r w:rsidR="00817952">
              <w:rPr>
                <w:sz w:val="18"/>
                <w:szCs w:val="18"/>
              </w:rPr>
              <w:t>8.7</w:t>
            </w:r>
          </w:p>
        </w:tc>
      </w:tr>
      <w:tr w:rsidR="00A654DD" w:rsidTr="00634213">
        <w:trPr>
          <w:trHeight w:val="170"/>
        </w:trPr>
        <w:tc>
          <w:tcPr>
            <w:tcW w:w="2340" w:type="pct"/>
            <w:vAlign w:val="center"/>
          </w:tcPr>
          <w:p w:rsidR="00A654DD" w:rsidRPr="00B2242C" w:rsidRDefault="00A654DD" w:rsidP="00A77DC7">
            <w:pPr>
              <w:pStyle w:val="TableBodyText"/>
              <w:jc w:val="left"/>
              <w:rPr>
                <w:sz w:val="18"/>
                <w:szCs w:val="18"/>
              </w:rPr>
            </w:pPr>
            <w:r w:rsidRPr="00B2242C">
              <w:rPr>
                <w:sz w:val="18"/>
                <w:szCs w:val="18"/>
              </w:rPr>
              <w:t>Metal and fabricated metal products</w:t>
            </w:r>
          </w:p>
        </w:tc>
        <w:tc>
          <w:tcPr>
            <w:tcW w:w="887" w:type="pct"/>
            <w:vAlign w:val="bottom"/>
          </w:tcPr>
          <w:p w:rsidR="00A654DD" w:rsidRPr="00A654DD" w:rsidRDefault="00E0600F" w:rsidP="00C93DE2">
            <w:pPr>
              <w:pStyle w:val="TableBodyText"/>
              <w:rPr>
                <w:sz w:val="18"/>
                <w:szCs w:val="18"/>
              </w:rPr>
            </w:pPr>
            <w:r>
              <w:rPr>
                <w:sz w:val="18"/>
                <w:szCs w:val="18"/>
              </w:rPr>
              <w:t>22</w:t>
            </w:r>
            <w:r w:rsidR="00C93DE2">
              <w:rPr>
                <w:sz w:val="18"/>
                <w:szCs w:val="18"/>
              </w:rPr>
              <w:t>0.4</w:t>
            </w:r>
          </w:p>
        </w:tc>
        <w:tc>
          <w:tcPr>
            <w:tcW w:w="887" w:type="pct"/>
            <w:vAlign w:val="bottom"/>
          </w:tcPr>
          <w:p w:rsidR="00A654DD" w:rsidRPr="00A654DD" w:rsidRDefault="006579E4" w:rsidP="006579E4">
            <w:pPr>
              <w:pStyle w:val="TableBodyText"/>
              <w:rPr>
                <w:sz w:val="18"/>
                <w:szCs w:val="18"/>
              </w:rPr>
            </w:pPr>
            <w:r>
              <w:rPr>
                <w:sz w:val="18"/>
                <w:szCs w:val="18"/>
              </w:rPr>
              <w:t>45.5</w:t>
            </w:r>
          </w:p>
        </w:tc>
        <w:tc>
          <w:tcPr>
            <w:tcW w:w="886" w:type="pct"/>
            <w:vAlign w:val="bottom"/>
          </w:tcPr>
          <w:p w:rsidR="00A654DD" w:rsidRPr="00A654DD" w:rsidRDefault="00E0600F" w:rsidP="00817952">
            <w:pPr>
              <w:pStyle w:val="TableBodyText"/>
              <w:rPr>
                <w:sz w:val="18"/>
                <w:szCs w:val="18"/>
              </w:rPr>
            </w:pPr>
            <w:r>
              <w:rPr>
                <w:sz w:val="18"/>
                <w:szCs w:val="18"/>
              </w:rPr>
              <w:t>2</w:t>
            </w:r>
            <w:r w:rsidR="00817952">
              <w:rPr>
                <w:sz w:val="18"/>
                <w:szCs w:val="18"/>
              </w:rPr>
              <w:t>6</w:t>
            </w:r>
            <w:r>
              <w:rPr>
                <w:sz w:val="18"/>
                <w:szCs w:val="18"/>
              </w:rPr>
              <w:t>5.</w:t>
            </w:r>
            <w:r w:rsidR="00817952">
              <w:rPr>
                <w:sz w:val="18"/>
                <w:szCs w:val="18"/>
              </w:rPr>
              <w:t>9</w:t>
            </w:r>
          </w:p>
        </w:tc>
      </w:tr>
      <w:tr w:rsidR="00A654DD" w:rsidTr="00634213">
        <w:trPr>
          <w:trHeight w:val="170"/>
        </w:trPr>
        <w:tc>
          <w:tcPr>
            <w:tcW w:w="2340" w:type="pct"/>
            <w:vAlign w:val="center"/>
          </w:tcPr>
          <w:p w:rsidR="00A654DD" w:rsidRPr="00B2242C" w:rsidRDefault="00A654DD" w:rsidP="00A77DC7">
            <w:pPr>
              <w:pStyle w:val="TableBodyText"/>
              <w:jc w:val="left"/>
              <w:rPr>
                <w:sz w:val="18"/>
                <w:szCs w:val="18"/>
              </w:rPr>
            </w:pPr>
            <w:r w:rsidRPr="00B2242C">
              <w:rPr>
                <w:sz w:val="18"/>
                <w:szCs w:val="18"/>
              </w:rPr>
              <w:t>Motor vehicle and parts</w:t>
            </w:r>
          </w:p>
        </w:tc>
        <w:tc>
          <w:tcPr>
            <w:tcW w:w="887" w:type="pct"/>
            <w:vAlign w:val="bottom"/>
          </w:tcPr>
          <w:p w:rsidR="00A654DD" w:rsidRPr="00A654DD" w:rsidRDefault="00E0600F" w:rsidP="00C93DE2">
            <w:pPr>
              <w:pStyle w:val="TableBodyText"/>
              <w:rPr>
                <w:sz w:val="18"/>
                <w:szCs w:val="18"/>
              </w:rPr>
            </w:pPr>
            <w:r>
              <w:rPr>
                <w:sz w:val="18"/>
                <w:szCs w:val="18"/>
              </w:rPr>
              <w:t>5</w:t>
            </w:r>
            <w:r w:rsidR="00C93DE2">
              <w:rPr>
                <w:sz w:val="18"/>
                <w:szCs w:val="18"/>
              </w:rPr>
              <w:t>79.9</w:t>
            </w:r>
          </w:p>
        </w:tc>
        <w:tc>
          <w:tcPr>
            <w:tcW w:w="887" w:type="pct"/>
            <w:vAlign w:val="bottom"/>
          </w:tcPr>
          <w:p w:rsidR="00A654DD" w:rsidRPr="00A654DD" w:rsidRDefault="006579E4" w:rsidP="006579E4">
            <w:pPr>
              <w:pStyle w:val="TableBodyText"/>
              <w:rPr>
                <w:sz w:val="18"/>
                <w:szCs w:val="18"/>
              </w:rPr>
            </w:pPr>
            <w:r>
              <w:rPr>
                <w:sz w:val="18"/>
                <w:szCs w:val="18"/>
              </w:rPr>
              <w:t>40.9</w:t>
            </w:r>
          </w:p>
        </w:tc>
        <w:tc>
          <w:tcPr>
            <w:tcW w:w="886" w:type="pct"/>
            <w:vAlign w:val="bottom"/>
          </w:tcPr>
          <w:p w:rsidR="00A654DD" w:rsidRPr="00A654DD" w:rsidRDefault="00E0600F" w:rsidP="00817952">
            <w:pPr>
              <w:pStyle w:val="TableBodyText"/>
              <w:rPr>
                <w:sz w:val="18"/>
                <w:szCs w:val="18"/>
              </w:rPr>
            </w:pPr>
            <w:r>
              <w:rPr>
                <w:sz w:val="18"/>
                <w:szCs w:val="18"/>
              </w:rPr>
              <w:t>6</w:t>
            </w:r>
            <w:r w:rsidR="00817952">
              <w:rPr>
                <w:sz w:val="18"/>
                <w:szCs w:val="18"/>
              </w:rPr>
              <w:t>20.7</w:t>
            </w:r>
          </w:p>
        </w:tc>
      </w:tr>
      <w:tr w:rsidR="00A654DD" w:rsidTr="00634213">
        <w:trPr>
          <w:trHeight w:val="170"/>
        </w:trPr>
        <w:tc>
          <w:tcPr>
            <w:tcW w:w="2340" w:type="pct"/>
            <w:vAlign w:val="center"/>
          </w:tcPr>
          <w:p w:rsidR="00A654DD" w:rsidRPr="00B2242C" w:rsidRDefault="00A654DD" w:rsidP="00A77DC7">
            <w:pPr>
              <w:pStyle w:val="TableBodyText"/>
              <w:jc w:val="left"/>
              <w:rPr>
                <w:sz w:val="18"/>
                <w:szCs w:val="18"/>
              </w:rPr>
            </w:pPr>
            <w:r w:rsidRPr="00B2242C">
              <w:rPr>
                <w:sz w:val="18"/>
                <w:szCs w:val="18"/>
              </w:rPr>
              <w:t>Other transport equipment</w:t>
            </w:r>
          </w:p>
        </w:tc>
        <w:tc>
          <w:tcPr>
            <w:tcW w:w="887" w:type="pct"/>
            <w:vAlign w:val="bottom"/>
          </w:tcPr>
          <w:p w:rsidR="00A654DD" w:rsidRPr="00A654DD" w:rsidRDefault="00A654DD" w:rsidP="00C93DE2">
            <w:pPr>
              <w:pStyle w:val="TableBodyText"/>
              <w:rPr>
                <w:sz w:val="18"/>
                <w:szCs w:val="18"/>
              </w:rPr>
            </w:pPr>
            <w:r w:rsidRPr="00A654DD">
              <w:rPr>
                <w:sz w:val="18"/>
                <w:szCs w:val="18"/>
              </w:rPr>
              <w:t>2</w:t>
            </w:r>
            <w:r w:rsidR="00C93DE2">
              <w:rPr>
                <w:sz w:val="18"/>
                <w:szCs w:val="18"/>
              </w:rPr>
              <w:t>1.5</w:t>
            </w:r>
          </w:p>
        </w:tc>
        <w:tc>
          <w:tcPr>
            <w:tcW w:w="887" w:type="pct"/>
            <w:vAlign w:val="bottom"/>
          </w:tcPr>
          <w:p w:rsidR="00A654DD" w:rsidRPr="00A654DD" w:rsidRDefault="006579E4" w:rsidP="006579E4">
            <w:pPr>
              <w:pStyle w:val="TableBodyText"/>
              <w:rPr>
                <w:sz w:val="18"/>
                <w:szCs w:val="18"/>
              </w:rPr>
            </w:pPr>
            <w:r>
              <w:rPr>
                <w:sz w:val="18"/>
                <w:szCs w:val="18"/>
              </w:rPr>
              <w:t>7.9</w:t>
            </w:r>
          </w:p>
        </w:tc>
        <w:tc>
          <w:tcPr>
            <w:tcW w:w="886" w:type="pct"/>
            <w:vAlign w:val="bottom"/>
          </w:tcPr>
          <w:p w:rsidR="00A654DD" w:rsidRPr="00A654DD" w:rsidRDefault="00817952" w:rsidP="00817952">
            <w:pPr>
              <w:pStyle w:val="TableBodyText"/>
              <w:rPr>
                <w:sz w:val="18"/>
                <w:szCs w:val="18"/>
              </w:rPr>
            </w:pPr>
            <w:r>
              <w:rPr>
                <w:sz w:val="18"/>
                <w:szCs w:val="18"/>
              </w:rPr>
              <w:t>29.3</w:t>
            </w:r>
          </w:p>
        </w:tc>
      </w:tr>
      <w:tr w:rsidR="00A654DD" w:rsidTr="00634213">
        <w:trPr>
          <w:trHeight w:val="170"/>
        </w:trPr>
        <w:tc>
          <w:tcPr>
            <w:tcW w:w="2340" w:type="pct"/>
            <w:vAlign w:val="center"/>
          </w:tcPr>
          <w:p w:rsidR="00A654DD" w:rsidRPr="00B2242C" w:rsidRDefault="00A654DD" w:rsidP="00A77DC7">
            <w:pPr>
              <w:pStyle w:val="TableBodyText"/>
              <w:jc w:val="left"/>
              <w:rPr>
                <w:sz w:val="18"/>
                <w:szCs w:val="18"/>
              </w:rPr>
            </w:pPr>
            <w:r w:rsidRPr="00B2242C">
              <w:rPr>
                <w:sz w:val="18"/>
                <w:szCs w:val="18"/>
              </w:rPr>
              <w:t>Machinery and equipment manufacturing</w:t>
            </w:r>
          </w:p>
        </w:tc>
        <w:tc>
          <w:tcPr>
            <w:tcW w:w="887" w:type="pct"/>
            <w:vAlign w:val="bottom"/>
          </w:tcPr>
          <w:p w:rsidR="00A654DD" w:rsidRPr="00A654DD" w:rsidRDefault="00A654DD" w:rsidP="00C93DE2">
            <w:pPr>
              <w:pStyle w:val="TableBodyText"/>
              <w:rPr>
                <w:sz w:val="18"/>
                <w:szCs w:val="18"/>
              </w:rPr>
            </w:pPr>
            <w:r w:rsidRPr="00A654DD">
              <w:rPr>
                <w:sz w:val="18"/>
                <w:szCs w:val="18"/>
              </w:rPr>
              <w:t>12</w:t>
            </w:r>
            <w:r w:rsidR="00C93DE2">
              <w:rPr>
                <w:sz w:val="18"/>
                <w:szCs w:val="18"/>
              </w:rPr>
              <w:t>0.2</w:t>
            </w:r>
          </w:p>
        </w:tc>
        <w:tc>
          <w:tcPr>
            <w:tcW w:w="887" w:type="pct"/>
            <w:vAlign w:val="bottom"/>
          </w:tcPr>
          <w:p w:rsidR="00A654DD" w:rsidRPr="00A654DD" w:rsidRDefault="006579E4" w:rsidP="006579E4">
            <w:pPr>
              <w:pStyle w:val="TableBodyText"/>
              <w:rPr>
                <w:sz w:val="18"/>
                <w:szCs w:val="18"/>
              </w:rPr>
            </w:pPr>
            <w:r>
              <w:rPr>
                <w:sz w:val="18"/>
                <w:szCs w:val="18"/>
              </w:rPr>
              <w:t>62.4</w:t>
            </w:r>
          </w:p>
        </w:tc>
        <w:tc>
          <w:tcPr>
            <w:tcW w:w="886" w:type="pct"/>
            <w:vAlign w:val="bottom"/>
          </w:tcPr>
          <w:p w:rsidR="00A654DD" w:rsidRPr="00A654DD" w:rsidRDefault="00A654DD" w:rsidP="00817952">
            <w:pPr>
              <w:pStyle w:val="TableBodyText"/>
              <w:rPr>
                <w:sz w:val="18"/>
                <w:szCs w:val="18"/>
              </w:rPr>
            </w:pPr>
            <w:r w:rsidRPr="00A654DD">
              <w:rPr>
                <w:sz w:val="18"/>
                <w:szCs w:val="18"/>
              </w:rPr>
              <w:t>1</w:t>
            </w:r>
            <w:r w:rsidR="00817952">
              <w:rPr>
                <w:sz w:val="18"/>
                <w:szCs w:val="18"/>
              </w:rPr>
              <w:t>82.6</w:t>
            </w:r>
          </w:p>
        </w:tc>
      </w:tr>
      <w:tr w:rsidR="00A654DD" w:rsidTr="00634213">
        <w:trPr>
          <w:trHeight w:val="170"/>
        </w:trPr>
        <w:tc>
          <w:tcPr>
            <w:tcW w:w="2340" w:type="pct"/>
            <w:vAlign w:val="center"/>
          </w:tcPr>
          <w:p w:rsidR="00A654DD" w:rsidRPr="00B2242C" w:rsidRDefault="00A654DD" w:rsidP="00A77DC7">
            <w:pPr>
              <w:pStyle w:val="TableBodyText"/>
              <w:jc w:val="left"/>
              <w:rPr>
                <w:sz w:val="18"/>
                <w:szCs w:val="18"/>
              </w:rPr>
            </w:pPr>
            <w:r w:rsidRPr="00B2242C">
              <w:rPr>
                <w:sz w:val="18"/>
                <w:szCs w:val="18"/>
              </w:rPr>
              <w:t>Furniture and other manufacturing</w:t>
            </w:r>
          </w:p>
        </w:tc>
        <w:tc>
          <w:tcPr>
            <w:tcW w:w="887" w:type="pct"/>
            <w:vAlign w:val="bottom"/>
          </w:tcPr>
          <w:p w:rsidR="00A654DD" w:rsidRPr="00A654DD" w:rsidRDefault="00A654DD" w:rsidP="00C93DE2">
            <w:pPr>
              <w:pStyle w:val="TableBodyText"/>
              <w:rPr>
                <w:sz w:val="18"/>
                <w:szCs w:val="18"/>
              </w:rPr>
            </w:pPr>
            <w:r w:rsidRPr="00A654DD">
              <w:rPr>
                <w:sz w:val="18"/>
                <w:szCs w:val="18"/>
              </w:rPr>
              <w:t>2</w:t>
            </w:r>
            <w:r w:rsidR="00C93DE2">
              <w:rPr>
                <w:sz w:val="18"/>
                <w:szCs w:val="18"/>
              </w:rPr>
              <w:t>0.7</w:t>
            </w:r>
          </w:p>
        </w:tc>
        <w:tc>
          <w:tcPr>
            <w:tcW w:w="887" w:type="pct"/>
            <w:vAlign w:val="bottom"/>
          </w:tcPr>
          <w:p w:rsidR="00A654DD" w:rsidRPr="00A654DD" w:rsidRDefault="006579E4" w:rsidP="006579E4">
            <w:pPr>
              <w:pStyle w:val="TableBodyText"/>
              <w:rPr>
                <w:sz w:val="18"/>
                <w:szCs w:val="18"/>
              </w:rPr>
            </w:pPr>
            <w:r>
              <w:rPr>
                <w:sz w:val="18"/>
                <w:szCs w:val="18"/>
              </w:rPr>
              <w:t>5.6</w:t>
            </w:r>
          </w:p>
        </w:tc>
        <w:tc>
          <w:tcPr>
            <w:tcW w:w="886" w:type="pct"/>
            <w:vAlign w:val="bottom"/>
          </w:tcPr>
          <w:p w:rsidR="00A654DD" w:rsidRPr="00A654DD" w:rsidRDefault="00A654DD" w:rsidP="00817952">
            <w:pPr>
              <w:pStyle w:val="TableBodyText"/>
              <w:rPr>
                <w:sz w:val="18"/>
                <w:szCs w:val="18"/>
              </w:rPr>
            </w:pPr>
            <w:r w:rsidRPr="00A654DD">
              <w:rPr>
                <w:sz w:val="18"/>
                <w:szCs w:val="18"/>
              </w:rPr>
              <w:t>2</w:t>
            </w:r>
            <w:r w:rsidR="00817952">
              <w:rPr>
                <w:sz w:val="18"/>
                <w:szCs w:val="18"/>
              </w:rPr>
              <w:t>6.3</w:t>
            </w:r>
          </w:p>
        </w:tc>
      </w:tr>
      <w:tr w:rsidR="00A654DD" w:rsidTr="00634213">
        <w:trPr>
          <w:trHeight w:val="170"/>
        </w:trPr>
        <w:tc>
          <w:tcPr>
            <w:tcW w:w="2340" w:type="pct"/>
            <w:vAlign w:val="center"/>
          </w:tcPr>
          <w:p w:rsidR="00A654DD" w:rsidRPr="00DD2C47" w:rsidRDefault="00A654DD" w:rsidP="007E3E60">
            <w:pPr>
              <w:pStyle w:val="TableBodyText"/>
              <w:jc w:val="left"/>
              <w:rPr>
                <w:sz w:val="18"/>
                <w:szCs w:val="18"/>
              </w:rPr>
            </w:pPr>
            <w:r w:rsidRPr="00B2242C">
              <w:rPr>
                <w:sz w:val="18"/>
                <w:szCs w:val="18"/>
              </w:rPr>
              <w:t>Unallocated manufacturing</w:t>
            </w:r>
            <w:r w:rsidRPr="00DD2C47">
              <w:rPr>
                <w:rStyle w:val="NoteLabel"/>
                <w:szCs w:val="18"/>
              </w:rPr>
              <w:t>b</w:t>
            </w:r>
          </w:p>
        </w:tc>
        <w:tc>
          <w:tcPr>
            <w:tcW w:w="887" w:type="pct"/>
            <w:vAlign w:val="bottom"/>
          </w:tcPr>
          <w:p w:rsidR="00A654DD" w:rsidRPr="00A654DD" w:rsidRDefault="00A654DD" w:rsidP="00E0600F">
            <w:pPr>
              <w:pStyle w:val="TableBodyText"/>
              <w:spacing w:before="40"/>
              <w:rPr>
                <w:sz w:val="18"/>
                <w:szCs w:val="18"/>
              </w:rPr>
            </w:pPr>
            <w:r w:rsidRPr="00A654DD">
              <w:rPr>
                <w:sz w:val="18"/>
                <w:szCs w:val="18"/>
              </w:rPr>
              <w:t>1</w:t>
            </w:r>
            <w:r w:rsidR="00E0600F">
              <w:rPr>
                <w:sz w:val="18"/>
                <w:szCs w:val="18"/>
              </w:rPr>
              <w:t>26.2</w:t>
            </w:r>
          </w:p>
        </w:tc>
        <w:tc>
          <w:tcPr>
            <w:tcW w:w="887" w:type="pct"/>
            <w:vAlign w:val="bottom"/>
          </w:tcPr>
          <w:p w:rsidR="00A654DD" w:rsidRPr="00A654DD" w:rsidRDefault="006579E4" w:rsidP="006579E4">
            <w:pPr>
              <w:pStyle w:val="TableBodyText"/>
              <w:spacing w:before="40"/>
              <w:rPr>
                <w:sz w:val="18"/>
                <w:szCs w:val="18"/>
              </w:rPr>
            </w:pPr>
            <w:r>
              <w:rPr>
                <w:sz w:val="18"/>
                <w:szCs w:val="18"/>
              </w:rPr>
              <w:t>62.5</w:t>
            </w:r>
          </w:p>
        </w:tc>
        <w:tc>
          <w:tcPr>
            <w:tcW w:w="886" w:type="pct"/>
            <w:vAlign w:val="bottom"/>
          </w:tcPr>
          <w:p w:rsidR="00A654DD" w:rsidRPr="00A654DD" w:rsidRDefault="00817952" w:rsidP="00817952">
            <w:pPr>
              <w:pStyle w:val="TableBodyText"/>
              <w:spacing w:before="40"/>
              <w:rPr>
                <w:sz w:val="18"/>
                <w:szCs w:val="18"/>
              </w:rPr>
            </w:pPr>
            <w:r>
              <w:rPr>
                <w:sz w:val="18"/>
                <w:szCs w:val="18"/>
              </w:rPr>
              <w:t>188.7</w:t>
            </w:r>
          </w:p>
        </w:tc>
      </w:tr>
      <w:tr w:rsidR="00A654DD" w:rsidTr="00634213">
        <w:trPr>
          <w:trHeight w:val="227"/>
        </w:trPr>
        <w:tc>
          <w:tcPr>
            <w:tcW w:w="2340" w:type="pct"/>
            <w:vAlign w:val="center"/>
          </w:tcPr>
          <w:p w:rsidR="00A654DD" w:rsidRPr="00B2242C" w:rsidRDefault="00A654DD" w:rsidP="00A77DC7">
            <w:pPr>
              <w:pStyle w:val="TableBodyText"/>
              <w:jc w:val="left"/>
              <w:rPr>
                <w:b/>
                <w:sz w:val="18"/>
                <w:szCs w:val="18"/>
              </w:rPr>
            </w:pPr>
            <w:r w:rsidRPr="00B2242C">
              <w:rPr>
                <w:b/>
                <w:sz w:val="18"/>
                <w:szCs w:val="18"/>
              </w:rPr>
              <w:t>Services</w:t>
            </w:r>
          </w:p>
        </w:tc>
        <w:tc>
          <w:tcPr>
            <w:tcW w:w="887" w:type="pct"/>
            <w:vAlign w:val="bottom"/>
          </w:tcPr>
          <w:p w:rsidR="00A654DD" w:rsidRPr="00A654DD" w:rsidRDefault="00A654DD" w:rsidP="00C93DE2">
            <w:pPr>
              <w:pStyle w:val="TableBodyText"/>
              <w:rPr>
                <w:b/>
                <w:bCs/>
                <w:sz w:val="18"/>
                <w:szCs w:val="18"/>
              </w:rPr>
            </w:pPr>
            <w:r w:rsidRPr="00A654DD">
              <w:rPr>
                <w:b/>
                <w:bCs/>
                <w:sz w:val="18"/>
                <w:szCs w:val="18"/>
              </w:rPr>
              <w:t>2</w:t>
            </w:r>
            <w:r w:rsidR="00E0600F">
              <w:rPr>
                <w:b/>
                <w:bCs/>
                <w:sz w:val="18"/>
                <w:szCs w:val="18"/>
              </w:rPr>
              <w:t>0</w:t>
            </w:r>
            <w:r w:rsidR="00C93DE2">
              <w:rPr>
                <w:b/>
                <w:bCs/>
                <w:sz w:val="18"/>
                <w:szCs w:val="18"/>
              </w:rPr>
              <w:t>91.1</w:t>
            </w:r>
          </w:p>
        </w:tc>
        <w:tc>
          <w:tcPr>
            <w:tcW w:w="887" w:type="pct"/>
            <w:vAlign w:val="bottom"/>
          </w:tcPr>
          <w:p w:rsidR="00A654DD" w:rsidRPr="00A654DD" w:rsidRDefault="00A654DD" w:rsidP="006579E4">
            <w:pPr>
              <w:pStyle w:val="TableBodyText"/>
              <w:rPr>
                <w:b/>
                <w:bCs/>
                <w:sz w:val="18"/>
                <w:szCs w:val="18"/>
              </w:rPr>
            </w:pPr>
            <w:r w:rsidRPr="00A654DD">
              <w:rPr>
                <w:b/>
                <w:bCs/>
                <w:sz w:val="18"/>
                <w:szCs w:val="18"/>
              </w:rPr>
              <w:t>2</w:t>
            </w:r>
            <w:r w:rsidR="00E0600F">
              <w:rPr>
                <w:b/>
                <w:bCs/>
                <w:sz w:val="18"/>
                <w:szCs w:val="18"/>
              </w:rPr>
              <w:t>1</w:t>
            </w:r>
            <w:r w:rsidR="006579E4">
              <w:rPr>
                <w:b/>
                <w:bCs/>
                <w:sz w:val="18"/>
                <w:szCs w:val="18"/>
              </w:rPr>
              <w:t>10.4</w:t>
            </w:r>
          </w:p>
        </w:tc>
        <w:tc>
          <w:tcPr>
            <w:tcW w:w="886" w:type="pct"/>
            <w:vAlign w:val="bottom"/>
          </w:tcPr>
          <w:p w:rsidR="00A654DD" w:rsidRPr="00A654DD" w:rsidRDefault="00E0600F" w:rsidP="00817952">
            <w:pPr>
              <w:pStyle w:val="TableBodyText"/>
              <w:rPr>
                <w:b/>
                <w:bCs/>
                <w:sz w:val="18"/>
                <w:szCs w:val="18"/>
              </w:rPr>
            </w:pPr>
            <w:r>
              <w:rPr>
                <w:b/>
                <w:bCs/>
                <w:sz w:val="18"/>
                <w:szCs w:val="18"/>
              </w:rPr>
              <w:t>420</w:t>
            </w:r>
            <w:r w:rsidR="00817952">
              <w:rPr>
                <w:b/>
                <w:bCs/>
                <w:sz w:val="18"/>
                <w:szCs w:val="18"/>
              </w:rPr>
              <w:t>1.5</w:t>
            </w:r>
          </w:p>
        </w:tc>
      </w:tr>
      <w:tr w:rsidR="00A654DD" w:rsidTr="00634213">
        <w:trPr>
          <w:trHeight w:val="170"/>
        </w:trPr>
        <w:tc>
          <w:tcPr>
            <w:tcW w:w="2340" w:type="pct"/>
            <w:vAlign w:val="center"/>
          </w:tcPr>
          <w:p w:rsidR="00A654DD" w:rsidRPr="00B2242C" w:rsidRDefault="00A654DD" w:rsidP="00A77DC7">
            <w:pPr>
              <w:pStyle w:val="TableBodyText"/>
              <w:jc w:val="left"/>
              <w:rPr>
                <w:sz w:val="18"/>
                <w:szCs w:val="18"/>
              </w:rPr>
            </w:pPr>
            <w:r w:rsidRPr="00B2242C">
              <w:rPr>
                <w:sz w:val="18"/>
                <w:szCs w:val="18"/>
              </w:rPr>
              <w:t>Electricity, gas, water and waste services</w:t>
            </w:r>
          </w:p>
        </w:tc>
        <w:tc>
          <w:tcPr>
            <w:tcW w:w="887" w:type="pct"/>
            <w:vAlign w:val="bottom"/>
          </w:tcPr>
          <w:p w:rsidR="00A654DD" w:rsidRPr="00A654DD" w:rsidRDefault="00E0600F" w:rsidP="00C93DE2">
            <w:pPr>
              <w:pStyle w:val="TableBodyText"/>
              <w:rPr>
                <w:sz w:val="18"/>
                <w:szCs w:val="18"/>
              </w:rPr>
            </w:pPr>
            <w:r>
              <w:rPr>
                <w:sz w:val="18"/>
                <w:szCs w:val="18"/>
              </w:rPr>
              <w:t>10</w:t>
            </w:r>
            <w:r w:rsidR="00C93DE2">
              <w:rPr>
                <w:sz w:val="18"/>
                <w:szCs w:val="18"/>
              </w:rPr>
              <w:t>50.8</w:t>
            </w:r>
          </w:p>
        </w:tc>
        <w:tc>
          <w:tcPr>
            <w:tcW w:w="887" w:type="pct"/>
            <w:vAlign w:val="bottom"/>
          </w:tcPr>
          <w:p w:rsidR="00A654DD" w:rsidRPr="00A654DD" w:rsidRDefault="006579E4" w:rsidP="006579E4">
            <w:pPr>
              <w:pStyle w:val="TableBodyText"/>
              <w:rPr>
                <w:sz w:val="18"/>
                <w:szCs w:val="18"/>
              </w:rPr>
            </w:pPr>
            <w:r>
              <w:rPr>
                <w:sz w:val="18"/>
                <w:szCs w:val="18"/>
              </w:rPr>
              <w:t>26.6</w:t>
            </w:r>
          </w:p>
        </w:tc>
        <w:tc>
          <w:tcPr>
            <w:tcW w:w="886" w:type="pct"/>
            <w:vAlign w:val="bottom"/>
          </w:tcPr>
          <w:p w:rsidR="00A654DD" w:rsidRPr="00A654DD" w:rsidRDefault="00E0600F" w:rsidP="00817952">
            <w:pPr>
              <w:pStyle w:val="TableBodyText"/>
              <w:rPr>
                <w:sz w:val="18"/>
                <w:szCs w:val="18"/>
              </w:rPr>
            </w:pPr>
            <w:r>
              <w:rPr>
                <w:sz w:val="18"/>
                <w:szCs w:val="18"/>
              </w:rPr>
              <w:t>10</w:t>
            </w:r>
            <w:r w:rsidR="00817952">
              <w:rPr>
                <w:sz w:val="18"/>
                <w:szCs w:val="18"/>
              </w:rPr>
              <w:t>77.4</w:t>
            </w:r>
          </w:p>
        </w:tc>
      </w:tr>
      <w:tr w:rsidR="00A654DD" w:rsidTr="00634213">
        <w:trPr>
          <w:trHeight w:val="170"/>
        </w:trPr>
        <w:tc>
          <w:tcPr>
            <w:tcW w:w="2340" w:type="pct"/>
            <w:vAlign w:val="center"/>
          </w:tcPr>
          <w:p w:rsidR="00A654DD" w:rsidRPr="00B2242C" w:rsidRDefault="00A654DD" w:rsidP="00A77DC7">
            <w:pPr>
              <w:pStyle w:val="TableBodyText"/>
              <w:jc w:val="left"/>
              <w:rPr>
                <w:sz w:val="18"/>
                <w:szCs w:val="18"/>
              </w:rPr>
            </w:pPr>
            <w:r w:rsidRPr="00B2242C">
              <w:rPr>
                <w:sz w:val="18"/>
                <w:szCs w:val="18"/>
              </w:rPr>
              <w:t>Construction</w:t>
            </w:r>
          </w:p>
        </w:tc>
        <w:tc>
          <w:tcPr>
            <w:tcW w:w="887" w:type="pct"/>
            <w:vAlign w:val="bottom"/>
          </w:tcPr>
          <w:p w:rsidR="00A654DD" w:rsidRPr="00A654DD" w:rsidRDefault="00A654DD" w:rsidP="00C93DE2">
            <w:pPr>
              <w:pStyle w:val="TableBodyText"/>
              <w:rPr>
                <w:sz w:val="18"/>
                <w:szCs w:val="18"/>
              </w:rPr>
            </w:pPr>
            <w:r w:rsidRPr="00A654DD">
              <w:rPr>
                <w:sz w:val="18"/>
                <w:szCs w:val="18"/>
              </w:rPr>
              <w:t>2</w:t>
            </w:r>
            <w:r w:rsidR="00C93DE2">
              <w:rPr>
                <w:sz w:val="18"/>
                <w:szCs w:val="18"/>
              </w:rPr>
              <w:t>4.2</w:t>
            </w:r>
          </w:p>
        </w:tc>
        <w:tc>
          <w:tcPr>
            <w:tcW w:w="887" w:type="pct"/>
            <w:vAlign w:val="bottom"/>
          </w:tcPr>
          <w:p w:rsidR="00A654DD" w:rsidRPr="00A654DD" w:rsidRDefault="006579E4" w:rsidP="006579E4">
            <w:pPr>
              <w:pStyle w:val="TableBodyText"/>
              <w:rPr>
                <w:sz w:val="18"/>
                <w:szCs w:val="18"/>
              </w:rPr>
            </w:pPr>
            <w:r>
              <w:rPr>
                <w:sz w:val="18"/>
                <w:szCs w:val="18"/>
              </w:rPr>
              <w:t>107.5</w:t>
            </w:r>
          </w:p>
        </w:tc>
        <w:tc>
          <w:tcPr>
            <w:tcW w:w="886" w:type="pct"/>
            <w:vAlign w:val="bottom"/>
          </w:tcPr>
          <w:p w:rsidR="00A654DD" w:rsidRPr="00A654DD" w:rsidRDefault="00A654DD" w:rsidP="00817952">
            <w:pPr>
              <w:pStyle w:val="TableBodyText"/>
              <w:rPr>
                <w:sz w:val="18"/>
                <w:szCs w:val="18"/>
              </w:rPr>
            </w:pPr>
            <w:r w:rsidRPr="00A654DD">
              <w:rPr>
                <w:sz w:val="18"/>
                <w:szCs w:val="18"/>
              </w:rPr>
              <w:t>1</w:t>
            </w:r>
            <w:r w:rsidR="00817952">
              <w:rPr>
                <w:sz w:val="18"/>
                <w:szCs w:val="18"/>
              </w:rPr>
              <w:t>31.7</w:t>
            </w:r>
          </w:p>
        </w:tc>
      </w:tr>
      <w:tr w:rsidR="00A654DD" w:rsidTr="00634213">
        <w:trPr>
          <w:trHeight w:val="170"/>
        </w:trPr>
        <w:tc>
          <w:tcPr>
            <w:tcW w:w="2340" w:type="pct"/>
            <w:vAlign w:val="center"/>
          </w:tcPr>
          <w:p w:rsidR="00A654DD" w:rsidRPr="00B2242C" w:rsidRDefault="00A654DD" w:rsidP="00A77DC7">
            <w:pPr>
              <w:pStyle w:val="TableBodyText"/>
              <w:jc w:val="left"/>
              <w:rPr>
                <w:sz w:val="18"/>
                <w:szCs w:val="18"/>
              </w:rPr>
            </w:pPr>
            <w:r w:rsidRPr="00B2242C">
              <w:rPr>
                <w:sz w:val="18"/>
                <w:szCs w:val="18"/>
              </w:rPr>
              <w:t>Wholesale trade</w:t>
            </w:r>
          </w:p>
        </w:tc>
        <w:tc>
          <w:tcPr>
            <w:tcW w:w="887" w:type="pct"/>
            <w:vAlign w:val="bottom"/>
          </w:tcPr>
          <w:p w:rsidR="00A654DD" w:rsidRPr="00A654DD" w:rsidRDefault="00A654DD" w:rsidP="00C93DE2">
            <w:pPr>
              <w:pStyle w:val="TableBodyText"/>
              <w:rPr>
                <w:sz w:val="18"/>
                <w:szCs w:val="18"/>
              </w:rPr>
            </w:pPr>
            <w:r w:rsidRPr="00A654DD">
              <w:rPr>
                <w:sz w:val="18"/>
                <w:szCs w:val="18"/>
              </w:rPr>
              <w:t>6</w:t>
            </w:r>
            <w:r w:rsidR="00C93DE2">
              <w:rPr>
                <w:sz w:val="18"/>
                <w:szCs w:val="18"/>
              </w:rPr>
              <w:t>3.0</w:t>
            </w:r>
          </w:p>
        </w:tc>
        <w:tc>
          <w:tcPr>
            <w:tcW w:w="887" w:type="pct"/>
            <w:vAlign w:val="bottom"/>
          </w:tcPr>
          <w:p w:rsidR="00A654DD" w:rsidRPr="00A654DD" w:rsidRDefault="006579E4" w:rsidP="006579E4">
            <w:pPr>
              <w:pStyle w:val="TableBodyText"/>
              <w:rPr>
                <w:sz w:val="18"/>
                <w:szCs w:val="18"/>
              </w:rPr>
            </w:pPr>
            <w:r>
              <w:rPr>
                <w:sz w:val="18"/>
                <w:szCs w:val="18"/>
              </w:rPr>
              <w:t>162.5</w:t>
            </w:r>
          </w:p>
        </w:tc>
        <w:tc>
          <w:tcPr>
            <w:tcW w:w="886" w:type="pct"/>
            <w:vAlign w:val="bottom"/>
          </w:tcPr>
          <w:p w:rsidR="00A654DD" w:rsidRPr="00A654DD" w:rsidRDefault="00817952" w:rsidP="00817952">
            <w:pPr>
              <w:pStyle w:val="TableBodyText"/>
              <w:rPr>
                <w:sz w:val="18"/>
                <w:szCs w:val="18"/>
              </w:rPr>
            </w:pPr>
            <w:r>
              <w:rPr>
                <w:sz w:val="18"/>
                <w:szCs w:val="18"/>
              </w:rPr>
              <w:t>225.4</w:t>
            </w:r>
          </w:p>
        </w:tc>
      </w:tr>
      <w:tr w:rsidR="00A654DD" w:rsidTr="00634213">
        <w:trPr>
          <w:trHeight w:val="170"/>
        </w:trPr>
        <w:tc>
          <w:tcPr>
            <w:tcW w:w="2340" w:type="pct"/>
            <w:vAlign w:val="center"/>
          </w:tcPr>
          <w:p w:rsidR="00A654DD" w:rsidRPr="00B2242C" w:rsidRDefault="00A654DD" w:rsidP="00A77DC7">
            <w:pPr>
              <w:pStyle w:val="TableBodyText"/>
              <w:jc w:val="left"/>
              <w:rPr>
                <w:sz w:val="18"/>
                <w:szCs w:val="18"/>
              </w:rPr>
            </w:pPr>
            <w:r w:rsidRPr="00B2242C">
              <w:rPr>
                <w:sz w:val="18"/>
                <w:szCs w:val="18"/>
              </w:rPr>
              <w:t>Retail trade</w:t>
            </w:r>
          </w:p>
        </w:tc>
        <w:tc>
          <w:tcPr>
            <w:tcW w:w="887" w:type="pct"/>
            <w:vAlign w:val="bottom"/>
          </w:tcPr>
          <w:p w:rsidR="00A654DD" w:rsidRPr="00A654DD" w:rsidRDefault="00C93DE2" w:rsidP="00C93DE2">
            <w:pPr>
              <w:pStyle w:val="TableBodyText"/>
              <w:rPr>
                <w:sz w:val="18"/>
                <w:szCs w:val="18"/>
              </w:rPr>
            </w:pPr>
            <w:r>
              <w:rPr>
                <w:sz w:val="18"/>
                <w:szCs w:val="18"/>
              </w:rPr>
              <w:t>39.2</w:t>
            </w:r>
          </w:p>
        </w:tc>
        <w:tc>
          <w:tcPr>
            <w:tcW w:w="887" w:type="pct"/>
            <w:vAlign w:val="bottom"/>
          </w:tcPr>
          <w:p w:rsidR="00A654DD" w:rsidRPr="00A654DD" w:rsidRDefault="006579E4" w:rsidP="006579E4">
            <w:pPr>
              <w:pStyle w:val="TableBodyText"/>
              <w:rPr>
                <w:sz w:val="18"/>
                <w:szCs w:val="18"/>
              </w:rPr>
            </w:pPr>
            <w:r>
              <w:rPr>
                <w:sz w:val="18"/>
                <w:szCs w:val="18"/>
              </w:rPr>
              <w:t>91.8</w:t>
            </w:r>
          </w:p>
        </w:tc>
        <w:tc>
          <w:tcPr>
            <w:tcW w:w="886" w:type="pct"/>
            <w:vAlign w:val="bottom"/>
          </w:tcPr>
          <w:p w:rsidR="00A654DD" w:rsidRPr="00A654DD" w:rsidRDefault="00A654DD" w:rsidP="00817952">
            <w:pPr>
              <w:pStyle w:val="TableBodyText"/>
              <w:rPr>
                <w:sz w:val="18"/>
                <w:szCs w:val="18"/>
              </w:rPr>
            </w:pPr>
            <w:r w:rsidRPr="00A654DD">
              <w:rPr>
                <w:sz w:val="18"/>
                <w:szCs w:val="18"/>
              </w:rPr>
              <w:t>1</w:t>
            </w:r>
            <w:r w:rsidR="00817952">
              <w:rPr>
                <w:sz w:val="18"/>
                <w:szCs w:val="18"/>
              </w:rPr>
              <w:t>30.9</w:t>
            </w:r>
          </w:p>
        </w:tc>
      </w:tr>
      <w:tr w:rsidR="00A654DD" w:rsidTr="00634213">
        <w:trPr>
          <w:trHeight w:val="170"/>
        </w:trPr>
        <w:tc>
          <w:tcPr>
            <w:tcW w:w="2340" w:type="pct"/>
            <w:vAlign w:val="center"/>
          </w:tcPr>
          <w:p w:rsidR="00A654DD" w:rsidRPr="00B2242C" w:rsidRDefault="00A654DD" w:rsidP="00A77DC7">
            <w:pPr>
              <w:pStyle w:val="TableBodyText"/>
              <w:jc w:val="left"/>
              <w:rPr>
                <w:sz w:val="18"/>
                <w:szCs w:val="18"/>
              </w:rPr>
            </w:pPr>
            <w:r w:rsidRPr="00B2242C">
              <w:rPr>
                <w:sz w:val="18"/>
                <w:szCs w:val="18"/>
              </w:rPr>
              <w:t>Accommodation and food services</w:t>
            </w:r>
          </w:p>
        </w:tc>
        <w:tc>
          <w:tcPr>
            <w:tcW w:w="887" w:type="pct"/>
            <w:vAlign w:val="bottom"/>
          </w:tcPr>
          <w:p w:rsidR="00A654DD" w:rsidRPr="00A654DD" w:rsidRDefault="00C93DE2" w:rsidP="00C93DE2">
            <w:pPr>
              <w:pStyle w:val="TableBodyText"/>
              <w:rPr>
                <w:sz w:val="18"/>
                <w:szCs w:val="18"/>
              </w:rPr>
            </w:pPr>
            <w:r>
              <w:rPr>
                <w:sz w:val="18"/>
                <w:szCs w:val="18"/>
              </w:rPr>
              <w:t>4.8</w:t>
            </w:r>
          </w:p>
        </w:tc>
        <w:tc>
          <w:tcPr>
            <w:tcW w:w="887" w:type="pct"/>
            <w:vAlign w:val="bottom"/>
          </w:tcPr>
          <w:p w:rsidR="00A654DD" w:rsidRPr="00A654DD" w:rsidRDefault="006579E4" w:rsidP="006579E4">
            <w:pPr>
              <w:pStyle w:val="TableBodyText"/>
              <w:rPr>
                <w:sz w:val="18"/>
                <w:szCs w:val="18"/>
              </w:rPr>
            </w:pPr>
            <w:r>
              <w:rPr>
                <w:sz w:val="18"/>
                <w:szCs w:val="18"/>
              </w:rPr>
              <w:t>35.2</w:t>
            </w:r>
          </w:p>
        </w:tc>
        <w:tc>
          <w:tcPr>
            <w:tcW w:w="886" w:type="pct"/>
            <w:vAlign w:val="bottom"/>
          </w:tcPr>
          <w:p w:rsidR="00A654DD" w:rsidRPr="00A654DD" w:rsidRDefault="00817952" w:rsidP="00817952">
            <w:pPr>
              <w:pStyle w:val="TableBodyText"/>
              <w:rPr>
                <w:sz w:val="18"/>
                <w:szCs w:val="18"/>
              </w:rPr>
            </w:pPr>
            <w:r>
              <w:rPr>
                <w:sz w:val="18"/>
                <w:szCs w:val="18"/>
              </w:rPr>
              <w:t>40.0</w:t>
            </w:r>
          </w:p>
        </w:tc>
      </w:tr>
      <w:tr w:rsidR="00A654DD" w:rsidTr="00634213">
        <w:trPr>
          <w:trHeight w:val="170"/>
        </w:trPr>
        <w:tc>
          <w:tcPr>
            <w:tcW w:w="2340" w:type="pct"/>
            <w:vAlign w:val="center"/>
          </w:tcPr>
          <w:p w:rsidR="00A654DD" w:rsidRPr="00B2242C" w:rsidRDefault="00A654DD" w:rsidP="00A77DC7">
            <w:pPr>
              <w:pStyle w:val="TableBodyText"/>
              <w:jc w:val="left"/>
              <w:rPr>
                <w:sz w:val="18"/>
                <w:szCs w:val="18"/>
              </w:rPr>
            </w:pPr>
            <w:r w:rsidRPr="00B2242C">
              <w:rPr>
                <w:sz w:val="18"/>
                <w:szCs w:val="18"/>
              </w:rPr>
              <w:t>Transport, postal and warehousing</w:t>
            </w:r>
          </w:p>
        </w:tc>
        <w:tc>
          <w:tcPr>
            <w:tcW w:w="887" w:type="pct"/>
            <w:vAlign w:val="bottom"/>
          </w:tcPr>
          <w:p w:rsidR="00A654DD" w:rsidRPr="00A654DD" w:rsidRDefault="00A654DD" w:rsidP="00C93DE2">
            <w:pPr>
              <w:pStyle w:val="TableBodyText"/>
              <w:rPr>
                <w:sz w:val="18"/>
                <w:szCs w:val="18"/>
              </w:rPr>
            </w:pPr>
            <w:r w:rsidRPr="00A654DD">
              <w:rPr>
                <w:sz w:val="18"/>
                <w:szCs w:val="18"/>
              </w:rPr>
              <w:t>5</w:t>
            </w:r>
            <w:r w:rsidR="00C93DE2">
              <w:rPr>
                <w:sz w:val="18"/>
                <w:szCs w:val="18"/>
              </w:rPr>
              <w:t>6.2</w:t>
            </w:r>
          </w:p>
        </w:tc>
        <w:tc>
          <w:tcPr>
            <w:tcW w:w="887" w:type="pct"/>
            <w:vAlign w:val="bottom"/>
          </w:tcPr>
          <w:p w:rsidR="00A654DD" w:rsidRPr="00A654DD" w:rsidRDefault="006579E4" w:rsidP="006579E4">
            <w:pPr>
              <w:pStyle w:val="TableBodyText"/>
              <w:rPr>
                <w:sz w:val="18"/>
                <w:szCs w:val="18"/>
              </w:rPr>
            </w:pPr>
            <w:r>
              <w:rPr>
                <w:sz w:val="18"/>
                <w:szCs w:val="18"/>
              </w:rPr>
              <w:t>55.8</w:t>
            </w:r>
          </w:p>
        </w:tc>
        <w:tc>
          <w:tcPr>
            <w:tcW w:w="886" w:type="pct"/>
            <w:vAlign w:val="bottom"/>
          </w:tcPr>
          <w:p w:rsidR="00A654DD" w:rsidRPr="00A654DD" w:rsidRDefault="00A654DD" w:rsidP="00817952">
            <w:pPr>
              <w:pStyle w:val="TableBodyText"/>
              <w:rPr>
                <w:sz w:val="18"/>
                <w:szCs w:val="18"/>
              </w:rPr>
            </w:pPr>
            <w:r w:rsidRPr="00A654DD">
              <w:rPr>
                <w:sz w:val="18"/>
                <w:szCs w:val="18"/>
              </w:rPr>
              <w:t>1</w:t>
            </w:r>
            <w:r w:rsidR="00817952">
              <w:rPr>
                <w:sz w:val="18"/>
                <w:szCs w:val="18"/>
              </w:rPr>
              <w:t>12.0</w:t>
            </w:r>
          </w:p>
        </w:tc>
      </w:tr>
      <w:tr w:rsidR="00A654DD" w:rsidTr="00634213">
        <w:trPr>
          <w:trHeight w:val="170"/>
        </w:trPr>
        <w:tc>
          <w:tcPr>
            <w:tcW w:w="2340" w:type="pct"/>
            <w:vAlign w:val="center"/>
          </w:tcPr>
          <w:p w:rsidR="00A654DD" w:rsidRPr="00B2242C" w:rsidRDefault="00A654DD" w:rsidP="00A77DC7">
            <w:pPr>
              <w:pStyle w:val="TableBodyText"/>
              <w:jc w:val="left"/>
              <w:rPr>
                <w:sz w:val="18"/>
                <w:szCs w:val="18"/>
              </w:rPr>
            </w:pPr>
            <w:r w:rsidRPr="00B2242C">
              <w:rPr>
                <w:sz w:val="18"/>
                <w:szCs w:val="18"/>
              </w:rPr>
              <w:t>Information, media and telecommunications</w:t>
            </w:r>
          </w:p>
        </w:tc>
        <w:tc>
          <w:tcPr>
            <w:tcW w:w="887" w:type="pct"/>
            <w:vAlign w:val="bottom"/>
          </w:tcPr>
          <w:p w:rsidR="00A654DD" w:rsidRPr="00A654DD" w:rsidRDefault="00A654DD" w:rsidP="00C93DE2">
            <w:pPr>
              <w:pStyle w:val="TableBodyText"/>
              <w:rPr>
                <w:sz w:val="18"/>
                <w:szCs w:val="18"/>
              </w:rPr>
            </w:pPr>
            <w:r w:rsidRPr="00A654DD">
              <w:rPr>
                <w:sz w:val="18"/>
                <w:szCs w:val="18"/>
              </w:rPr>
              <w:t>1</w:t>
            </w:r>
            <w:r w:rsidR="00C93DE2">
              <w:rPr>
                <w:sz w:val="18"/>
                <w:szCs w:val="18"/>
              </w:rPr>
              <w:t>05.8</w:t>
            </w:r>
          </w:p>
        </w:tc>
        <w:tc>
          <w:tcPr>
            <w:tcW w:w="887" w:type="pct"/>
            <w:vAlign w:val="bottom"/>
          </w:tcPr>
          <w:p w:rsidR="00A654DD" w:rsidRPr="00A654DD" w:rsidRDefault="006579E4" w:rsidP="006579E4">
            <w:pPr>
              <w:pStyle w:val="TableBodyText"/>
              <w:rPr>
                <w:sz w:val="18"/>
                <w:szCs w:val="18"/>
              </w:rPr>
            </w:pPr>
            <w:r>
              <w:rPr>
                <w:sz w:val="18"/>
                <w:szCs w:val="18"/>
              </w:rPr>
              <w:t>40.3</w:t>
            </w:r>
          </w:p>
        </w:tc>
        <w:tc>
          <w:tcPr>
            <w:tcW w:w="886" w:type="pct"/>
            <w:vAlign w:val="bottom"/>
          </w:tcPr>
          <w:p w:rsidR="00A654DD" w:rsidRPr="00A654DD" w:rsidRDefault="00A654DD" w:rsidP="00817952">
            <w:pPr>
              <w:pStyle w:val="TableBodyText"/>
              <w:rPr>
                <w:sz w:val="18"/>
                <w:szCs w:val="18"/>
              </w:rPr>
            </w:pPr>
            <w:r w:rsidRPr="00A654DD">
              <w:rPr>
                <w:sz w:val="18"/>
                <w:szCs w:val="18"/>
              </w:rPr>
              <w:t>1</w:t>
            </w:r>
            <w:r w:rsidR="00817952">
              <w:rPr>
                <w:sz w:val="18"/>
                <w:szCs w:val="18"/>
              </w:rPr>
              <w:t>46.1</w:t>
            </w:r>
          </w:p>
        </w:tc>
      </w:tr>
      <w:tr w:rsidR="00A654DD" w:rsidTr="00634213">
        <w:trPr>
          <w:trHeight w:val="170"/>
        </w:trPr>
        <w:tc>
          <w:tcPr>
            <w:tcW w:w="2340" w:type="pct"/>
            <w:vAlign w:val="center"/>
          </w:tcPr>
          <w:p w:rsidR="00A654DD" w:rsidRPr="00B2242C" w:rsidRDefault="00A654DD" w:rsidP="00A77DC7">
            <w:pPr>
              <w:pStyle w:val="TableBodyText"/>
              <w:jc w:val="left"/>
              <w:rPr>
                <w:sz w:val="18"/>
                <w:szCs w:val="18"/>
              </w:rPr>
            </w:pPr>
            <w:r w:rsidRPr="00B2242C">
              <w:rPr>
                <w:sz w:val="18"/>
                <w:szCs w:val="18"/>
              </w:rPr>
              <w:t>Financial and insurance services</w:t>
            </w:r>
          </w:p>
        </w:tc>
        <w:tc>
          <w:tcPr>
            <w:tcW w:w="887" w:type="pct"/>
            <w:vAlign w:val="bottom"/>
          </w:tcPr>
          <w:p w:rsidR="00A654DD" w:rsidRPr="00A654DD" w:rsidRDefault="00A654DD" w:rsidP="00C93DE2">
            <w:pPr>
              <w:pStyle w:val="TableBodyText"/>
              <w:rPr>
                <w:sz w:val="18"/>
                <w:szCs w:val="18"/>
              </w:rPr>
            </w:pPr>
            <w:r w:rsidRPr="00A654DD">
              <w:rPr>
                <w:sz w:val="18"/>
                <w:szCs w:val="18"/>
              </w:rPr>
              <w:t>6</w:t>
            </w:r>
            <w:r w:rsidR="00C93DE2">
              <w:rPr>
                <w:sz w:val="18"/>
                <w:szCs w:val="18"/>
              </w:rPr>
              <w:t>9.7</w:t>
            </w:r>
          </w:p>
        </w:tc>
        <w:tc>
          <w:tcPr>
            <w:tcW w:w="887" w:type="pct"/>
            <w:vAlign w:val="bottom"/>
          </w:tcPr>
          <w:p w:rsidR="00A654DD" w:rsidRPr="00A654DD" w:rsidRDefault="006579E4" w:rsidP="006579E4">
            <w:pPr>
              <w:pStyle w:val="TableBodyText"/>
              <w:rPr>
                <w:sz w:val="18"/>
                <w:szCs w:val="18"/>
              </w:rPr>
            </w:pPr>
            <w:r>
              <w:rPr>
                <w:sz w:val="18"/>
                <w:szCs w:val="18"/>
              </w:rPr>
              <w:t>845.1</w:t>
            </w:r>
          </w:p>
        </w:tc>
        <w:tc>
          <w:tcPr>
            <w:tcW w:w="886" w:type="pct"/>
            <w:vAlign w:val="bottom"/>
          </w:tcPr>
          <w:p w:rsidR="00A654DD" w:rsidRPr="00A654DD" w:rsidRDefault="00817952" w:rsidP="00817952">
            <w:pPr>
              <w:pStyle w:val="TableBodyText"/>
              <w:rPr>
                <w:sz w:val="18"/>
                <w:szCs w:val="18"/>
              </w:rPr>
            </w:pPr>
            <w:r>
              <w:rPr>
                <w:sz w:val="18"/>
                <w:szCs w:val="18"/>
              </w:rPr>
              <w:t>914.7</w:t>
            </w:r>
          </w:p>
        </w:tc>
      </w:tr>
      <w:tr w:rsidR="00A654DD" w:rsidTr="00634213">
        <w:trPr>
          <w:trHeight w:val="170"/>
        </w:trPr>
        <w:tc>
          <w:tcPr>
            <w:tcW w:w="2340" w:type="pct"/>
            <w:vAlign w:val="center"/>
          </w:tcPr>
          <w:p w:rsidR="00A654DD" w:rsidRPr="00B2242C" w:rsidRDefault="00A654DD" w:rsidP="00A77DC7">
            <w:pPr>
              <w:pStyle w:val="TableBodyText"/>
              <w:jc w:val="left"/>
              <w:rPr>
                <w:sz w:val="18"/>
                <w:szCs w:val="18"/>
              </w:rPr>
            </w:pPr>
            <w:r w:rsidRPr="00B2242C">
              <w:rPr>
                <w:sz w:val="18"/>
                <w:szCs w:val="18"/>
              </w:rPr>
              <w:t>Property, professional and admin. services</w:t>
            </w:r>
          </w:p>
        </w:tc>
        <w:tc>
          <w:tcPr>
            <w:tcW w:w="887" w:type="pct"/>
            <w:vAlign w:val="bottom"/>
          </w:tcPr>
          <w:p w:rsidR="00A654DD" w:rsidRPr="00A654DD" w:rsidRDefault="00E0600F" w:rsidP="00C93DE2">
            <w:pPr>
              <w:pStyle w:val="TableBodyText"/>
              <w:rPr>
                <w:sz w:val="18"/>
                <w:szCs w:val="18"/>
              </w:rPr>
            </w:pPr>
            <w:r>
              <w:rPr>
                <w:sz w:val="18"/>
                <w:szCs w:val="18"/>
              </w:rPr>
              <w:t>1</w:t>
            </w:r>
            <w:r w:rsidR="00C93DE2">
              <w:rPr>
                <w:sz w:val="18"/>
                <w:szCs w:val="18"/>
              </w:rPr>
              <w:t>93.7</w:t>
            </w:r>
          </w:p>
        </w:tc>
        <w:tc>
          <w:tcPr>
            <w:tcW w:w="887" w:type="pct"/>
            <w:vAlign w:val="bottom"/>
          </w:tcPr>
          <w:p w:rsidR="00A654DD" w:rsidRPr="00A654DD" w:rsidRDefault="00A654DD" w:rsidP="006579E4">
            <w:pPr>
              <w:pStyle w:val="TableBodyText"/>
              <w:rPr>
                <w:sz w:val="18"/>
                <w:szCs w:val="18"/>
              </w:rPr>
            </w:pPr>
            <w:r w:rsidRPr="00A654DD">
              <w:rPr>
                <w:sz w:val="18"/>
                <w:szCs w:val="18"/>
              </w:rPr>
              <w:t>4</w:t>
            </w:r>
            <w:r w:rsidR="006579E4">
              <w:rPr>
                <w:sz w:val="18"/>
                <w:szCs w:val="18"/>
              </w:rPr>
              <w:t>17.6</w:t>
            </w:r>
          </w:p>
        </w:tc>
        <w:tc>
          <w:tcPr>
            <w:tcW w:w="886" w:type="pct"/>
            <w:vAlign w:val="bottom"/>
          </w:tcPr>
          <w:p w:rsidR="00A654DD" w:rsidRPr="00A654DD" w:rsidRDefault="00E0600F" w:rsidP="00817952">
            <w:pPr>
              <w:pStyle w:val="TableBodyText"/>
              <w:rPr>
                <w:sz w:val="18"/>
                <w:szCs w:val="18"/>
              </w:rPr>
            </w:pPr>
            <w:r>
              <w:rPr>
                <w:sz w:val="18"/>
                <w:szCs w:val="18"/>
              </w:rPr>
              <w:t>6</w:t>
            </w:r>
            <w:r w:rsidR="00817952">
              <w:rPr>
                <w:sz w:val="18"/>
                <w:szCs w:val="18"/>
              </w:rPr>
              <w:t>11.3</w:t>
            </w:r>
          </w:p>
        </w:tc>
      </w:tr>
      <w:tr w:rsidR="00A654DD" w:rsidTr="00634213">
        <w:trPr>
          <w:trHeight w:val="170"/>
        </w:trPr>
        <w:tc>
          <w:tcPr>
            <w:tcW w:w="2340" w:type="pct"/>
            <w:vAlign w:val="center"/>
          </w:tcPr>
          <w:p w:rsidR="00A654DD" w:rsidRPr="00B2242C" w:rsidRDefault="00A654DD" w:rsidP="00A77DC7">
            <w:pPr>
              <w:pStyle w:val="TableBodyText"/>
              <w:jc w:val="left"/>
              <w:rPr>
                <w:sz w:val="18"/>
                <w:szCs w:val="18"/>
              </w:rPr>
            </w:pPr>
            <w:r w:rsidRPr="00B2242C">
              <w:rPr>
                <w:sz w:val="18"/>
                <w:szCs w:val="18"/>
              </w:rPr>
              <w:t>Public administration and safety</w:t>
            </w:r>
          </w:p>
        </w:tc>
        <w:tc>
          <w:tcPr>
            <w:tcW w:w="887" w:type="pct"/>
            <w:vAlign w:val="bottom"/>
          </w:tcPr>
          <w:p w:rsidR="00C93DE2" w:rsidRPr="00A654DD" w:rsidRDefault="00A654DD" w:rsidP="00C93DE2">
            <w:pPr>
              <w:pStyle w:val="TableBodyText"/>
              <w:rPr>
                <w:sz w:val="18"/>
                <w:szCs w:val="18"/>
              </w:rPr>
            </w:pPr>
            <w:r w:rsidRPr="00A654DD">
              <w:rPr>
                <w:sz w:val="18"/>
                <w:szCs w:val="18"/>
              </w:rPr>
              <w:t>3</w:t>
            </w:r>
            <w:r w:rsidR="00C93DE2">
              <w:rPr>
                <w:sz w:val="18"/>
                <w:szCs w:val="18"/>
              </w:rPr>
              <w:t>0.9</w:t>
            </w:r>
          </w:p>
        </w:tc>
        <w:tc>
          <w:tcPr>
            <w:tcW w:w="887" w:type="pct"/>
            <w:vAlign w:val="bottom"/>
          </w:tcPr>
          <w:p w:rsidR="00A654DD" w:rsidRPr="00A654DD" w:rsidRDefault="006579E4" w:rsidP="006579E4">
            <w:pPr>
              <w:pStyle w:val="TableBodyText"/>
              <w:rPr>
                <w:sz w:val="18"/>
                <w:szCs w:val="18"/>
              </w:rPr>
            </w:pPr>
            <w:r>
              <w:rPr>
                <w:sz w:val="18"/>
                <w:szCs w:val="18"/>
              </w:rPr>
              <w:t>2.5</w:t>
            </w:r>
          </w:p>
        </w:tc>
        <w:tc>
          <w:tcPr>
            <w:tcW w:w="886" w:type="pct"/>
            <w:vAlign w:val="bottom"/>
          </w:tcPr>
          <w:p w:rsidR="00A654DD" w:rsidRPr="00A654DD" w:rsidRDefault="00817952" w:rsidP="00817952">
            <w:pPr>
              <w:pStyle w:val="TableBodyText"/>
              <w:rPr>
                <w:sz w:val="18"/>
                <w:szCs w:val="18"/>
              </w:rPr>
            </w:pPr>
            <w:r>
              <w:rPr>
                <w:sz w:val="18"/>
                <w:szCs w:val="18"/>
              </w:rPr>
              <w:t>33.4</w:t>
            </w:r>
          </w:p>
        </w:tc>
      </w:tr>
      <w:tr w:rsidR="00A654DD" w:rsidTr="00634213">
        <w:trPr>
          <w:trHeight w:val="170"/>
        </w:trPr>
        <w:tc>
          <w:tcPr>
            <w:tcW w:w="2340" w:type="pct"/>
            <w:vAlign w:val="center"/>
          </w:tcPr>
          <w:p w:rsidR="00A654DD" w:rsidRPr="00B2242C" w:rsidRDefault="00A654DD" w:rsidP="00A77DC7">
            <w:pPr>
              <w:pStyle w:val="TableBodyText"/>
              <w:jc w:val="left"/>
              <w:rPr>
                <w:sz w:val="18"/>
                <w:szCs w:val="18"/>
              </w:rPr>
            </w:pPr>
            <w:r w:rsidRPr="00B2242C">
              <w:rPr>
                <w:sz w:val="18"/>
                <w:szCs w:val="18"/>
              </w:rPr>
              <w:t>Education and training</w:t>
            </w:r>
          </w:p>
        </w:tc>
        <w:tc>
          <w:tcPr>
            <w:tcW w:w="887" w:type="pct"/>
            <w:vAlign w:val="bottom"/>
          </w:tcPr>
          <w:p w:rsidR="00A654DD" w:rsidRPr="00A654DD" w:rsidRDefault="00A654DD" w:rsidP="00C93DE2">
            <w:pPr>
              <w:pStyle w:val="TableBodyText"/>
              <w:rPr>
                <w:sz w:val="18"/>
                <w:szCs w:val="18"/>
              </w:rPr>
            </w:pPr>
            <w:r w:rsidRPr="00A654DD">
              <w:rPr>
                <w:sz w:val="18"/>
                <w:szCs w:val="18"/>
              </w:rPr>
              <w:t>1</w:t>
            </w:r>
            <w:r w:rsidR="00C93DE2">
              <w:rPr>
                <w:sz w:val="18"/>
                <w:szCs w:val="18"/>
              </w:rPr>
              <w:t>8.5</w:t>
            </w:r>
          </w:p>
        </w:tc>
        <w:tc>
          <w:tcPr>
            <w:tcW w:w="887" w:type="pct"/>
            <w:vAlign w:val="bottom"/>
          </w:tcPr>
          <w:p w:rsidR="00A654DD" w:rsidRPr="00A654DD" w:rsidRDefault="006579E4" w:rsidP="006579E4">
            <w:pPr>
              <w:pStyle w:val="TableBodyText"/>
              <w:rPr>
                <w:sz w:val="18"/>
                <w:szCs w:val="18"/>
              </w:rPr>
            </w:pPr>
            <w:r>
              <w:rPr>
                <w:sz w:val="18"/>
                <w:szCs w:val="18"/>
              </w:rPr>
              <w:t>10.8</w:t>
            </w:r>
          </w:p>
        </w:tc>
        <w:tc>
          <w:tcPr>
            <w:tcW w:w="886" w:type="pct"/>
            <w:vAlign w:val="bottom"/>
          </w:tcPr>
          <w:p w:rsidR="00A654DD" w:rsidRPr="00A654DD" w:rsidRDefault="00817952" w:rsidP="00817952">
            <w:pPr>
              <w:pStyle w:val="TableBodyText"/>
              <w:rPr>
                <w:sz w:val="18"/>
                <w:szCs w:val="18"/>
              </w:rPr>
            </w:pPr>
            <w:r>
              <w:rPr>
                <w:sz w:val="18"/>
                <w:szCs w:val="18"/>
              </w:rPr>
              <w:t>29.3</w:t>
            </w:r>
          </w:p>
        </w:tc>
      </w:tr>
      <w:tr w:rsidR="00A654DD" w:rsidTr="00634213">
        <w:trPr>
          <w:trHeight w:val="170"/>
        </w:trPr>
        <w:tc>
          <w:tcPr>
            <w:tcW w:w="2340" w:type="pct"/>
            <w:vAlign w:val="center"/>
          </w:tcPr>
          <w:p w:rsidR="00A654DD" w:rsidRPr="00B2242C" w:rsidRDefault="00A654DD" w:rsidP="00A77DC7">
            <w:pPr>
              <w:pStyle w:val="TableBodyText"/>
              <w:jc w:val="left"/>
              <w:rPr>
                <w:sz w:val="18"/>
                <w:szCs w:val="18"/>
              </w:rPr>
            </w:pPr>
            <w:r w:rsidRPr="00B2242C">
              <w:rPr>
                <w:sz w:val="18"/>
                <w:szCs w:val="18"/>
              </w:rPr>
              <w:t>Health care and social assistance</w:t>
            </w:r>
          </w:p>
        </w:tc>
        <w:tc>
          <w:tcPr>
            <w:tcW w:w="887" w:type="pct"/>
            <w:vAlign w:val="bottom"/>
          </w:tcPr>
          <w:p w:rsidR="00A654DD" w:rsidRPr="00A654DD" w:rsidRDefault="00A654DD" w:rsidP="00C93DE2">
            <w:pPr>
              <w:pStyle w:val="TableBodyText"/>
              <w:rPr>
                <w:sz w:val="18"/>
                <w:szCs w:val="18"/>
              </w:rPr>
            </w:pPr>
            <w:r w:rsidRPr="00A654DD">
              <w:rPr>
                <w:sz w:val="18"/>
                <w:szCs w:val="18"/>
              </w:rPr>
              <w:t>11</w:t>
            </w:r>
            <w:r w:rsidR="00C93DE2">
              <w:rPr>
                <w:sz w:val="18"/>
                <w:szCs w:val="18"/>
              </w:rPr>
              <w:t>1.6</w:t>
            </w:r>
          </w:p>
        </w:tc>
        <w:tc>
          <w:tcPr>
            <w:tcW w:w="887" w:type="pct"/>
            <w:vAlign w:val="bottom"/>
          </w:tcPr>
          <w:p w:rsidR="00A654DD" w:rsidRPr="00A654DD" w:rsidRDefault="00A654DD" w:rsidP="006579E4">
            <w:pPr>
              <w:pStyle w:val="TableBodyText"/>
              <w:rPr>
                <w:sz w:val="18"/>
                <w:szCs w:val="18"/>
              </w:rPr>
            </w:pPr>
            <w:r w:rsidRPr="00A654DD">
              <w:rPr>
                <w:sz w:val="18"/>
                <w:szCs w:val="18"/>
              </w:rPr>
              <w:t>5</w:t>
            </w:r>
            <w:r w:rsidR="006579E4">
              <w:rPr>
                <w:sz w:val="18"/>
                <w:szCs w:val="18"/>
              </w:rPr>
              <w:t>1.7</w:t>
            </w:r>
          </w:p>
        </w:tc>
        <w:tc>
          <w:tcPr>
            <w:tcW w:w="886" w:type="pct"/>
            <w:vAlign w:val="bottom"/>
          </w:tcPr>
          <w:p w:rsidR="00A654DD" w:rsidRPr="00A654DD" w:rsidRDefault="00A654DD" w:rsidP="00817952">
            <w:pPr>
              <w:pStyle w:val="TableBodyText"/>
              <w:rPr>
                <w:sz w:val="18"/>
                <w:szCs w:val="18"/>
              </w:rPr>
            </w:pPr>
            <w:r w:rsidRPr="00A654DD">
              <w:rPr>
                <w:sz w:val="18"/>
                <w:szCs w:val="18"/>
              </w:rPr>
              <w:t>16</w:t>
            </w:r>
            <w:r w:rsidR="00817952">
              <w:rPr>
                <w:sz w:val="18"/>
                <w:szCs w:val="18"/>
              </w:rPr>
              <w:t>3.3</w:t>
            </w:r>
          </w:p>
        </w:tc>
      </w:tr>
      <w:tr w:rsidR="00A654DD" w:rsidTr="00634213">
        <w:trPr>
          <w:trHeight w:val="170"/>
        </w:trPr>
        <w:tc>
          <w:tcPr>
            <w:tcW w:w="2340" w:type="pct"/>
            <w:vAlign w:val="center"/>
          </w:tcPr>
          <w:p w:rsidR="00A654DD" w:rsidRPr="00B2242C" w:rsidRDefault="00A654DD" w:rsidP="00A77DC7">
            <w:pPr>
              <w:pStyle w:val="TableBodyText"/>
              <w:jc w:val="left"/>
              <w:rPr>
                <w:sz w:val="18"/>
                <w:szCs w:val="18"/>
              </w:rPr>
            </w:pPr>
            <w:r w:rsidRPr="00B2242C">
              <w:rPr>
                <w:sz w:val="18"/>
                <w:szCs w:val="18"/>
              </w:rPr>
              <w:t>Arts and recreation services</w:t>
            </w:r>
          </w:p>
        </w:tc>
        <w:tc>
          <w:tcPr>
            <w:tcW w:w="887" w:type="pct"/>
            <w:vAlign w:val="bottom"/>
          </w:tcPr>
          <w:p w:rsidR="00A654DD" w:rsidRPr="00A654DD" w:rsidRDefault="00A654DD" w:rsidP="00C93DE2">
            <w:pPr>
              <w:pStyle w:val="TableBodyText"/>
              <w:rPr>
                <w:sz w:val="18"/>
                <w:szCs w:val="18"/>
              </w:rPr>
            </w:pPr>
            <w:r w:rsidRPr="00A654DD">
              <w:rPr>
                <w:sz w:val="18"/>
                <w:szCs w:val="18"/>
              </w:rPr>
              <w:t>11</w:t>
            </w:r>
            <w:r w:rsidR="00E0600F">
              <w:rPr>
                <w:sz w:val="18"/>
                <w:szCs w:val="18"/>
              </w:rPr>
              <w:t>7.</w:t>
            </w:r>
            <w:r w:rsidR="00C93DE2">
              <w:rPr>
                <w:sz w:val="18"/>
                <w:szCs w:val="18"/>
              </w:rPr>
              <w:t>7</w:t>
            </w:r>
          </w:p>
        </w:tc>
        <w:tc>
          <w:tcPr>
            <w:tcW w:w="887" w:type="pct"/>
            <w:vAlign w:val="bottom"/>
          </w:tcPr>
          <w:p w:rsidR="00A654DD" w:rsidRPr="00A654DD" w:rsidRDefault="00A654DD" w:rsidP="006579E4">
            <w:pPr>
              <w:pStyle w:val="TableBodyText"/>
              <w:rPr>
                <w:sz w:val="18"/>
                <w:szCs w:val="18"/>
              </w:rPr>
            </w:pPr>
            <w:r w:rsidRPr="00A654DD">
              <w:rPr>
                <w:sz w:val="18"/>
                <w:szCs w:val="18"/>
              </w:rPr>
              <w:t>2</w:t>
            </w:r>
            <w:r w:rsidR="006579E4">
              <w:rPr>
                <w:sz w:val="18"/>
                <w:szCs w:val="18"/>
              </w:rPr>
              <w:t>33.7</w:t>
            </w:r>
          </w:p>
        </w:tc>
        <w:tc>
          <w:tcPr>
            <w:tcW w:w="886" w:type="pct"/>
            <w:vAlign w:val="bottom"/>
          </w:tcPr>
          <w:p w:rsidR="00A654DD" w:rsidRPr="00A654DD" w:rsidRDefault="00A654DD" w:rsidP="00817952">
            <w:pPr>
              <w:pStyle w:val="TableBodyText"/>
              <w:rPr>
                <w:sz w:val="18"/>
                <w:szCs w:val="18"/>
              </w:rPr>
            </w:pPr>
            <w:r w:rsidRPr="00A654DD">
              <w:rPr>
                <w:sz w:val="18"/>
                <w:szCs w:val="18"/>
              </w:rPr>
              <w:t>3</w:t>
            </w:r>
            <w:r w:rsidR="00E0600F">
              <w:rPr>
                <w:sz w:val="18"/>
                <w:szCs w:val="18"/>
              </w:rPr>
              <w:t>5</w:t>
            </w:r>
            <w:r w:rsidR="00817952">
              <w:rPr>
                <w:sz w:val="18"/>
                <w:szCs w:val="18"/>
              </w:rPr>
              <w:t>1</w:t>
            </w:r>
            <w:r w:rsidR="00E0600F">
              <w:rPr>
                <w:sz w:val="18"/>
                <w:szCs w:val="18"/>
              </w:rPr>
              <w:t>.</w:t>
            </w:r>
            <w:r w:rsidR="00817952">
              <w:rPr>
                <w:sz w:val="18"/>
                <w:szCs w:val="18"/>
              </w:rPr>
              <w:t>4</w:t>
            </w:r>
          </w:p>
        </w:tc>
      </w:tr>
      <w:tr w:rsidR="00A654DD" w:rsidTr="00634213">
        <w:trPr>
          <w:trHeight w:val="170"/>
        </w:trPr>
        <w:tc>
          <w:tcPr>
            <w:tcW w:w="2340" w:type="pct"/>
            <w:vAlign w:val="center"/>
          </w:tcPr>
          <w:p w:rsidR="00A654DD" w:rsidRPr="00B2242C" w:rsidRDefault="00A654DD" w:rsidP="00A77DC7">
            <w:pPr>
              <w:pStyle w:val="TableBodyText"/>
              <w:jc w:val="left"/>
              <w:rPr>
                <w:sz w:val="18"/>
                <w:szCs w:val="18"/>
              </w:rPr>
            </w:pPr>
            <w:r w:rsidRPr="00B2242C">
              <w:rPr>
                <w:sz w:val="18"/>
                <w:szCs w:val="18"/>
              </w:rPr>
              <w:t>Other services</w:t>
            </w:r>
          </w:p>
        </w:tc>
        <w:tc>
          <w:tcPr>
            <w:tcW w:w="887" w:type="pct"/>
            <w:vAlign w:val="bottom"/>
          </w:tcPr>
          <w:p w:rsidR="00A654DD" w:rsidRPr="00A654DD" w:rsidRDefault="00A654DD" w:rsidP="00C93DE2">
            <w:pPr>
              <w:pStyle w:val="TableBodyText"/>
              <w:rPr>
                <w:sz w:val="18"/>
                <w:szCs w:val="18"/>
              </w:rPr>
            </w:pPr>
            <w:r w:rsidRPr="00A654DD">
              <w:rPr>
                <w:sz w:val="18"/>
                <w:szCs w:val="18"/>
              </w:rPr>
              <w:t>2</w:t>
            </w:r>
            <w:r w:rsidR="00C93DE2">
              <w:rPr>
                <w:sz w:val="18"/>
                <w:szCs w:val="18"/>
              </w:rPr>
              <w:t>4.9</w:t>
            </w:r>
          </w:p>
        </w:tc>
        <w:tc>
          <w:tcPr>
            <w:tcW w:w="887" w:type="pct"/>
            <w:vAlign w:val="bottom"/>
          </w:tcPr>
          <w:p w:rsidR="00A654DD" w:rsidRPr="00A654DD" w:rsidRDefault="00A654DD" w:rsidP="006579E4">
            <w:pPr>
              <w:pStyle w:val="TableBodyText"/>
              <w:rPr>
                <w:sz w:val="18"/>
                <w:szCs w:val="18"/>
              </w:rPr>
            </w:pPr>
            <w:r w:rsidRPr="00A654DD">
              <w:rPr>
                <w:sz w:val="18"/>
                <w:szCs w:val="18"/>
              </w:rPr>
              <w:t>2</w:t>
            </w:r>
            <w:r w:rsidR="006579E4">
              <w:rPr>
                <w:sz w:val="18"/>
                <w:szCs w:val="18"/>
              </w:rPr>
              <w:t>9.5</w:t>
            </w:r>
          </w:p>
        </w:tc>
        <w:tc>
          <w:tcPr>
            <w:tcW w:w="886" w:type="pct"/>
            <w:vAlign w:val="bottom"/>
          </w:tcPr>
          <w:p w:rsidR="00A654DD" w:rsidRPr="00A654DD" w:rsidRDefault="00817952" w:rsidP="00817952">
            <w:pPr>
              <w:pStyle w:val="TableBodyText"/>
              <w:rPr>
                <w:sz w:val="18"/>
                <w:szCs w:val="18"/>
              </w:rPr>
            </w:pPr>
            <w:r>
              <w:rPr>
                <w:sz w:val="18"/>
                <w:szCs w:val="18"/>
              </w:rPr>
              <w:t>5</w:t>
            </w:r>
            <w:r w:rsidR="00A654DD" w:rsidRPr="00A654DD">
              <w:rPr>
                <w:sz w:val="18"/>
                <w:szCs w:val="18"/>
              </w:rPr>
              <w:t>4.</w:t>
            </w:r>
            <w:r>
              <w:rPr>
                <w:sz w:val="18"/>
                <w:szCs w:val="18"/>
              </w:rPr>
              <w:t>4</w:t>
            </w:r>
          </w:p>
        </w:tc>
      </w:tr>
      <w:tr w:rsidR="00A654DD" w:rsidTr="00634213">
        <w:trPr>
          <w:trHeight w:val="170"/>
        </w:trPr>
        <w:tc>
          <w:tcPr>
            <w:tcW w:w="2340" w:type="pct"/>
            <w:vAlign w:val="center"/>
          </w:tcPr>
          <w:p w:rsidR="00A654DD" w:rsidRPr="00DD2C47" w:rsidRDefault="00A654DD" w:rsidP="007E3E60">
            <w:pPr>
              <w:pStyle w:val="TableBodyText"/>
              <w:jc w:val="left"/>
              <w:rPr>
                <w:sz w:val="18"/>
                <w:szCs w:val="18"/>
              </w:rPr>
            </w:pPr>
            <w:r w:rsidRPr="00B2242C">
              <w:rPr>
                <w:sz w:val="18"/>
                <w:szCs w:val="18"/>
              </w:rPr>
              <w:t>Unallocated services</w:t>
            </w:r>
            <w:r w:rsidRPr="00DD2C47">
              <w:rPr>
                <w:rStyle w:val="NoteLabel"/>
                <w:szCs w:val="18"/>
              </w:rPr>
              <w:t>b</w:t>
            </w:r>
          </w:p>
        </w:tc>
        <w:tc>
          <w:tcPr>
            <w:tcW w:w="887" w:type="pct"/>
            <w:vAlign w:val="bottom"/>
          </w:tcPr>
          <w:p w:rsidR="00A654DD" w:rsidRPr="00A654DD" w:rsidRDefault="00A654DD" w:rsidP="00A654DD">
            <w:pPr>
              <w:pStyle w:val="TableBodyText"/>
              <w:spacing w:before="40"/>
              <w:rPr>
                <w:sz w:val="18"/>
                <w:szCs w:val="18"/>
              </w:rPr>
            </w:pPr>
            <w:r w:rsidRPr="00A654DD">
              <w:rPr>
                <w:sz w:val="18"/>
                <w:szCs w:val="18"/>
              </w:rPr>
              <w:t>180.3</w:t>
            </w:r>
          </w:p>
        </w:tc>
        <w:tc>
          <w:tcPr>
            <w:tcW w:w="887" w:type="pct"/>
            <w:vAlign w:val="bottom"/>
          </w:tcPr>
          <w:p w:rsidR="00A654DD" w:rsidRPr="00A654DD" w:rsidRDefault="006579E4" w:rsidP="006579E4">
            <w:pPr>
              <w:pStyle w:val="TableBodyText"/>
              <w:spacing w:before="40"/>
              <w:rPr>
                <w:sz w:val="18"/>
                <w:szCs w:val="18"/>
              </w:rPr>
            </w:pPr>
            <w:r w:rsidRPr="00AC2CC6">
              <w:t>–</w:t>
            </w:r>
          </w:p>
        </w:tc>
        <w:tc>
          <w:tcPr>
            <w:tcW w:w="886" w:type="pct"/>
            <w:vAlign w:val="bottom"/>
          </w:tcPr>
          <w:p w:rsidR="00A654DD" w:rsidRPr="00A654DD" w:rsidRDefault="00A654DD" w:rsidP="00817952">
            <w:pPr>
              <w:pStyle w:val="TableBodyText"/>
              <w:spacing w:before="40"/>
              <w:rPr>
                <w:sz w:val="18"/>
                <w:szCs w:val="18"/>
              </w:rPr>
            </w:pPr>
            <w:r w:rsidRPr="00A654DD">
              <w:rPr>
                <w:sz w:val="18"/>
                <w:szCs w:val="18"/>
              </w:rPr>
              <w:t>1</w:t>
            </w:r>
            <w:r w:rsidR="00817952">
              <w:rPr>
                <w:sz w:val="18"/>
                <w:szCs w:val="18"/>
              </w:rPr>
              <w:t>80.3</w:t>
            </w:r>
          </w:p>
        </w:tc>
      </w:tr>
      <w:tr w:rsidR="00A654DD" w:rsidTr="00634213">
        <w:trPr>
          <w:trHeight w:val="170"/>
        </w:trPr>
        <w:tc>
          <w:tcPr>
            <w:tcW w:w="2340" w:type="pct"/>
            <w:vAlign w:val="center"/>
          </w:tcPr>
          <w:p w:rsidR="00A654DD" w:rsidRPr="00DD2C47" w:rsidRDefault="00A654DD" w:rsidP="007E3E60">
            <w:pPr>
              <w:pStyle w:val="TableBodyText"/>
              <w:jc w:val="left"/>
              <w:rPr>
                <w:sz w:val="18"/>
                <w:szCs w:val="18"/>
              </w:rPr>
            </w:pPr>
            <w:r w:rsidRPr="00B2242C">
              <w:rPr>
                <w:sz w:val="18"/>
                <w:szCs w:val="18"/>
              </w:rPr>
              <w:t>Unallocated other</w:t>
            </w:r>
            <w:r w:rsidRPr="00DD2C47">
              <w:rPr>
                <w:rStyle w:val="NoteLabel"/>
                <w:szCs w:val="18"/>
              </w:rPr>
              <w:t>b</w:t>
            </w:r>
          </w:p>
        </w:tc>
        <w:tc>
          <w:tcPr>
            <w:tcW w:w="887" w:type="pct"/>
            <w:vAlign w:val="bottom"/>
          </w:tcPr>
          <w:p w:rsidR="00A654DD" w:rsidRPr="00A654DD" w:rsidRDefault="00E0600F" w:rsidP="00C93DE2">
            <w:pPr>
              <w:pStyle w:val="TableBodyText"/>
              <w:spacing w:before="40"/>
              <w:rPr>
                <w:sz w:val="18"/>
                <w:szCs w:val="18"/>
              </w:rPr>
            </w:pPr>
            <w:r>
              <w:rPr>
                <w:sz w:val="18"/>
                <w:szCs w:val="18"/>
              </w:rPr>
              <w:t>3</w:t>
            </w:r>
            <w:r w:rsidR="00C93DE2">
              <w:rPr>
                <w:sz w:val="18"/>
                <w:szCs w:val="18"/>
              </w:rPr>
              <w:t>55.6</w:t>
            </w:r>
          </w:p>
        </w:tc>
        <w:tc>
          <w:tcPr>
            <w:tcW w:w="887" w:type="pct"/>
            <w:vAlign w:val="bottom"/>
          </w:tcPr>
          <w:p w:rsidR="00A654DD" w:rsidRPr="00A654DD" w:rsidRDefault="00A654DD" w:rsidP="006579E4">
            <w:pPr>
              <w:pStyle w:val="TableBodyText"/>
              <w:spacing w:before="40"/>
              <w:rPr>
                <w:sz w:val="18"/>
                <w:szCs w:val="18"/>
              </w:rPr>
            </w:pPr>
            <w:r w:rsidRPr="00A654DD">
              <w:rPr>
                <w:sz w:val="18"/>
                <w:szCs w:val="18"/>
              </w:rPr>
              <w:t>9</w:t>
            </w:r>
            <w:r w:rsidR="006579E4">
              <w:rPr>
                <w:sz w:val="18"/>
                <w:szCs w:val="18"/>
              </w:rPr>
              <w:t>70.4</w:t>
            </w:r>
          </w:p>
        </w:tc>
        <w:tc>
          <w:tcPr>
            <w:tcW w:w="886" w:type="pct"/>
            <w:vAlign w:val="bottom"/>
          </w:tcPr>
          <w:p w:rsidR="00A654DD" w:rsidRPr="00A654DD" w:rsidRDefault="00E0600F" w:rsidP="000F2ECC">
            <w:pPr>
              <w:pStyle w:val="TableBodyText"/>
              <w:spacing w:before="40"/>
              <w:rPr>
                <w:sz w:val="18"/>
                <w:szCs w:val="18"/>
              </w:rPr>
            </w:pPr>
            <w:r>
              <w:rPr>
                <w:sz w:val="18"/>
                <w:szCs w:val="18"/>
              </w:rPr>
              <w:t>13</w:t>
            </w:r>
            <w:r w:rsidR="000F2ECC">
              <w:rPr>
                <w:sz w:val="18"/>
                <w:szCs w:val="18"/>
              </w:rPr>
              <w:t>26.0</w:t>
            </w:r>
          </w:p>
        </w:tc>
      </w:tr>
      <w:tr w:rsidR="00A654DD" w:rsidRPr="007E3E60" w:rsidTr="00634213">
        <w:trPr>
          <w:trHeight w:val="227"/>
        </w:trPr>
        <w:tc>
          <w:tcPr>
            <w:tcW w:w="2340" w:type="pct"/>
            <w:tcBorders>
              <w:bottom w:val="single" w:sz="6" w:space="0" w:color="auto"/>
            </w:tcBorders>
            <w:shd w:val="clear" w:color="auto" w:fill="auto"/>
          </w:tcPr>
          <w:p w:rsidR="00A654DD" w:rsidRPr="00B2242C" w:rsidRDefault="00A654DD" w:rsidP="00A77DC7">
            <w:pPr>
              <w:pStyle w:val="TableBodyText"/>
              <w:jc w:val="left"/>
              <w:rPr>
                <w:b/>
                <w:sz w:val="18"/>
                <w:szCs w:val="18"/>
              </w:rPr>
            </w:pPr>
            <w:r w:rsidRPr="00B2242C">
              <w:rPr>
                <w:b/>
                <w:sz w:val="18"/>
                <w:szCs w:val="18"/>
              </w:rPr>
              <w:t>Total</w:t>
            </w:r>
          </w:p>
        </w:tc>
        <w:tc>
          <w:tcPr>
            <w:tcW w:w="887" w:type="pct"/>
            <w:tcBorders>
              <w:bottom w:val="single" w:sz="6" w:space="0" w:color="auto"/>
            </w:tcBorders>
            <w:shd w:val="clear" w:color="auto" w:fill="auto"/>
            <w:vAlign w:val="bottom"/>
          </w:tcPr>
          <w:p w:rsidR="00A654DD" w:rsidRPr="00A654DD" w:rsidRDefault="00E0600F" w:rsidP="00C93DE2">
            <w:pPr>
              <w:pStyle w:val="TableBodyText"/>
              <w:rPr>
                <w:b/>
                <w:bCs/>
                <w:sz w:val="18"/>
                <w:szCs w:val="18"/>
              </w:rPr>
            </w:pPr>
            <w:r>
              <w:rPr>
                <w:b/>
                <w:bCs/>
                <w:sz w:val="18"/>
                <w:szCs w:val="18"/>
              </w:rPr>
              <w:t>51</w:t>
            </w:r>
            <w:r w:rsidR="00C93DE2">
              <w:rPr>
                <w:b/>
                <w:bCs/>
                <w:sz w:val="18"/>
                <w:szCs w:val="18"/>
              </w:rPr>
              <w:t>28.7</w:t>
            </w:r>
          </w:p>
        </w:tc>
        <w:tc>
          <w:tcPr>
            <w:tcW w:w="887" w:type="pct"/>
            <w:tcBorders>
              <w:bottom w:val="single" w:sz="6" w:space="0" w:color="auto"/>
            </w:tcBorders>
            <w:vAlign w:val="bottom"/>
          </w:tcPr>
          <w:p w:rsidR="00A654DD" w:rsidRPr="00A654DD" w:rsidRDefault="006579E4" w:rsidP="006579E4">
            <w:pPr>
              <w:pStyle w:val="TableBodyText"/>
              <w:rPr>
                <w:b/>
                <w:bCs/>
                <w:sz w:val="18"/>
                <w:szCs w:val="18"/>
              </w:rPr>
            </w:pPr>
            <w:r>
              <w:rPr>
                <w:b/>
                <w:bCs/>
                <w:sz w:val="18"/>
                <w:szCs w:val="18"/>
              </w:rPr>
              <w:t>4291.2</w:t>
            </w:r>
          </w:p>
        </w:tc>
        <w:tc>
          <w:tcPr>
            <w:tcW w:w="886" w:type="pct"/>
            <w:tcBorders>
              <w:bottom w:val="single" w:sz="6" w:space="0" w:color="auto"/>
            </w:tcBorders>
            <w:shd w:val="clear" w:color="auto" w:fill="auto"/>
            <w:vAlign w:val="bottom"/>
          </w:tcPr>
          <w:p w:rsidR="00A654DD" w:rsidRPr="00A654DD" w:rsidRDefault="00E0600F" w:rsidP="000F2ECC">
            <w:pPr>
              <w:pStyle w:val="TableBodyText"/>
              <w:rPr>
                <w:b/>
                <w:bCs/>
                <w:sz w:val="18"/>
                <w:szCs w:val="18"/>
              </w:rPr>
            </w:pPr>
            <w:r>
              <w:rPr>
                <w:b/>
                <w:bCs/>
                <w:sz w:val="18"/>
                <w:szCs w:val="18"/>
              </w:rPr>
              <w:t>94</w:t>
            </w:r>
            <w:r w:rsidR="000F2ECC">
              <w:rPr>
                <w:b/>
                <w:bCs/>
                <w:sz w:val="18"/>
                <w:szCs w:val="18"/>
              </w:rPr>
              <w:t>19.9</w:t>
            </w:r>
          </w:p>
        </w:tc>
      </w:tr>
    </w:tbl>
    <w:p w:rsidR="008B3550" w:rsidRDefault="006579E4" w:rsidP="008B3550">
      <w:pPr>
        <w:pStyle w:val="Note"/>
      </w:pPr>
      <w:r w:rsidRPr="00AC2CC6">
        <w:t>– </w:t>
      </w:r>
      <w:r>
        <w:t>N</w:t>
      </w:r>
      <w:r w:rsidRPr="00AC2CC6">
        <w:t>il</w:t>
      </w:r>
      <w:r>
        <w:t>.</w:t>
      </w:r>
      <w:r w:rsidRPr="008E77FE">
        <w:rPr>
          <w:rStyle w:val="NoteLabel"/>
        </w:rPr>
        <w:t xml:space="preserve"> </w:t>
      </w:r>
      <w:r>
        <w:rPr>
          <w:rStyle w:val="NoteLabel"/>
        </w:rPr>
        <w:t xml:space="preserve"> </w:t>
      </w:r>
      <w:r w:rsidR="008B3550" w:rsidRPr="008E77FE">
        <w:rPr>
          <w:rStyle w:val="NoteLabel"/>
        </w:rPr>
        <w:t>a</w:t>
      </w:r>
      <w:r w:rsidR="007E3E60">
        <w:t xml:space="preserve"> </w:t>
      </w:r>
      <w:r w:rsidR="009C0A1F" w:rsidRPr="009C0A1F">
        <w:t xml:space="preserve">Aquaculture and fishing </w:t>
      </w:r>
      <w:r w:rsidR="007E3E60" w:rsidRPr="007E3E60">
        <w:t xml:space="preserve">includes </w:t>
      </w:r>
      <w:r w:rsidR="007E3E60" w:rsidRPr="009C0A1F">
        <w:rPr>
          <w:i/>
        </w:rPr>
        <w:t>Hunting &amp; trapping</w:t>
      </w:r>
      <w:r w:rsidR="007E3E60">
        <w:t xml:space="preserve">.  </w:t>
      </w:r>
      <w:r w:rsidR="007E3E60" w:rsidRPr="007E3E60">
        <w:rPr>
          <w:rStyle w:val="NoteLabel"/>
        </w:rPr>
        <w:t>b</w:t>
      </w:r>
      <w:r w:rsidR="007E3E60">
        <w:t xml:space="preserve"> </w:t>
      </w:r>
      <w:r w:rsidR="007E3E60" w:rsidRPr="007E3E60">
        <w:t xml:space="preserve">Unallocated includes programs </w:t>
      </w:r>
      <w:r w:rsidR="001D3023">
        <w:t>for which</w:t>
      </w:r>
      <w:r w:rsidR="007E3E60" w:rsidRPr="007E3E60">
        <w:t xml:space="preserve"> details of the initial benefiting industry cannot be readily identified</w:t>
      </w:r>
      <w:r w:rsidR="007E3E60">
        <w:t xml:space="preserve">. </w:t>
      </w:r>
    </w:p>
    <w:p w:rsidR="008B3550" w:rsidRPr="008E77FE" w:rsidRDefault="008B3550" w:rsidP="008B3550">
      <w:pPr>
        <w:pStyle w:val="Source"/>
      </w:pPr>
      <w:r>
        <w:rPr>
          <w:i/>
        </w:rPr>
        <w:t>Source</w:t>
      </w:r>
      <w:r>
        <w:t xml:space="preserve">: </w:t>
      </w:r>
      <w:r w:rsidR="007E3E60">
        <w:t>Commission estimates</w:t>
      </w:r>
      <w:r>
        <w:t>.</w:t>
      </w:r>
      <w:r w:rsidR="007E3E60">
        <w:t xml:space="preserve"> </w:t>
      </w:r>
    </w:p>
    <w:p w:rsidR="00513E33" w:rsidRDefault="00E12ECE" w:rsidP="00513E33">
      <w:pPr>
        <w:pStyle w:val="Heading2"/>
      </w:pPr>
      <w:fldSimple w:instr=" COMMENTS  \* MERGEFORMAT ">
        <w:r w:rsidR="00655E7D">
          <w:t>2.</w:t>
        </w:r>
      </w:fldSimple>
      <w:fldSimple w:instr=" SEQ Heading2 ">
        <w:r>
          <w:rPr>
            <w:noProof/>
          </w:rPr>
          <w:t>3</w:t>
        </w:r>
      </w:fldSimple>
      <w:r w:rsidR="00513E33">
        <w:tab/>
        <w:t>Combined assistance</w:t>
      </w:r>
    </w:p>
    <w:p w:rsidR="006A50C8" w:rsidRDefault="006A50C8" w:rsidP="006A50C8">
      <w:pPr>
        <w:pStyle w:val="BodyText"/>
      </w:pPr>
      <w:r w:rsidRPr="005472C0">
        <w:t>This section presents the results for combined tariff, budgetary assistance, and agricultural pricing and regulatory assistance. Combined assistance is reported in terms of the net value of assistance and its components, and the effective rate of assistance (box</w:t>
      </w:r>
      <w:r>
        <w:t> </w:t>
      </w:r>
      <w:r>
        <w:fldChar w:fldCharType="begin"/>
      </w:r>
      <w:r>
        <w:instrText xml:space="preserve"> LINK </w:instrText>
      </w:r>
      <w:r w:rsidR="00655E7D">
        <w:instrText xml:space="preserve">Word.Document.12 "\\\\nch1\\esb\\T A R\\2011-12\\AAreport\\12 - Ch2 - Assistance estimates.docx" OLE_LINK8 </w:instrText>
      </w:r>
      <w:r>
        <w:instrText xml:space="preserve">\a \t </w:instrText>
      </w:r>
      <w:r>
        <w:fldChar w:fldCharType="separate"/>
      </w:r>
      <w:r w:rsidR="00655E7D">
        <w:t>2.4</w:t>
      </w:r>
      <w:r>
        <w:fldChar w:fldCharType="end"/>
      </w:r>
      <w:r w:rsidRPr="005472C0">
        <w:t>).</w:t>
      </w:r>
      <w:r>
        <w:t xml:space="preserve"> </w:t>
      </w:r>
    </w:p>
    <w:p w:rsidR="006A50C8" w:rsidRDefault="006A50C8" w:rsidP="006A50C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A50C8" w:rsidTr="006A50C8">
        <w:tc>
          <w:tcPr>
            <w:tcW w:w="8771" w:type="dxa"/>
            <w:tcBorders>
              <w:top w:val="single" w:sz="6" w:space="0" w:color="auto"/>
              <w:bottom w:val="nil"/>
            </w:tcBorders>
          </w:tcPr>
          <w:p w:rsidR="006A50C8" w:rsidRDefault="006A50C8" w:rsidP="006A50C8">
            <w:pPr>
              <w:pStyle w:val="BoxTitle"/>
            </w:pPr>
            <w:r>
              <w:rPr>
                <w:b w:val="0"/>
              </w:rPr>
              <w:t xml:space="preserve">Box </w:t>
            </w:r>
            <w:bookmarkStart w:id="17" w:name="OLE_LINK8"/>
            <w:r>
              <w:rPr>
                <w:b w:val="0"/>
              </w:rPr>
              <w:fldChar w:fldCharType="begin"/>
            </w:r>
            <w:r>
              <w:rPr>
                <w:b w:val="0"/>
              </w:rPr>
              <w:instrText xml:space="preserve"> COMMENTS  \* MERGEFORMAT </w:instrText>
            </w:r>
            <w:r>
              <w:rPr>
                <w:b w:val="0"/>
              </w:rPr>
              <w:fldChar w:fldCharType="separate"/>
            </w:r>
            <w:r w:rsidR="00655E7D">
              <w:rPr>
                <w:b w:val="0"/>
              </w:rPr>
              <w:t>2.</w:t>
            </w:r>
            <w:r>
              <w:rPr>
                <w:b w:val="0"/>
              </w:rPr>
              <w:fldChar w:fldCharType="end"/>
            </w:r>
            <w:r>
              <w:rPr>
                <w:b w:val="0"/>
              </w:rPr>
              <w:fldChar w:fldCharType="begin"/>
            </w:r>
            <w:r>
              <w:rPr>
                <w:b w:val="0"/>
              </w:rPr>
              <w:instrText xml:space="preserve"> SEQ Box \* ARABIC </w:instrText>
            </w:r>
            <w:r>
              <w:rPr>
                <w:b w:val="0"/>
              </w:rPr>
              <w:fldChar w:fldCharType="separate"/>
            </w:r>
            <w:r w:rsidR="00E12ECE">
              <w:rPr>
                <w:b w:val="0"/>
                <w:noProof/>
              </w:rPr>
              <w:t>4</w:t>
            </w:r>
            <w:r>
              <w:rPr>
                <w:b w:val="0"/>
              </w:rPr>
              <w:fldChar w:fldCharType="end"/>
            </w:r>
            <w:bookmarkEnd w:id="17"/>
            <w:r>
              <w:tab/>
              <w:t>Summary measures of combined assistance</w:t>
            </w:r>
          </w:p>
        </w:tc>
      </w:tr>
      <w:tr w:rsidR="006A50C8" w:rsidTr="006A50C8">
        <w:trPr>
          <w:cantSplit/>
        </w:trPr>
        <w:tc>
          <w:tcPr>
            <w:tcW w:w="8771" w:type="dxa"/>
            <w:tcBorders>
              <w:top w:val="nil"/>
              <w:left w:val="single" w:sz="6" w:space="0" w:color="auto"/>
              <w:bottom w:val="nil"/>
              <w:right w:val="single" w:sz="6" w:space="0" w:color="auto"/>
            </w:tcBorders>
          </w:tcPr>
          <w:p w:rsidR="006A50C8" w:rsidRDefault="006A50C8" w:rsidP="006A50C8">
            <w:pPr>
              <w:pStyle w:val="Box"/>
            </w:pPr>
            <w:r>
              <w:t xml:space="preserve">In reporting its estimates of net combined assistance, the Commission adopts two summary measures. </w:t>
            </w:r>
          </w:p>
          <w:p w:rsidR="006A50C8" w:rsidRDefault="006A50C8" w:rsidP="006A50C8">
            <w:pPr>
              <w:pStyle w:val="BoxListBullet"/>
            </w:pPr>
            <w:r>
              <w:t xml:space="preserve">First, it reports total net assistance (also referred to in assistance methodologies as the net subsidy equivalent (NSE)), which is the dollar value of net assistance to the land, labour and capital resources used in a particular industry or activity. It indicates the level of transfers of income to benefiting producers from consumers, taxpayers and other firms. NSE estimates are reported for the four sectors and 34 industry groupings. </w:t>
            </w:r>
          </w:p>
          <w:p w:rsidR="006A50C8" w:rsidRDefault="006A50C8" w:rsidP="006A50C8">
            <w:pPr>
              <w:pStyle w:val="BoxListBullet"/>
            </w:pPr>
            <w:r>
              <w:t xml:space="preserve">The second summary measure is the effective rate of assistance (ERA). It measures the NSE of combined assistance to a particular industry in proportion to that industry’s unassisted net output (value added). It provides an indication of the extent to which assistance to an industry enables it to attract and hold economic resources relative to other sectors. That is, where there is some competition between industries for resources, those industries with relatively high effective rates of assistance are more likely, as a result of their assistance, to be able to attract resources away from those with lower rates of effective assistance. ERA estimates are reported for industries in the primary production, mining and manufacturing sectors. Effective rates of assistance are not published for the services sector. </w:t>
            </w:r>
          </w:p>
        </w:tc>
      </w:tr>
      <w:tr w:rsidR="006A50C8" w:rsidTr="006A50C8">
        <w:trPr>
          <w:cantSplit/>
        </w:trPr>
        <w:tc>
          <w:tcPr>
            <w:tcW w:w="8771" w:type="dxa"/>
            <w:tcBorders>
              <w:top w:val="nil"/>
              <w:left w:val="single" w:sz="6" w:space="0" w:color="auto"/>
              <w:bottom w:val="single" w:sz="6" w:space="0" w:color="auto"/>
              <w:right w:val="single" w:sz="6" w:space="0" w:color="auto"/>
            </w:tcBorders>
          </w:tcPr>
          <w:p w:rsidR="006A50C8" w:rsidRDefault="006A50C8" w:rsidP="006A50C8">
            <w:pPr>
              <w:pStyle w:val="Box"/>
              <w:spacing w:before="0" w:line="120" w:lineRule="exact"/>
            </w:pPr>
          </w:p>
        </w:tc>
      </w:tr>
      <w:tr w:rsidR="006A50C8" w:rsidRPr="000863A5" w:rsidTr="006A50C8">
        <w:tc>
          <w:tcPr>
            <w:tcW w:w="8771" w:type="dxa"/>
            <w:tcBorders>
              <w:top w:val="nil"/>
              <w:left w:val="nil"/>
              <w:bottom w:val="nil"/>
              <w:right w:val="nil"/>
            </w:tcBorders>
          </w:tcPr>
          <w:p w:rsidR="006A50C8" w:rsidRPr="00626D32" w:rsidRDefault="006A50C8" w:rsidP="006A50C8">
            <w:pPr>
              <w:pStyle w:val="BoxSpaceBelow"/>
            </w:pPr>
          </w:p>
        </w:tc>
      </w:tr>
    </w:tbl>
    <w:p w:rsidR="0052147F" w:rsidRDefault="0052147F" w:rsidP="0052147F">
      <w:pPr>
        <w:pStyle w:val="Heading3"/>
      </w:pPr>
      <w:r>
        <w:t>Aggregate assistance</w:t>
      </w:r>
    </w:p>
    <w:p w:rsidR="0052147F" w:rsidRDefault="0052147F" w:rsidP="0052147F">
      <w:pPr>
        <w:pStyle w:val="BodyText"/>
      </w:pPr>
      <w:r w:rsidRPr="00781505">
        <w:t>Total estimated gross combined assistance was $</w:t>
      </w:r>
      <w:r>
        <w:t>17.3 </w:t>
      </w:r>
      <w:r w:rsidRPr="00781505">
        <w:t>billion in 201</w:t>
      </w:r>
      <w:r>
        <w:t>1</w:t>
      </w:r>
      <w:r>
        <w:noBreakHyphen/>
        <w:t>12</w:t>
      </w:r>
      <w:r w:rsidRPr="00781505">
        <w:t>, a decline of around $</w:t>
      </w:r>
      <w:r>
        <w:t>0.6 b</w:t>
      </w:r>
      <w:r w:rsidRPr="00781505">
        <w:t>illion from 20</w:t>
      </w:r>
      <w:r>
        <w:t>10</w:t>
      </w:r>
      <w:r>
        <w:noBreakHyphen/>
        <w:t>11</w:t>
      </w:r>
      <w:r w:rsidRPr="00781505">
        <w:t xml:space="preserve"> in nominal terms (table</w:t>
      </w:r>
      <w:r>
        <w:t> </w:t>
      </w:r>
      <w:r>
        <w:fldChar w:fldCharType="begin"/>
      </w:r>
      <w:r>
        <w:instrText xml:space="preserve"> LINK Word.Document.12 "\\\\nch1\\esb\\T A R\\2011-12\\AAreport\\12 - Ch2 - Assistance estimates.docx" OLE_LINK11 \a \t </w:instrText>
      </w:r>
      <w:r>
        <w:fldChar w:fldCharType="separate"/>
      </w:r>
      <w:r>
        <w:t>2.5</w:t>
      </w:r>
      <w:r>
        <w:fldChar w:fldCharType="end"/>
      </w:r>
      <w:r w:rsidRPr="00781505">
        <w:t xml:space="preserve">). This represents a decline of around </w:t>
      </w:r>
      <w:r>
        <w:t>3 </w:t>
      </w:r>
      <w:r w:rsidRPr="00781505">
        <w:t>per</w:t>
      </w:r>
      <w:r>
        <w:t> </w:t>
      </w:r>
      <w:r w:rsidRPr="00781505">
        <w:t xml:space="preserve">cent in nominal terms and </w:t>
      </w:r>
      <w:r>
        <w:t>5 </w:t>
      </w:r>
      <w:r w:rsidRPr="00781505">
        <w:t>per</w:t>
      </w:r>
      <w:r>
        <w:t> </w:t>
      </w:r>
      <w:r w:rsidRPr="00781505">
        <w:t>cent in real terms.</w:t>
      </w:r>
      <w:r>
        <w:t xml:space="preserve"> </w:t>
      </w:r>
    </w:p>
    <w:p w:rsidR="006A50C8" w:rsidRDefault="006A50C8" w:rsidP="006A50C8">
      <w:pPr>
        <w:pStyle w:val="TableTitle"/>
      </w:pPr>
      <w:r>
        <w:rPr>
          <w:b w:val="0"/>
        </w:rPr>
        <w:lastRenderedPageBreak/>
        <w:t xml:space="preserve">Table </w:t>
      </w:r>
      <w:bookmarkStart w:id="18" w:name="OLE_LINK11"/>
      <w:r>
        <w:rPr>
          <w:b w:val="0"/>
        </w:rPr>
        <w:fldChar w:fldCharType="begin"/>
      </w:r>
      <w:r>
        <w:rPr>
          <w:b w:val="0"/>
        </w:rPr>
        <w:instrText xml:space="preserve"> COMMENTS  \* MERGEFORMAT </w:instrText>
      </w:r>
      <w:r>
        <w:rPr>
          <w:b w:val="0"/>
        </w:rPr>
        <w:fldChar w:fldCharType="separate"/>
      </w:r>
      <w:r w:rsidR="00655E7D">
        <w:rPr>
          <w:b w:val="0"/>
        </w:rPr>
        <w:t>2.</w:t>
      </w:r>
      <w:r>
        <w:rPr>
          <w:b w:val="0"/>
        </w:rPr>
        <w:fldChar w:fldCharType="end"/>
      </w:r>
      <w:r>
        <w:rPr>
          <w:b w:val="0"/>
        </w:rPr>
        <w:fldChar w:fldCharType="begin"/>
      </w:r>
      <w:r>
        <w:rPr>
          <w:b w:val="0"/>
        </w:rPr>
        <w:instrText xml:space="preserve"> SEQ Table \* ARABIC </w:instrText>
      </w:r>
      <w:r>
        <w:rPr>
          <w:b w:val="0"/>
        </w:rPr>
        <w:fldChar w:fldCharType="separate"/>
      </w:r>
      <w:r w:rsidR="00E12ECE">
        <w:rPr>
          <w:b w:val="0"/>
          <w:noProof/>
        </w:rPr>
        <w:t>5</w:t>
      </w:r>
      <w:r>
        <w:rPr>
          <w:b w:val="0"/>
        </w:rPr>
        <w:fldChar w:fldCharType="end"/>
      </w:r>
      <w:bookmarkEnd w:id="18"/>
      <w:r>
        <w:tab/>
        <w:t>Combined assistance, 2006</w:t>
      </w:r>
      <w:r>
        <w:noBreakHyphen/>
        <w:t>07 to 2011</w:t>
      </w:r>
      <w:r>
        <w:noBreakHyphen/>
        <w:t>12</w:t>
      </w:r>
    </w:p>
    <w:p w:rsidR="006A50C8" w:rsidRDefault="006A50C8" w:rsidP="006A50C8">
      <w:pPr>
        <w:pStyle w:val="Subtitle"/>
      </w:pPr>
      <w:r>
        <w:t>$million (nominal)</w:t>
      </w:r>
    </w:p>
    <w:tbl>
      <w:tblPr>
        <w:tblW w:w="4996" w:type="pct"/>
        <w:tblCellMar>
          <w:left w:w="0" w:type="dxa"/>
          <w:right w:w="0" w:type="dxa"/>
        </w:tblCellMar>
        <w:tblLook w:val="0000" w:firstRow="0" w:lastRow="0" w:firstColumn="0" w:lastColumn="0" w:noHBand="0" w:noVBand="0"/>
      </w:tblPr>
      <w:tblGrid>
        <w:gridCol w:w="2665"/>
        <w:gridCol w:w="1020"/>
        <w:gridCol w:w="1020"/>
        <w:gridCol w:w="1020"/>
        <w:gridCol w:w="1019"/>
        <w:gridCol w:w="1019"/>
        <w:gridCol w:w="1019"/>
      </w:tblGrid>
      <w:tr w:rsidR="000F2BA7" w:rsidTr="000F2BA7">
        <w:tc>
          <w:tcPr>
            <w:tcW w:w="1517" w:type="pct"/>
            <w:tcBorders>
              <w:top w:val="single" w:sz="6" w:space="0" w:color="auto"/>
              <w:bottom w:val="single" w:sz="6" w:space="0" w:color="auto"/>
            </w:tcBorders>
            <w:shd w:val="clear" w:color="auto" w:fill="auto"/>
          </w:tcPr>
          <w:p w:rsidR="006A50C8" w:rsidRDefault="006A50C8" w:rsidP="006A50C8">
            <w:pPr>
              <w:pStyle w:val="TableColumnHeading"/>
              <w:jc w:val="left"/>
            </w:pPr>
          </w:p>
        </w:tc>
        <w:tc>
          <w:tcPr>
            <w:tcW w:w="581" w:type="pct"/>
            <w:tcBorders>
              <w:top w:val="single" w:sz="6" w:space="0" w:color="auto"/>
              <w:bottom w:val="single" w:sz="6" w:space="0" w:color="auto"/>
            </w:tcBorders>
            <w:shd w:val="clear" w:color="auto" w:fill="auto"/>
          </w:tcPr>
          <w:p w:rsidR="006A50C8" w:rsidRDefault="006A50C8" w:rsidP="006A50C8">
            <w:pPr>
              <w:pStyle w:val="TableColumnHeading"/>
            </w:pPr>
            <w:r>
              <w:t>2006</w:t>
            </w:r>
            <w:r>
              <w:noBreakHyphen/>
              <w:t>07</w:t>
            </w:r>
          </w:p>
        </w:tc>
        <w:tc>
          <w:tcPr>
            <w:tcW w:w="581" w:type="pct"/>
            <w:tcBorders>
              <w:top w:val="single" w:sz="6" w:space="0" w:color="auto"/>
              <w:bottom w:val="single" w:sz="6" w:space="0" w:color="auto"/>
            </w:tcBorders>
          </w:tcPr>
          <w:p w:rsidR="006A50C8" w:rsidRDefault="006A50C8" w:rsidP="006A50C8">
            <w:pPr>
              <w:pStyle w:val="TableColumnHeading"/>
              <w:ind w:right="28"/>
            </w:pPr>
            <w:r>
              <w:t>2007</w:t>
            </w:r>
            <w:r>
              <w:noBreakHyphen/>
              <w:t>08</w:t>
            </w:r>
          </w:p>
        </w:tc>
        <w:tc>
          <w:tcPr>
            <w:tcW w:w="581" w:type="pct"/>
            <w:tcBorders>
              <w:top w:val="single" w:sz="6" w:space="0" w:color="auto"/>
              <w:bottom w:val="single" w:sz="6" w:space="0" w:color="auto"/>
            </w:tcBorders>
          </w:tcPr>
          <w:p w:rsidR="006A50C8" w:rsidRDefault="006A50C8" w:rsidP="006A50C8">
            <w:pPr>
              <w:pStyle w:val="TableColumnHeading"/>
              <w:ind w:right="28"/>
            </w:pPr>
            <w:r>
              <w:t>2008</w:t>
            </w:r>
            <w:r>
              <w:noBreakHyphen/>
              <w:t>09</w:t>
            </w:r>
          </w:p>
        </w:tc>
        <w:tc>
          <w:tcPr>
            <w:tcW w:w="580" w:type="pct"/>
            <w:tcBorders>
              <w:top w:val="single" w:sz="6" w:space="0" w:color="auto"/>
              <w:bottom w:val="single" w:sz="6" w:space="0" w:color="auto"/>
            </w:tcBorders>
          </w:tcPr>
          <w:p w:rsidR="006A50C8" w:rsidRDefault="006A50C8" w:rsidP="006A50C8">
            <w:pPr>
              <w:pStyle w:val="TableColumnHeading"/>
              <w:ind w:right="28"/>
            </w:pPr>
            <w:r>
              <w:t>2009</w:t>
            </w:r>
            <w:r>
              <w:noBreakHyphen/>
              <w:t>10</w:t>
            </w:r>
          </w:p>
        </w:tc>
        <w:tc>
          <w:tcPr>
            <w:tcW w:w="580" w:type="pct"/>
            <w:tcBorders>
              <w:top w:val="single" w:sz="6" w:space="0" w:color="auto"/>
              <w:bottom w:val="single" w:sz="6" w:space="0" w:color="auto"/>
            </w:tcBorders>
          </w:tcPr>
          <w:p w:rsidR="006A50C8" w:rsidRDefault="006A50C8" w:rsidP="006A50C8">
            <w:pPr>
              <w:pStyle w:val="TableColumnHeading"/>
              <w:ind w:right="28"/>
            </w:pPr>
            <w:r>
              <w:t>2010</w:t>
            </w:r>
            <w:r>
              <w:noBreakHyphen/>
              <w:t>11</w:t>
            </w:r>
          </w:p>
        </w:tc>
        <w:tc>
          <w:tcPr>
            <w:tcW w:w="580" w:type="pct"/>
            <w:tcBorders>
              <w:top w:val="single" w:sz="6" w:space="0" w:color="auto"/>
              <w:bottom w:val="single" w:sz="6" w:space="0" w:color="auto"/>
            </w:tcBorders>
            <w:shd w:val="clear" w:color="auto" w:fill="auto"/>
          </w:tcPr>
          <w:p w:rsidR="006A50C8" w:rsidRDefault="006A50C8" w:rsidP="006A50C8">
            <w:pPr>
              <w:pStyle w:val="TableColumnHeading"/>
              <w:ind w:right="28"/>
            </w:pPr>
            <w:r>
              <w:t>2011</w:t>
            </w:r>
            <w:r>
              <w:noBreakHyphen/>
              <w:t>12</w:t>
            </w:r>
          </w:p>
        </w:tc>
      </w:tr>
      <w:tr w:rsidR="000F2BA7" w:rsidTr="000F2BA7">
        <w:trPr>
          <w:trHeight w:val="283"/>
        </w:trPr>
        <w:tc>
          <w:tcPr>
            <w:tcW w:w="1517" w:type="pct"/>
            <w:vAlign w:val="center"/>
          </w:tcPr>
          <w:p w:rsidR="006A50C8" w:rsidRDefault="006A50C8" w:rsidP="006A50C8">
            <w:pPr>
              <w:pStyle w:val="TableBodyText"/>
              <w:jc w:val="left"/>
            </w:pPr>
            <w:r>
              <w:t>Tariff output assistance</w:t>
            </w:r>
          </w:p>
        </w:tc>
        <w:tc>
          <w:tcPr>
            <w:tcW w:w="581" w:type="pct"/>
            <w:vAlign w:val="center"/>
          </w:tcPr>
          <w:p w:rsidR="006A50C8" w:rsidRPr="002E41DA" w:rsidRDefault="006A50C8" w:rsidP="006A50C8">
            <w:pPr>
              <w:pStyle w:val="TableBodyText"/>
            </w:pPr>
            <w:r w:rsidRPr="002E41DA">
              <w:t>8472.0</w:t>
            </w:r>
          </w:p>
        </w:tc>
        <w:tc>
          <w:tcPr>
            <w:tcW w:w="581" w:type="pct"/>
            <w:vAlign w:val="center"/>
          </w:tcPr>
          <w:p w:rsidR="006A50C8" w:rsidRPr="002E41DA" w:rsidRDefault="006A50C8" w:rsidP="006A50C8">
            <w:pPr>
              <w:pStyle w:val="TableBodyText"/>
            </w:pPr>
            <w:r w:rsidRPr="002E41DA">
              <w:t>9032.4</w:t>
            </w:r>
          </w:p>
        </w:tc>
        <w:tc>
          <w:tcPr>
            <w:tcW w:w="581" w:type="pct"/>
            <w:vAlign w:val="center"/>
          </w:tcPr>
          <w:p w:rsidR="006A50C8" w:rsidRPr="002E41DA" w:rsidRDefault="006A50C8" w:rsidP="006A50C8">
            <w:pPr>
              <w:pStyle w:val="TableBodyText"/>
            </w:pPr>
            <w:r w:rsidRPr="002E41DA">
              <w:t>8936.3</w:t>
            </w:r>
          </w:p>
        </w:tc>
        <w:tc>
          <w:tcPr>
            <w:tcW w:w="580" w:type="pct"/>
            <w:vAlign w:val="center"/>
          </w:tcPr>
          <w:p w:rsidR="006A50C8" w:rsidRPr="002E41DA" w:rsidRDefault="006A50C8" w:rsidP="006A50C8">
            <w:pPr>
              <w:pStyle w:val="TableBodyText"/>
            </w:pPr>
            <w:r w:rsidRPr="002E41DA">
              <w:t>8418.3</w:t>
            </w:r>
          </w:p>
        </w:tc>
        <w:tc>
          <w:tcPr>
            <w:tcW w:w="580" w:type="pct"/>
            <w:vAlign w:val="center"/>
          </w:tcPr>
          <w:p w:rsidR="006A50C8" w:rsidRPr="002E41DA" w:rsidRDefault="006A50C8" w:rsidP="006A50C8">
            <w:pPr>
              <w:pStyle w:val="TableBodyText"/>
            </w:pPr>
            <w:r w:rsidRPr="002E41DA">
              <w:t>8076.0</w:t>
            </w:r>
          </w:p>
        </w:tc>
        <w:tc>
          <w:tcPr>
            <w:tcW w:w="580" w:type="pct"/>
            <w:vAlign w:val="center"/>
          </w:tcPr>
          <w:p w:rsidR="006A50C8" w:rsidRPr="002E41DA" w:rsidRDefault="006A50C8" w:rsidP="006A50C8">
            <w:pPr>
              <w:pStyle w:val="TableBodyText"/>
            </w:pPr>
            <w:r w:rsidRPr="002E41DA">
              <w:t>7895.0</w:t>
            </w:r>
          </w:p>
        </w:tc>
      </w:tr>
      <w:tr w:rsidR="000F2BA7" w:rsidTr="000F2BA7">
        <w:trPr>
          <w:trHeight w:val="283"/>
        </w:trPr>
        <w:tc>
          <w:tcPr>
            <w:tcW w:w="1517" w:type="pct"/>
            <w:vAlign w:val="center"/>
          </w:tcPr>
          <w:p w:rsidR="006A50C8" w:rsidRDefault="006A50C8" w:rsidP="006A50C8">
            <w:pPr>
              <w:pStyle w:val="TableBodyText"/>
              <w:jc w:val="left"/>
            </w:pPr>
            <w:r>
              <w:t>Budgetary outlays</w:t>
            </w:r>
          </w:p>
        </w:tc>
        <w:tc>
          <w:tcPr>
            <w:tcW w:w="581" w:type="pct"/>
            <w:vAlign w:val="center"/>
          </w:tcPr>
          <w:p w:rsidR="006A50C8" w:rsidRPr="002E41DA" w:rsidRDefault="006A50C8" w:rsidP="006A50C8">
            <w:pPr>
              <w:pStyle w:val="TableBodyText"/>
            </w:pPr>
            <w:r w:rsidRPr="002E41DA">
              <w:t>3701.6</w:t>
            </w:r>
          </w:p>
        </w:tc>
        <w:tc>
          <w:tcPr>
            <w:tcW w:w="581" w:type="pct"/>
            <w:vAlign w:val="center"/>
          </w:tcPr>
          <w:p w:rsidR="006A50C8" w:rsidRPr="002E41DA" w:rsidRDefault="006A50C8" w:rsidP="006A50C8">
            <w:pPr>
              <w:pStyle w:val="TableBodyText"/>
            </w:pPr>
            <w:r w:rsidRPr="002E41DA">
              <w:t>4411.1</w:t>
            </w:r>
          </w:p>
        </w:tc>
        <w:tc>
          <w:tcPr>
            <w:tcW w:w="581" w:type="pct"/>
            <w:vAlign w:val="center"/>
          </w:tcPr>
          <w:p w:rsidR="006A50C8" w:rsidRPr="002E41DA" w:rsidRDefault="006A50C8" w:rsidP="00C95A9B">
            <w:pPr>
              <w:pStyle w:val="TableBodyText"/>
            </w:pPr>
            <w:r w:rsidRPr="002E41DA">
              <w:t>36</w:t>
            </w:r>
            <w:r w:rsidR="00C95A9B">
              <w:t>89.7</w:t>
            </w:r>
          </w:p>
        </w:tc>
        <w:tc>
          <w:tcPr>
            <w:tcW w:w="580" w:type="pct"/>
            <w:vAlign w:val="center"/>
          </w:tcPr>
          <w:p w:rsidR="006A50C8" w:rsidRPr="002E41DA" w:rsidRDefault="006A50C8" w:rsidP="00C95A9B">
            <w:pPr>
              <w:pStyle w:val="TableBodyText"/>
            </w:pPr>
            <w:r w:rsidRPr="002E41DA">
              <w:t>3</w:t>
            </w:r>
            <w:r w:rsidR="00C95A9B">
              <w:t>802.3</w:t>
            </w:r>
          </w:p>
        </w:tc>
        <w:tc>
          <w:tcPr>
            <w:tcW w:w="580" w:type="pct"/>
            <w:vAlign w:val="center"/>
          </w:tcPr>
          <w:p w:rsidR="006A50C8" w:rsidRPr="002E41DA" w:rsidRDefault="000F2BA7" w:rsidP="00C95A9B">
            <w:pPr>
              <w:pStyle w:val="TableBodyText"/>
            </w:pPr>
            <w:r>
              <w:t>35</w:t>
            </w:r>
            <w:r w:rsidR="00C95A9B">
              <w:t>74.5</w:t>
            </w:r>
          </w:p>
        </w:tc>
        <w:tc>
          <w:tcPr>
            <w:tcW w:w="580" w:type="pct"/>
            <w:vAlign w:val="center"/>
          </w:tcPr>
          <w:p w:rsidR="006A50C8" w:rsidRPr="002E41DA" w:rsidRDefault="00C95A9B" w:rsidP="008D3A0C">
            <w:pPr>
              <w:pStyle w:val="TableBodyText"/>
            </w:pPr>
            <w:r>
              <w:t>51</w:t>
            </w:r>
            <w:r w:rsidR="008D3A0C">
              <w:t>28.7</w:t>
            </w:r>
          </w:p>
        </w:tc>
      </w:tr>
      <w:tr w:rsidR="000F2BA7" w:rsidTr="000F2BA7">
        <w:trPr>
          <w:trHeight w:val="283"/>
        </w:trPr>
        <w:tc>
          <w:tcPr>
            <w:tcW w:w="1517" w:type="pct"/>
            <w:vAlign w:val="center"/>
          </w:tcPr>
          <w:p w:rsidR="006A50C8" w:rsidRDefault="006A50C8" w:rsidP="006A50C8">
            <w:pPr>
              <w:pStyle w:val="TableBodyText"/>
              <w:jc w:val="left"/>
            </w:pPr>
            <w:r>
              <w:t>Tax concessions</w:t>
            </w:r>
          </w:p>
        </w:tc>
        <w:tc>
          <w:tcPr>
            <w:tcW w:w="581" w:type="pct"/>
            <w:vAlign w:val="center"/>
          </w:tcPr>
          <w:p w:rsidR="006A50C8" w:rsidRPr="002E41DA" w:rsidRDefault="006A50C8" w:rsidP="006A50C8">
            <w:pPr>
              <w:pStyle w:val="TableBodyText"/>
            </w:pPr>
            <w:r w:rsidRPr="002E41DA">
              <w:t>3103.6</w:t>
            </w:r>
          </w:p>
        </w:tc>
        <w:tc>
          <w:tcPr>
            <w:tcW w:w="581" w:type="pct"/>
            <w:vAlign w:val="center"/>
          </w:tcPr>
          <w:p w:rsidR="006A50C8" w:rsidRPr="002E41DA" w:rsidRDefault="006A50C8" w:rsidP="006A50C8">
            <w:pPr>
              <w:pStyle w:val="TableBodyText"/>
            </w:pPr>
            <w:r w:rsidRPr="002E41DA">
              <w:t>3987.9</w:t>
            </w:r>
          </w:p>
        </w:tc>
        <w:tc>
          <w:tcPr>
            <w:tcW w:w="581" w:type="pct"/>
            <w:vAlign w:val="center"/>
          </w:tcPr>
          <w:p w:rsidR="006A50C8" w:rsidRPr="002E41DA" w:rsidRDefault="006A50C8" w:rsidP="000F2BA7">
            <w:pPr>
              <w:pStyle w:val="TableBodyText"/>
            </w:pPr>
            <w:r w:rsidRPr="002E41DA">
              <w:t>4</w:t>
            </w:r>
            <w:r w:rsidR="000F2BA7">
              <w:t>607</w:t>
            </w:r>
            <w:r w:rsidRPr="002E41DA">
              <w:t>.1</w:t>
            </w:r>
          </w:p>
        </w:tc>
        <w:tc>
          <w:tcPr>
            <w:tcW w:w="580" w:type="pct"/>
            <w:vAlign w:val="center"/>
          </w:tcPr>
          <w:p w:rsidR="006A50C8" w:rsidRPr="002E41DA" w:rsidRDefault="006A50C8" w:rsidP="000F2BA7">
            <w:pPr>
              <w:pStyle w:val="TableBodyText"/>
            </w:pPr>
            <w:r w:rsidRPr="002E41DA">
              <w:t>5</w:t>
            </w:r>
            <w:r w:rsidR="000F2BA7">
              <w:t>796.0</w:t>
            </w:r>
          </w:p>
        </w:tc>
        <w:tc>
          <w:tcPr>
            <w:tcW w:w="580" w:type="pct"/>
            <w:vAlign w:val="center"/>
          </w:tcPr>
          <w:p w:rsidR="006A50C8" w:rsidRPr="002E41DA" w:rsidRDefault="000F2BA7" w:rsidP="000F2BA7">
            <w:pPr>
              <w:pStyle w:val="TableBodyText"/>
            </w:pPr>
            <w:r>
              <w:t>6230.9</w:t>
            </w:r>
          </w:p>
        </w:tc>
        <w:tc>
          <w:tcPr>
            <w:tcW w:w="580" w:type="pct"/>
            <w:vAlign w:val="center"/>
          </w:tcPr>
          <w:p w:rsidR="006A50C8" w:rsidRPr="002E41DA" w:rsidRDefault="006A50C8" w:rsidP="008D3A0C">
            <w:pPr>
              <w:pStyle w:val="TableBodyText"/>
            </w:pPr>
            <w:r w:rsidRPr="002E41DA">
              <w:t>4</w:t>
            </w:r>
            <w:r w:rsidR="008D3A0C">
              <w:t>291.2</w:t>
            </w:r>
          </w:p>
        </w:tc>
      </w:tr>
      <w:tr w:rsidR="000F2BA7" w:rsidTr="000F2BA7">
        <w:trPr>
          <w:trHeight w:val="283"/>
        </w:trPr>
        <w:tc>
          <w:tcPr>
            <w:tcW w:w="1517" w:type="pct"/>
            <w:vAlign w:val="center"/>
          </w:tcPr>
          <w:p w:rsidR="006A50C8" w:rsidRDefault="006A50C8" w:rsidP="006A50C8">
            <w:pPr>
              <w:pStyle w:val="TableBodyText"/>
              <w:jc w:val="left"/>
            </w:pPr>
            <w:r>
              <w:t>Agricultural pricing assistance</w:t>
            </w:r>
          </w:p>
        </w:tc>
        <w:tc>
          <w:tcPr>
            <w:tcW w:w="581" w:type="pct"/>
            <w:vAlign w:val="center"/>
          </w:tcPr>
          <w:p w:rsidR="006A50C8" w:rsidRPr="002E41DA" w:rsidRDefault="006A50C8" w:rsidP="006A50C8">
            <w:pPr>
              <w:pStyle w:val="TableBodyText"/>
            </w:pPr>
            <w:r w:rsidRPr="002E41DA">
              <w:t>124.3</w:t>
            </w:r>
          </w:p>
        </w:tc>
        <w:tc>
          <w:tcPr>
            <w:tcW w:w="581" w:type="pct"/>
            <w:vAlign w:val="center"/>
          </w:tcPr>
          <w:p w:rsidR="006A50C8" w:rsidRPr="002E41DA" w:rsidRDefault="006A50C8" w:rsidP="006A50C8">
            <w:pPr>
              <w:pStyle w:val="TableBodyText"/>
            </w:pPr>
            <w:r w:rsidRPr="002E41DA">
              <w:t>120.1</w:t>
            </w:r>
          </w:p>
        </w:tc>
        <w:tc>
          <w:tcPr>
            <w:tcW w:w="581" w:type="pct"/>
            <w:vAlign w:val="center"/>
          </w:tcPr>
          <w:p w:rsidR="006A50C8" w:rsidRPr="002E41DA" w:rsidRDefault="006A50C8" w:rsidP="006A50C8">
            <w:pPr>
              <w:pStyle w:val="TableBodyText"/>
            </w:pPr>
            <w:r w:rsidRPr="002E41DA">
              <w:t>0.2</w:t>
            </w:r>
          </w:p>
        </w:tc>
        <w:tc>
          <w:tcPr>
            <w:tcW w:w="580" w:type="pct"/>
            <w:vAlign w:val="center"/>
          </w:tcPr>
          <w:p w:rsidR="006A50C8" w:rsidRPr="002E41DA" w:rsidRDefault="00ED2C7F" w:rsidP="006A50C8">
            <w:pPr>
              <w:pStyle w:val="TableBodyText"/>
            </w:pPr>
            <w:r>
              <w:rPr>
                <w:sz w:val="18"/>
                <w:szCs w:val="18"/>
              </w:rPr>
              <w:t>–</w:t>
            </w:r>
          </w:p>
        </w:tc>
        <w:tc>
          <w:tcPr>
            <w:tcW w:w="580" w:type="pct"/>
            <w:vAlign w:val="center"/>
          </w:tcPr>
          <w:p w:rsidR="006A50C8" w:rsidRPr="002E41DA" w:rsidRDefault="00ED2C7F" w:rsidP="006A50C8">
            <w:pPr>
              <w:pStyle w:val="TableBodyText"/>
            </w:pPr>
            <w:r>
              <w:rPr>
                <w:sz w:val="18"/>
                <w:szCs w:val="18"/>
              </w:rPr>
              <w:t>–</w:t>
            </w:r>
          </w:p>
        </w:tc>
        <w:tc>
          <w:tcPr>
            <w:tcW w:w="580" w:type="pct"/>
            <w:vAlign w:val="center"/>
          </w:tcPr>
          <w:p w:rsidR="006A50C8" w:rsidRPr="002E41DA" w:rsidRDefault="00ED2C7F" w:rsidP="0063600F">
            <w:pPr>
              <w:pStyle w:val="TableBodyText"/>
            </w:pPr>
            <w:r>
              <w:rPr>
                <w:sz w:val="18"/>
                <w:szCs w:val="18"/>
              </w:rPr>
              <w:t>–</w:t>
            </w:r>
          </w:p>
        </w:tc>
      </w:tr>
      <w:tr w:rsidR="000F2BA7" w:rsidRPr="00DB266B" w:rsidTr="000F2BA7">
        <w:trPr>
          <w:trHeight w:val="340"/>
        </w:trPr>
        <w:tc>
          <w:tcPr>
            <w:tcW w:w="1517" w:type="pct"/>
            <w:vAlign w:val="center"/>
          </w:tcPr>
          <w:p w:rsidR="006A50C8" w:rsidRPr="00DB266B" w:rsidRDefault="006A50C8" w:rsidP="006A50C8">
            <w:pPr>
              <w:pStyle w:val="TableBodyText"/>
              <w:jc w:val="left"/>
              <w:rPr>
                <w:b/>
              </w:rPr>
            </w:pPr>
            <w:r w:rsidRPr="00DB266B">
              <w:rPr>
                <w:b/>
              </w:rPr>
              <w:t>Gross combined assistance</w:t>
            </w:r>
          </w:p>
        </w:tc>
        <w:tc>
          <w:tcPr>
            <w:tcW w:w="581" w:type="pct"/>
            <w:vAlign w:val="center"/>
          </w:tcPr>
          <w:p w:rsidR="006A50C8" w:rsidRPr="00DB266B" w:rsidRDefault="006A50C8" w:rsidP="006A50C8">
            <w:pPr>
              <w:pStyle w:val="TableBodyText"/>
              <w:rPr>
                <w:b/>
              </w:rPr>
            </w:pPr>
            <w:r w:rsidRPr="00DB266B">
              <w:rPr>
                <w:b/>
              </w:rPr>
              <w:t>15401.5</w:t>
            </w:r>
          </w:p>
        </w:tc>
        <w:tc>
          <w:tcPr>
            <w:tcW w:w="581" w:type="pct"/>
            <w:vAlign w:val="center"/>
          </w:tcPr>
          <w:p w:rsidR="006A50C8" w:rsidRPr="00DB266B" w:rsidRDefault="006A50C8" w:rsidP="006A50C8">
            <w:pPr>
              <w:pStyle w:val="TableBodyText"/>
              <w:rPr>
                <w:b/>
              </w:rPr>
            </w:pPr>
            <w:r w:rsidRPr="00DB266B">
              <w:rPr>
                <w:b/>
              </w:rPr>
              <w:t>17551.5</w:t>
            </w:r>
          </w:p>
        </w:tc>
        <w:tc>
          <w:tcPr>
            <w:tcW w:w="581" w:type="pct"/>
            <w:vAlign w:val="center"/>
          </w:tcPr>
          <w:p w:rsidR="006A50C8" w:rsidRPr="00DB266B" w:rsidRDefault="006A50C8" w:rsidP="00C95A9B">
            <w:pPr>
              <w:pStyle w:val="TableBodyText"/>
              <w:rPr>
                <w:b/>
              </w:rPr>
            </w:pPr>
            <w:r w:rsidRPr="00DB266B">
              <w:rPr>
                <w:b/>
              </w:rPr>
              <w:t>17</w:t>
            </w:r>
            <w:r w:rsidR="000F2BA7">
              <w:rPr>
                <w:b/>
              </w:rPr>
              <w:t>2</w:t>
            </w:r>
            <w:r w:rsidR="00C95A9B">
              <w:rPr>
                <w:b/>
              </w:rPr>
              <w:t>33.2</w:t>
            </w:r>
          </w:p>
        </w:tc>
        <w:tc>
          <w:tcPr>
            <w:tcW w:w="580" w:type="pct"/>
            <w:vAlign w:val="center"/>
          </w:tcPr>
          <w:p w:rsidR="006A50C8" w:rsidRPr="00DB266B" w:rsidRDefault="006A50C8" w:rsidP="00C95A9B">
            <w:pPr>
              <w:pStyle w:val="TableBodyText"/>
              <w:rPr>
                <w:b/>
              </w:rPr>
            </w:pPr>
            <w:r w:rsidRPr="00DB266B">
              <w:rPr>
                <w:b/>
              </w:rPr>
              <w:t>1</w:t>
            </w:r>
            <w:r w:rsidR="00C95A9B">
              <w:rPr>
                <w:b/>
              </w:rPr>
              <w:t>8016.6</w:t>
            </w:r>
          </w:p>
        </w:tc>
        <w:tc>
          <w:tcPr>
            <w:tcW w:w="580" w:type="pct"/>
            <w:vAlign w:val="center"/>
          </w:tcPr>
          <w:p w:rsidR="006A50C8" w:rsidRPr="00DB266B" w:rsidRDefault="006A50C8" w:rsidP="00C95A9B">
            <w:pPr>
              <w:pStyle w:val="TableBodyText"/>
              <w:rPr>
                <w:b/>
              </w:rPr>
            </w:pPr>
            <w:r w:rsidRPr="00DB266B">
              <w:rPr>
                <w:b/>
              </w:rPr>
              <w:t>1</w:t>
            </w:r>
            <w:r w:rsidR="000F2BA7">
              <w:rPr>
                <w:b/>
              </w:rPr>
              <w:t>78</w:t>
            </w:r>
            <w:r w:rsidR="00C95A9B">
              <w:rPr>
                <w:b/>
              </w:rPr>
              <w:t>81.3</w:t>
            </w:r>
          </w:p>
        </w:tc>
        <w:tc>
          <w:tcPr>
            <w:tcW w:w="580" w:type="pct"/>
            <w:vAlign w:val="center"/>
          </w:tcPr>
          <w:p w:rsidR="006A50C8" w:rsidRPr="00DB266B" w:rsidRDefault="006A50C8" w:rsidP="008D3A0C">
            <w:pPr>
              <w:pStyle w:val="TableBodyText"/>
              <w:rPr>
                <w:b/>
              </w:rPr>
            </w:pPr>
            <w:r w:rsidRPr="00DB266B">
              <w:rPr>
                <w:b/>
              </w:rPr>
              <w:t>1</w:t>
            </w:r>
            <w:r w:rsidR="000F2BA7">
              <w:rPr>
                <w:b/>
              </w:rPr>
              <w:t>7</w:t>
            </w:r>
            <w:r w:rsidR="00C95A9B">
              <w:rPr>
                <w:b/>
              </w:rPr>
              <w:t>3</w:t>
            </w:r>
            <w:r w:rsidR="008D3A0C">
              <w:rPr>
                <w:b/>
              </w:rPr>
              <w:t>14.9</w:t>
            </w:r>
          </w:p>
        </w:tc>
      </w:tr>
      <w:tr w:rsidR="000F2BA7" w:rsidTr="000F2BA7">
        <w:trPr>
          <w:trHeight w:val="283"/>
        </w:trPr>
        <w:tc>
          <w:tcPr>
            <w:tcW w:w="1517" w:type="pct"/>
            <w:vAlign w:val="center"/>
          </w:tcPr>
          <w:p w:rsidR="006A50C8" w:rsidRDefault="006A50C8" w:rsidP="006A50C8">
            <w:pPr>
              <w:pStyle w:val="TableBodyText"/>
              <w:jc w:val="left"/>
            </w:pPr>
            <w:r>
              <w:t>Tariff input assistance</w:t>
            </w:r>
          </w:p>
        </w:tc>
        <w:tc>
          <w:tcPr>
            <w:tcW w:w="581" w:type="pct"/>
            <w:vAlign w:val="center"/>
          </w:tcPr>
          <w:p w:rsidR="006A50C8" w:rsidRPr="002E41DA" w:rsidRDefault="006A50C8" w:rsidP="006A50C8">
            <w:pPr>
              <w:pStyle w:val="TableBodyText"/>
            </w:pPr>
            <w:r w:rsidRPr="002E41DA">
              <w:t>-5983.6</w:t>
            </w:r>
          </w:p>
        </w:tc>
        <w:tc>
          <w:tcPr>
            <w:tcW w:w="581" w:type="pct"/>
            <w:vAlign w:val="center"/>
          </w:tcPr>
          <w:p w:rsidR="006A50C8" w:rsidRPr="002E41DA" w:rsidRDefault="006A50C8" w:rsidP="006A50C8">
            <w:pPr>
              <w:pStyle w:val="TableBodyText"/>
            </w:pPr>
            <w:r w:rsidRPr="002E41DA">
              <w:t>-6443.0</w:t>
            </w:r>
          </w:p>
        </w:tc>
        <w:tc>
          <w:tcPr>
            <w:tcW w:w="581" w:type="pct"/>
            <w:vAlign w:val="center"/>
          </w:tcPr>
          <w:p w:rsidR="006A50C8" w:rsidRPr="002E41DA" w:rsidRDefault="006A50C8" w:rsidP="006A50C8">
            <w:pPr>
              <w:pStyle w:val="TableBodyText"/>
            </w:pPr>
            <w:r w:rsidRPr="002E41DA">
              <w:t>-6717.0</w:t>
            </w:r>
          </w:p>
        </w:tc>
        <w:tc>
          <w:tcPr>
            <w:tcW w:w="580" w:type="pct"/>
            <w:vAlign w:val="center"/>
          </w:tcPr>
          <w:p w:rsidR="006A50C8" w:rsidRPr="002E41DA" w:rsidRDefault="006A50C8" w:rsidP="006A50C8">
            <w:pPr>
              <w:pStyle w:val="TableBodyText"/>
            </w:pPr>
            <w:r w:rsidRPr="002E41DA">
              <w:t>-6620.1</w:t>
            </w:r>
          </w:p>
        </w:tc>
        <w:tc>
          <w:tcPr>
            <w:tcW w:w="580" w:type="pct"/>
            <w:vAlign w:val="center"/>
          </w:tcPr>
          <w:p w:rsidR="006A50C8" w:rsidRPr="002E41DA" w:rsidRDefault="006A50C8" w:rsidP="006A50C8">
            <w:pPr>
              <w:pStyle w:val="TableBodyText"/>
            </w:pPr>
            <w:r w:rsidRPr="002E41DA">
              <w:t>-6652.5</w:t>
            </w:r>
          </w:p>
        </w:tc>
        <w:tc>
          <w:tcPr>
            <w:tcW w:w="580" w:type="pct"/>
            <w:vAlign w:val="center"/>
          </w:tcPr>
          <w:p w:rsidR="006A50C8" w:rsidRPr="002E41DA" w:rsidRDefault="006A50C8" w:rsidP="006A50C8">
            <w:pPr>
              <w:pStyle w:val="TableBodyText"/>
            </w:pPr>
            <w:r w:rsidRPr="002E41DA">
              <w:t>-6813.8</w:t>
            </w:r>
          </w:p>
        </w:tc>
      </w:tr>
      <w:tr w:rsidR="000F2BA7" w:rsidRPr="00DB266B" w:rsidTr="000F2BA7">
        <w:trPr>
          <w:trHeight w:val="340"/>
        </w:trPr>
        <w:tc>
          <w:tcPr>
            <w:tcW w:w="1517" w:type="pct"/>
            <w:tcBorders>
              <w:bottom w:val="single" w:sz="6" w:space="0" w:color="auto"/>
            </w:tcBorders>
            <w:shd w:val="clear" w:color="auto" w:fill="auto"/>
            <w:vAlign w:val="center"/>
          </w:tcPr>
          <w:p w:rsidR="006A50C8" w:rsidRPr="00DB266B" w:rsidRDefault="006A50C8" w:rsidP="006A50C8">
            <w:pPr>
              <w:pStyle w:val="TableBodyText"/>
              <w:jc w:val="left"/>
              <w:rPr>
                <w:b/>
              </w:rPr>
            </w:pPr>
            <w:r w:rsidRPr="00DB266B">
              <w:rPr>
                <w:b/>
              </w:rPr>
              <w:t>Net combined assistance</w:t>
            </w:r>
            <w:r w:rsidRPr="00DB266B">
              <w:rPr>
                <w:rStyle w:val="NoteLabel"/>
              </w:rPr>
              <w:t>a</w:t>
            </w:r>
          </w:p>
        </w:tc>
        <w:tc>
          <w:tcPr>
            <w:tcW w:w="581" w:type="pct"/>
            <w:tcBorders>
              <w:bottom w:val="single" w:sz="6" w:space="0" w:color="auto"/>
            </w:tcBorders>
            <w:shd w:val="clear" w:color="auto" w:fill="auto"/>
            <w:vAlign w:val="center"/>
          </w:tcPr>
          <w:p w:rsidR="006A50C8" w:rsidRPr="00DB266B" w:rsidRDefault="006A50C8" w:rsidP="006A50C8">
            <w:pPr>
              <w:pStyle w:val="TableBodyText"/>
              <w:rPr>
                <w:b/>
              </w:rPr>
            </w:pPr>
            <w:r w:rsidRPr="00DB266B">
              <w:rPr>
                <w:b/>
              </w:rPr>
              <w:t>9418.0</w:t>
            </w:r>
          </w:p>
        </w:tc>
        <w:tc>
          <w:tcPr>
            <w:tcW w:w="581" w:type="pct"/>
            <w:tcBorders>
              <w:bottom w:val="single" w:sz="6" w:space="0" w:color="auto"/>
            </w:tcBorders>
            <w:vAlign w:val="center"/>
          </w:tcPr>
          <w:p w:rsidR="006A50C8" w:rsidRPr="00DB266B" w:rsidRDefault="006A50C8" w:rsidP="006A50C8">
            <w:pPr>
              <w:pStyle w:val="TableBodyText"/>
              <w:rPr>
                <w:b/>
              </w:rPr>
            </w:pPr>
            <w:r w:rsidRPr="00DB266B">
              <w:rPr>
                <w:b/>
              </w:rPr>
              <w:t>11108.5</w:t>
            </w:r>
          </w:p>
        </w:tc>
        <w:tc>
          <w:tcPr>
            <w:tcW w:w="581" w:type="pct"/>
            <w:tcBorders>
              <w:bottom w:val="single" w:sz="6" w:space="0" w:color="auto"/>
            </w:tcBorders>
            <w:vAlign w:val="center"/>
          </w:tcPr>
          <w:p w:rsidR="006A50C8" w:rsidRPr="00DB266B" w:rsidRDefault="006A50C8" w:rsidP="00C95A9B">
            <w:pPr>
              <w:pStyle w:val="TableBodyText"/>
              <w:rPr>
                <w:b/>
              </w:rPr>
            </w:pPr>
            <w:r w:rsidRPr="00DB266B">
              <w:rPr>
                <w:b/>
              </w:rPr>
              <w:t>10</w:t>
            </w:r>
            <w:r w:rsidR="000F2BA7">
              <w:rPr>
                <w:b/>
              </w:rPr>
              <w:t>5</w:t>
            </w:r>
            <w:r w:rsidR="00C95A9B">
              <w:rPr>
                <w:b/>
              </w:rPr>
              <w:t>16.3</w:t>
            </w:r>
          </w:p>
        </w:tc>
        <w:tc>
          <w:tcPr>
            <w:tcW w:w="580" w:type="pct"/>
            <w:tcBorders>
              <w:bottom w:val="single" w:sz="6" w:space="0" w:color="auto"/>
            </w:tcBorders>
            <w:vAlign w:val="center"/>
          </w:tcPr>
          <w:p w:rsidR="006A50C8" w:rsidRPr="00DB266B" w:rsidRDefault="006A50C8" w:rsidP="00C95A9B">
            <w:pPr>
              <w:pStyle w:val="TableBodyText"/>
              <w:rPr>
                <w:b/>
              </w:rPr>
            </w:pPr>
            <w:r w:rsidRPr="00DB266B">
              <w:rPr>
                <w:b/>
              </w:rPr>
              <w:t>11</w:t>
            </w:r>
            <w:r w:rsidR="000F2BA7">
              <w:rPr>
                <w:b/>
              </w:rPr>
              <w:t>3</w:t>
            </w:r>
            <w:r w:rsidR="00C95A9B">
              <w:rPr>
                <w:b/>
              </w:rPr>
              <w:t>96.5</w:t>
            </w:r>
          </w:p>
        </w:tc>
        <w:tc>
          <w:tcPr>
            <w:tcW w:w="580" w:type="pct"/>
            <w:tcBorders>
              <w:bottom w:val="single" w:sz="6" w:space="0" w:color="auto"/>
            </w:tcBorders>
            <w:vAlign w:val="center"/>
          </w:tcPr>
          <w:p w:rsidR="006A50C8" w:rsidRPr="00DB266B" w:rsidRDefault="006A50C8" w:rsidP="00C95A9B">
            <w:pPr>
              <w:pStyle w:val="TableBodyText"/>
              <w:rPr>
                <w:b/>
              </w:rPr>
            </w:pPr>
            <w:r w:rsidRPr="00DB266B">
              <w:rPr>
                <w:b/>
              </w:rPr>
              <w:t>11</w:t>
            </w:r>
            <w:r w:rsidR="000F2BA7">
              <w:rPr>
                <w:b/>
              </w:rPr>
              <w:t>2</w:t>
            </w:r>
            <w:r w:rsidR="00C95A9B">
              <w:rPr>
                <w:b/>
              </w:rPr>
              <w:t>28.8</w:t>
            </w:r>
          </w:p>
        </w:tc>
        <w:tc>
          <w:tcPr>
            <w:tcW w:w="580" w:type="pct"/>
            <w:tcBorders>
              <w:bottom w:val="single" w:sz="6" w:space="0" w:color="auto"/>
            </w:tcBorders>
            <w:shd w:val="clear" w:color="auto" w:fill="auto"/>
            <w:vAlign w:val="center"/>
          </w:tcPr>
          <w:p w:rsidR="006A50C8" w:rsidRPr="00DB266B" w:rsidRDefault="000F2BA7" w:rsidP="008D3A0C">
            <w:pPr>
              <w:pStyle w:val="TableBodyText"/>
              <w:rPr>
                <w:b/>
              </w:rPr>
            </w:pPr>
            <w:r>
              <w:rPr>
                <w:b/>
              </w:rPr>
              <w:t>10</w:t>
            </w:r>
            <w:r w:rsidR="00C95A9B">
              <w:rPr>
                <w:b/>
              </w:rPr>
              <w:t>5</w:t>
            </w:r>
            <w:r w:rsidR="008D3A0C">
              <w:rPr>
                <w:b/>
              </w:rPr>
              <w:t>01.1</w:t>
            </w:r>
          </w:p>
        </w:tc>
      </w:tr>
    </w:tbl>
    <w:p w:rsidR="006A50C8" w:rsidRDefault="00ED2C7F" w:rsidP="006A50C8">
      <w:pPr>
        <w:pStyle w:val="Note"/>
      </w:pPr>
      <w:r w:rsidRPr="00AC2CC6">
        <w:t>– </w:t>
      </w:r>
      <w:r>
        <w:t>N</w:t>
      </w:r>
      <w:r w:rsidRPr="00AC2CC6">
        <w:t>il</w:t>
      </w:r>
      <w:r>
        <w:t>.</w:t>
      </w:r>
      <w:r w:rsidRPr="008E77FE">
        <w:rPr>
          <w:rStyle w:val="NoteLabel"/>
        </w:rPr>
        <w:t xml:space="preserve"> </w:t>
      </w:r>
      <w:r>
        <w:rPr>
          <w:rStyle w:val="NoteLabel"/>
        </w:rPr>
        <w:t xml:space="preserve"> </w:t>
      </w:r>
      <w:r w:rsidR="006A50C8" w:rsidRPr="008E77FE">
        <w:rPr>
          <w:rStyle w:val="NoteLabel"/>
        </w:rPr>
        <w:t>a</w:t>
      </w:r>
      <w:r w:rsidR="006A50C8">
        <w:t xml:space="preserve"> </w:t>
      </w:r>
      <w:r w:rsidR="006A50C8" w:rsidRPr="00AB73EF">
        <w:t xml:space="preserve">Further information on the estimation and interpretation of net combined assistance is provided in the </w:t>
      </w:r>
      <w:r w:rsidR="0063600F">
        <w:t xml:space="preserve">(forthcoming) </w:t>
      </w:r>
      <w:r w:rsidR="006A50C8" w:rsidRPr="00AB73EF">
        <w:t xml:space="preserve">methodological annex to </w:t>
      </w:r>
      <w:r w:rsidR="0063600F">
        <w:t xml:space="preserve">this </w:t>
      </w:r>
      <w:r w:rsidR="006A50C8" w:rsidRPr="00F864BF">
        <w:rPr>
          <w:i/>
        </w:rPr>
        <w:t>Review</w:t>
      </w:r>
      <w:r w:rsidR="006A50C8" w:rsidRPr="00F864BF">
        <w:t>. Estimates prior to 201</w:t>
      </w:r>
      <w:r w:rsidR="005309A1" w:rsidRPr="00F864BF">
        <w:t>1</w:t>
      </w:r>
      <w:r w:rsidR="006A50C8" w:rsidRPr="00F864BF">
        <w:noBreakHyphen/>
        <w:t>1</w:t>
      </w:r>
      <w:r w:rsidR="005309A1" w:rsidRPr="00F864BF">
        <w:t>2</w:t>
      </w:r>
      <w:r w:rsidR="006A50C8" w:rsidRPr="00F864BF">
        <w:t xml:space="preserve"> differ from estimates published in earlier </w:t>
      </w:r>
      <w:r w:rsidR="006A50C8" w:rsidRPr="00F864BF">
        <w:rPr>
          <w:i/>
        </w:rPr>
        <w:t>Reviews</w:t>
      </w:r>
      <w:r w:rsidR="006A50C8" w:rsidRPr="00F864BF">
        <w:t xml:space="preserve">. Differences reflect </w:t>
      </w:r>
      <w:r w:rsidR="003269FB" w:rsidRPr="00F864BF">
        <w:t xml:space="preserve">the effects of re-benchmarking the estimates of tariff assistance and </w:t>
      </w:r>
      <w:r w:rsidR="006A50C8" w:rsidRPr="00F864BF">
        <w:t xml:space="preserve">changes </w:t>
      </w:r>
      <w:r w:rsidR="003269FB" w:rsidRPr="00F864BF">
        <w:t>in</w:t>
      </w:r>
      <w:r w:rsidR="006A50C8" w:rsidRPr="00F864BF">
        <w:t xml:space="preserve"> source information.</w:t>
      </w:r>
      <w:r w:rsidR="0063600F" w:rsidRPr="00F864BF">
        <w:t xml:space="preserve"> Further</w:t>
      </w:r>
      <w:r w:rsidR="006A50C8" w:rsidRPr="00F864BF">
        <w:t xml:space="preserve"> </w:t>
      </w:r>
      <w:r w:rsidR="0063600F">
        <w:t>information on earlier estimate</w:t>
      </w:r>
      <w:r w:rsidR="00AA0B0C">
        <w:t>s</w:t>
      </w:r>
      <w:r w:rsidR="0063600F">
        <w:t xml:space="preserve"> is provided in the methodological annex to </w:t>
      </w:r>
      <w:r w:rsidR="0063600F" w:rsidRPr="00115B98">
        <w:rPr>
          <w:i/>
        </w:rPr>
        <w:t>Trade &amp; Assistance Review</w:t>
      </w:r>
      <w:r w:rsidR="0063600F">
        <w:t xml:space="preserve"> </w:t>
      </w:r>
      <w:r w:rsidR="0063600F" w:rsidRPr="004E5920">
        <w:rPr>
          <w:i/>
        </w:rPr>
        <w:t>2008</w:t>
      </w:r>
      <w:r w:rsidR="0063600F" w:rsidRPr="004E5920">
        <w:rPr>
          <w:i/>
        </w:rPr>
        <w:noBreakHyphen/>
        <w:t>09</w:t>
      </w:r>
      <w:r w:rsidR="0063600F">
        <w:t xml:space="preserve">. </w:t>
      </w:r>
    </w:p>
    <w:p w:rsidR="006A50C8" w:rsidRPr="008E77FE" w:rsidRDefault="006A50C8" w:rsidP="006A50C8">
      <w:pPr>
        <w:pStyle w:val="Source"/>
      </w:pPr>
      <w:r>
        <w:rPr>
          <w:i/>
        </w:rPr>
        <w:t>Source</w:t>
      </w:r>
      <w:r>
        <w:t xml:space="preserve">: Commission estimates. </w:t>
      </w:r>
    </w:p>
    <w:p w:rsidR="00F24961" w:rsidRDefault="006A50C8" w:rsidP="006A50C8">
      <w:pPr>
        <w:pStyle w:val="BodyText"/>
      </w:pPr>
      <w:r>
        <w:t>After considering the negative effects of tariff assistance on industry inputs, total estimated net combined assistance amounted to around $</w:t>
      </w:r>
      <w:r w:rsidR="00D52CE2">
        <w:t>10.</w:t>
      </w:r>
      <w:r w:rsidR="00C95A9B">
        <w:t>5</w:t>
      </w:r>
      <w:r>
        <w:t> billion in 2011</w:t>
      </w:r>
      <w:r>
        <w:noBreakHyphen/>
        <w:t>12, a decrease of around $</w:t>
      </w:r>
      <w:r w:rsidR="00F24961">
        <w:t>7</w:t>
      </w:r>
      <w:r w:rsidR="008D3A0C">
        <w:t>28</w:t>
      </w:r>
      <w:r>
        <w:t> </w:t>
      </w:r>
      <w:r w:rsidR="00F24961">
        <w:t>m</w:t>
      </w:r>
      <w:r>
        <w:t>illion (in nominal terms) from 2010</w:t>
      </w:r>
      <w:r>
        <w:noBreakHyphen/>
        <w:t xml:space="preserve">11. </w:t>
      </w:r>
      <w:r w:rsidR="00F24961">
        <w:t>Tariff and budgetary assistance declined by around $340 million</w:t>
      </w:r>
      <w:r w:rsidR="00572998">
        <w:t xml:space="preserve"> and $385 million, respectively</w:t>
      </w:r>
      <w:r w:rsidR="00F24961">
        <w:t xml:space="preserve">. </w:t>
      </w:r>
    </w:p>
    <w:p w:rsidR="006A50C8" w:rsidRDefault="006A50C8" w:rsidP="006A50C8">
      <w:pPr>
        <w:pStyle w:val="BodyText"/>
      </w:pPr>
      <w:r>
        <w:t>Over the six-year period 2006</w:t>
      </w:r>
      <w:r>
        <w:noBreakHyphen/>
        <w:t>07 to 2011</w:t>
      </w:r>
      <w:r>
        <w:noBreakHyphen/>
        <w:t xml:space="preserve">12, total estimated net </w:t>
      </w:r>
      <w:r w:rsidR="00F24961">
        <w:t xml:space="preserve">combined </w:t>
      </w:r>
      <w:r>
        <w:t xml:space="preserve">assistance to industry has </w:t>
      </w:r>
      <w:r w:rsidR="00172F88">
        <w:t xml:space="preserve">increased </w:t>
      </w:r>
      <w:r>
        <w:t xml:space="preserve">by </w:t>
      </w:r>
      <w:r w:rsidR="00C72BC4">
        <w:t xml:space="preserve">around </w:t>
      </w:r>
      <w:r w:rsidR="00F24961">
        <w:t>12</w:t>
      </w:r>
      <w:r>
        <w:t> per cent in nominal terms</w:t>
      </w:r>
      <w:r w:rsidR="00844B72">
        <w:t>,</w:t>
      </w:r>
      <w:r>
        <w:t xml:space="preserve"> </w:t>
      </w:r>
      <w:r w:rsidR="00172F88">
        <w:t xml:space="preserve">but </w:t>
      </w:r>
      <w:r w:rsidR="00C9256E">
        <w:t xml:space="preserve">has </w:t>
      </w:r>
      <w:r w:rsidR="00172F88">
        <w:t>decreased by</w:t>
      </w:r>
      <w:r w:rsidR="00253865">
        <w:t xml:space="preserve"> </w:t>
      </w:r>
      <w:r w:rsidR="003C4879">
        <w:t>around 7</w:t>
      </w:r>
      <w:r>
        <w:t xml:space="preserve"> per cent in real terms. </w:t>
      </w:r>
    </w:p>
    <w:p w:rsidR="006D5BEE" w:rsidRDefault="003269FB" w:rsidP="00C374BC">
      <w:pPr>
        <w:pStyle w:val="Heading3"/>
      </w:pPr>
      <w:r>
        <w:t xml:space="preserve">Value of combined assistance by </w:t>
      </w:r>
      <w:r w:rsidR="006D5BEE">
        <w:t>industry</w:t>
      </w:r>
      <w:r>
        <w:t xml:space="preserve"> grouping</w:t>
      </w:r>
    </w:p>
    <w:p w:rsidR="0025181E" w:rsidRDefault="006A50C8" w:rsidP="006A50C8">
      <w:pPr>
        <w:pStyle w:val="BodyText"/>
      </w:pPr>
      <w:r>
        <w:t>Table </w:t>
      </w:r>
      <w:r>
        <w:fldChar w:fldCharType="begin"/>
      </w:r>
      <w:r>
        <w:instrText xml:space="preserve"> LINK </w:instrText>
      </w:r>
      <w:r w:rsidR="00655E7D">
        <w:instrText xml:space="preserve">Word.Document.12 "\\\\nch1\\esb\\T A R\\2011-12\\AAreport\\12 - Ch2 - Assistance estimates.docx" OLE_LINK12 </w:instrText>
      </w:r>
      <w:r>
        <w:instrText xml:space="preserve">\a \t </w:instrText>
      </w:r>
      <w:r>
        <w:fldChar w:fldCharType="separate"/>
      </w:r>
      <w:r w:rsidR="00655E7D">
        <w:t>2.6</w:t>
      </w:r>
      <w:r>
        <w:fldChar w:fldCharType="end"/>
      </w:r>
      <w:r>
        <w:t xml:space="preserve"> summarises, at the industry level, tariff and budgetary assistance for 2011</w:t>
      </w:r>
      <w:r>
        <w:noBreakHyphen/>
        <w:t>12. Reflecting the earlier discussion on individual elements, the manufacturing sector receives the highest level of net combined industry assistance because of the tariff assistance on its outputs. Although the services sector receives the most budgetary assistance (around $</w:t>
      </w:r>
      <w:r w:rsidR="00C929CA">
        <w:t>4.2</w:t>
      </w:r>
      <w:r>
        <w:t> billion in identifiable support), such assistance is outweighed by the estimated input tariff penalty ($4.</w:t>
      </w:r>
      <w:r w:rsidR="00132DEE">
        <w:t>4</w:t>
      </w:r>
      <w:r>
        <w:t xml:space="preserve"> billion). </w:t>
      </w:r>
      <w:r w:rsidR="00283A8F">
        <w:t xml:space="preserve">The primary production sector received the majority of its assistance in the form of budgetary outlays, although some tariff protection continues to be afforded to a range of horticultural, crop and forestry products. </w:t>
      </w:r>
      <w:r>
        <w:t>A time series of net combined assistance (column</w:t>
      </w:r>
      <w:r w:rsidR="00CB35A5">
        <w:t> </w:t>
      </w:r>
      <w:r>
        <w:t xml:space="preserve">7) </w:t>
      </w:r>
      <w:r w:rsidR="003269FB">
        <w:t xml:space="preserve">by industry grouping </w:t>
      </w:r>
      <w:r>
        <w:t>for the period 2006</w:t>
      </w:r>
      <w:r>
        <w:noBreakHyphen/>
        <w:t>07 to 2011</w:t>
      </w:r>
      <w:r>
        <w:noBreakHyphen/>
        <w:t xml:space="preserve">12 is presented in appendix A. </w:t>
      </w:r>
    </w:p>
    <w:p w:rsidR="006A50C8" w:rsidRDefault="006A50C8" w:rsidP="006A50C8">
      <w:pPr>
        <w:pStyle w:val="TableTitle"/>
      </w:pPr>
      <w:r>
        <w:rPr>
          <w:b w:val="0"/>
        </w:rPr>
        <w:lastRenderedPageBreak/>
        <w:t xml:space="preserve">Table </w:t>
      </w:r>
      <w:bookmarkStart w:id="19" w:name="OLE_LINK12"/>
      <w:r>
        <w:rPr>
          <w:b w:val="0"/>
        </w:rPr>
        <w:fldChar w:fldCharType="begin"/>
      </w:r>
      <w:r>
        <w:rPr>
          <w:b w:val="0"/>
        </w:rPr>
        <w:instrText xml:space="preserve"> COMMENTS  \* MERGEFORMAT </w:instrText>
      </w:r>
      <w:r>
        <w:rPr>
          <w:b w:val="0"/>
        </w:rPr>
        <w:fldChar w:fldCharType="separate"/>
      </w:r>
      <w:r w:rsidR="00655E7D">
        <w:rPr>
          <w:b w:val="0"/>
        </w:rPr>
        <w:t>2.</w:t>
      </w:r>
      <w:r>
        <w:rPr>
          <w:b w:val="0"/>
        </w:rPr>
        <w:fldChar w:fldCharType="end"/>
      </w:r>
      <w:r>
        <w:rPr>
          <w:b w:val="0"/>
        </w:rPr>
        <w:fldChar w:fldCharType="begin"/>
      </w:r>
      <w:r>
        <w:rPr>
          <w:b w:val="0"/>
        </w:rPr>
        <w:instrText xml:space="preserve"> SEQ Table \* ARABIC </w:instrText>
      </w:r>
      <w:r>
        <w:rPr>
          <w:b w:val="0"/>
        </w:rPr>
        <w:fldChar w:fldCharType="separate"/>
      </w:r>
      <w:r w:rsidR="00E12ECE">
        <w:rPr>
          <w:b w:val="0"/>
          <w:noProof/>
        </w:rPr>
        <w:t>6</w:t>
      </w:r>
      <w:r>
        <w:rPr>
          <w:b w:val="0"/>
        </w:rPr>
        <w:fldChar w:fldCharType="end"/>
      </w:r>
      <w:bookmarkEnd w:id="19"/>
      <w:r>
        <w:tab/>
        <w:t>Combined assistance by industry grouping, 2011</w:t>
      </w:r>
      <w:r>
        <w:noBreakHyphen/>
        <w:t>12</w:t>
      </w:r>
      <w:r w:rsidRPr="00706C77">
        <w:rPr>
          <w:rStyle w:val="NoteLabel"/>
        </w:rPr>
        <w:t>a</w:t>
      </w:r>
    </w:p>
    <w:p w:rsidR="006A50C8" w:rsidRDefault="006A50C8" w:rsidP="006A50C8">
      <w:pPr>
        <w:pStyle w:val="Subtitle"/>
      </w:pPr>
      <w:r>
        <w:t>$million (nominal)</w:t>
      </w:r>
    </w:p>
    <w:tbl>
      <w:tblPr>
        <w:tblW w:w="5000" w:type="pct"/>
        <w:tblCellMar>
          <w:left w:w="0" w:type="dxa"/>
          <w:right w:w="0" w:type="dxa"/>
        </w:tblCellMar>
        <w:tblLook w:val="0000" w:firstRow="0" w:lastRow="0" w:firstColumn="0" w:lastColumn="0" w:noHBand="0" w:noVBand="0"/>
      </w:tblPr>
      <w:tblGrid>
        <w:gridCol w:w="2842"/>
        <w:gridCol w:w="990"/>
        <w:gridCol w:w="14"/>
        <w:gridCol w:w="976"/>
        <w:gridCol w:w="12"/>
        <w:gridCol w:w="977"/>
        <w:gridCol w:w="9"/>
        <w:gridCol w:w="986"/>
        <w:gridCol w:w="993"/>
        <w:gridCol w:w="990"/>
      </w:tblGrid>
      <w:tr w:rsidR="0025181E" w:rsidTr="00BD27FA">
        <w:trPr>
          <w:trHeight w:val="289"/>
        </w:trPr>
        <w:tc>
          <w:tcPr>
            <w:tcW w:w="1617" w:type="pct"/>
            <w:vMerge w:val="restart"/>
            <w:tcBorders>
              <w:top w:val="single" w:sz="6" w:space="0" w:color="auto"/>
            </w:tcBorders>
            <w:shd w:val="clear" w:color="auto" w:fill="auto"/>
            <w:vAlign w:val="bottom"/>
          </w:tcPr>
          <w:p w:rsidR="0025181E" w:rsidRPr="00E4707B" w:rsidRDefault="0025181E" w:rsidP="006A50C8">
            <w:pPr>
              <w:pStyle w:val="TableColumnHeading"/>
              <w:jc w:val="left"/>
              <w:rPr>
                <w:sz w:val="18"/>
                <w:szCs w:val="18"/>
              </w:rPr>
            </w:pPr>
            <w:r w:rsidRPr="00E4707B">
              <w:rPr>
                <w:sz w:val="18"/>
                <w:szCs w:val="18"/>
              </w:rPr>
              <w:t>Industry grouping</w:t>
            </w:r>
          </w:p>
        </w:tc>
        <w:tc>
          <w:tcPr>
            <w:tcW w:w="571" w:type="pct"/>
            <w:gridSpan w:val="2"/>
            <w:tcBorders>
              <w:top w:val="single" w:sz="6" w:space="0" w:color="auto"/>
              <w:bottom w:val="single" w:sz="6" w:space="0" w:color="auto"/>
            </w:tcBorders>
            <w:shd w:val="clear" w:color="auto" w:fill="auto"/>
            <w:vAlign w:val="bottom"/>
          </w:tcPr>
          <w:p w:rsidR="0025181E" w:rsidRPr="00E4707B" w:rsidRDefault="0025181E" w:rsidP="006A50C8">
            <w:pPr>
              <w:pStyle w:val="TableColumnHeading"/>
              <w:ind w:right="28"/>
              <w:jc w:val="center"/>
              <w:rPr>
                <w:sz w:val="18"/>
                <w:szCs w:val="18"/>
              </w:rPr>
            </w:pPr>
            <w:r w:rsidRPr="00E4707B">
              <w:rPr>
                <w:sz w:val="18"/>
                <w:szCs w:val="18"/>
              </w:rPr>
              <w:t>Tariffs</w:t>
            </w:r>
          </w:p>
        </w:tc>
        <w:tc>
          <w:tcPr>
            <w:tcW w:w="562" w:type="pct"/>
            <w:gridSpan w:val="2"/>
            <w:tcBorders>
              <w:top w:val="single" w:sz="6" w:space="0" w:color="auto"/>
              <w:bottom w:val="single" w:sz="6" w:space="0" w:color="auto"/>
            </w:tcBorders>
            <w:shd w:val="clear" w:color="auto" w:fill="auto"/>
            <w:vAlign w:val="bottom"/>
          </w:tcPr>
          <w:p w:rsidR="0025181E" w:rsidRPr="00E4707B" w:rsidRDefault="0025181E" w:rsidP="006A50C8">
            <w:pPr>
              <w:pStyle w:val="TableColumnHeading"/>
              <w:ind w:right="28"/>
              <w:jc w:val="center"/>
              <w:rPr>
                <w:sz w:val="18"/>
                <w:szCs w:val="18"/>
              </w:rPr>
            </w:pPr>
          </w:p>
        </w:tc>
        <w:tc>
          <w:tcPr>
            <w:tcW w:w="561" w:type="pct"/>
            <w:gridSpan w:val="2"/>
            <w:vMerge w:val="restart"/>
            <w:tcBorders>
              <w:top w:val="single" w:sz="6" w:space="0" w:color="auto"/>
            </w:tcBorders>
            <w:shd w:val="clear" w:color="auto" w:fill="D9D9D9" w:themeFill="background1" w:themeFillShade="D9"/>
            <w:vAlign w:val="bottom"/>
          </w:tcPr>
          <w:p w:rsidR="0025181E" w:rsidRPr="00E4707B" w:rsidRDefault="0025181E" w:rsidP="006A50C8">
            <w:pPr>
              <w:pStyle w:val="TableColumnHeading"/>
              <w:ind w:right="28"/>
              <w:rPr>
                <w:sz w:val="18"/>
                <w:szCs w:val="18"/>
              </w:rPr>
            </w:pPr>
            <w:r w:rsidRPr="00E4707B">
              <w:rPr>
                <w:sz w:val="18"/>
                <w:szCs w:val="18"/>
              </w:rPr>
              <w:t>Net tariff assistance</w:t>
            </w:r>
          </w:p>
        </w:tc>
        <w:tc>
          <w:tcPr>
            <w:tcW w:w="561" w:type="pct"/>
            <w:tcBorders>
              <w:top w:val="single" w:sz="6" w:space="0" w:color="auto"/>
              <w:bottom w:val="single" w:sz="4" w:space="0" w:color="auto"/>
            </w:tcBorders>
            <w:vAlign w:val="center"/>
          </w:tcPr>
          <w:p w:rsidR="0025181E" w:rsidRPr="00E4707B" w:rsidRDefault="0025181E" w:rsidP="006A50C8">
            <w:pPr>
              <w:pStyle w:val="TableColumnHeading"/>
              <w:ind w:right="28"/>
              <w:jc w:val="center"/>
              <w:rPr>
                <w:sz w:val="18"/>
                <w:szCs w:val="18"/>
              </w:rPr>
            </w:pPr>
            <w:r w:rsidRPr="00E4707B">
              <w:rPr>
                <w:sz w:val="18"/>
                <w:szCs w:val="18"/>
              </w:rPr>
              <w:t>Budgetary</w:t>
            </w:r>
          </w:p>
        </w:tc>
        <w:tc>
          <w:tcPr>
            <w:tcW w:w="565" w:type="pct"/>
            <w:tcBorders>
              <w:top w:val="single" w:sz="6" w:space="0" w:color="auto"/>
              <w:bottom w:val="single" w:sz="4" w:space="0" w:color="auto"/>
            </w:tcBorders>
            <w:vAlign w:val="center"/>
          </w:tcPr>
          <w:p w:rsidR="0025181E" w:rsidRPr="00E4707B" w:rsidRDefault="0025181E" w:rsidP="006A50C8">
            <w:pPr>
              <w:pStyle w:val="TableColumnHeading"/>
              <w:ind w:right="28"/>
              <w:jc w:val="center"/>
              <w:rPr>
                <w:sz w:val="18"/>
                <w:szCs w:val="18"/>
              </w:rPr>
            </w:pPr>
          </w:p>
        </w:tc>
        <w:tc>
          <w:tcPr>
            <w:tcW w:w="563" w:type="pct"/>
            <w:vMerge w:val="restart"/>
            <w:tcBorders>
              <w:top w:val="single" w:sz="6" w:space="0" w:color="auto"/>
            </w:tcBorders>
            <w:shd w:val="clear" w:color="auto" w:fill="D9D9D9" w:themeFill="background1" w:themeFillShade="D9"/>
            <w:vAlign w:val="bottom"/>
          </w:tcPr>
          <w:p w:rsidR="0025181E" w:rsidRPr="00E4707B" w:rsidRDefault="0025181E" w:rsidP="006A50C8">
            <w:pPr>
              <w:pStyle w:val="TableColumnHeading"/>
              <w:ind w:right="28"/>
              <w:rPr>
                <w:sz w:val="18"/>
                <w:szCs w:val="18"/>
              </w:rPr>
            </w:pPr>
            <w:r w:rsidRPr="00E4707B">
              <w:rPr>
                <w:sz w:val="18"/>
                <w:szCs w:val="18"/>
              </w:rPr>
              <w:t>Net combined assistance</w:t>
            </w:r>
          </w:p>
        </w:tc>
      </w:tr>
      <w:tr w:rsidR="0025181E" w:rsidTr="00BD27FA">
        <w:trPr>
          <w:trHeight w:val="289"/>
        </w:trPr>
        <w:tc>
          <w:tcPr>
            <w:tcW w:w="1617" w:type="pct"/>
            <w:vMerge/>
            <w:tcBorders>
              <w:bottom w:val="single" w:sz="6" w:space="0" w:color="auto"/>
            </w:tcBorders>
            <w:shd w:val="clear" w:color="auto" w:fill="auto"/>
            <w:vAlign w:val="bottom"/>
          </w:tcPr>
          <w:p w:rsidR="006A50C8" w:rsidRDefault="006A50C8" w:rsidP="006A50C8">
            <w:pPr>
              <w:pStyle w:val="TableColumnHeading"/>
              <w:jc w:val="left"/>
            </w:pPr>
          </w:p>
        </w:tc>
        <w:tc>
          <w:tcPr>
            <w:tcW w:w="571" w:type="pct"/>
            <w:gridSpan w:val="2"/>
            <w:tcBorders>
              <w:top w:val="single" w:sz="6" w:space="0" w:color="auto"/>
              <w:bottom w:val="single" w:sz="6" w:space="0" w:color="auto"/>
            </w:tcBorders>
            <w:shd w:val="clear" w:color="auto" w:fill="auto"/>
            <w:vAlign w:val="bottom"/>
          </w:tcPr>
          <w:p w:rsidR="006A50C8" w:rsidRPr="00E4707B" w:rsidRDefault="006A50C8" w:rsidP="006A50C8">
            <w:pPr>
              <w:pStyle w:val="TableColumnHeading"/>
              <w:rPr>
                <w:sz w:val="18"/>
                <w:szCs w:val="18"/>
              </w:rPr>
            </w:pPr>
            <w:r w:rsidRPr="00E4707B">
              <w:rPr>
                <w:sz w:val="18"/>
                <w:szCs w:val="18"/>
              </w:rPr>
              <w:t>Output</w:t>
            </w:r>
          </w:p>
        </w:tc>
        <w:tc>
          <w:tcPr>
            <w:tcW w:w="562" w:type="pct"/>
            <w:gridSpan w:val="2"/>
            <w:tcBorders>
              <w:top w:val="single" w:sz="6" w:space="0" w:color="auto"/>
              <w:bottom w:val="single" w:sz="6" w:space="0" w:color="auto"/>
            </w:tcBorders>
            <w:vAlign w:val="bottom"/>
          </w:tcPr>
          <w:p w:rsidR="006A50C8" w:rsidRPr="00E4707B" w:rsidRDefault="006A50C8" w:rsidP="006A50C8">
            <w:pPr>
              <w:pStyle w:val="TableColumnHeading"/>
              <w:ind w:right="28"/>
              <w:rPr>
                <w:sz w:val="18"/>
                <w:szCs w:val="18"/>
              </w:rPr>
            </w:pPr>
            <w:r w:rsidRPr="00E4707B">
              <w:rPr>
                <w:sz w:val="18"/>
                <w:szCs w:val="18"/>
              </w:rPr>
              <w:t>Input penalty</w:t>
            </w:r>
          </w:p>
        </w:tc>
        <w:tc>
          <w:tcPr>
            <w:tcW w:w="561" w:type="pct"/>
            <w:gridSpan w:val="2"/>
            <w:vMerge/>
            <w:tcBorders>
              <w:bottom w:val="single" w:sz="6" w:space="0" w:color="auto"/>
            </w:tcBorders>
            <w:shd w:val="clear" w:color="auto" w:fill="D9D9D9" w:themeFill="background1" w:themeFillShade="D9"/>
            <w:vAlign w:val="bottom"/>
          </w:tcPr>
          <w:p w:rsidR="006A50C8" w:rsidRDefault="006A50C8" w:rsidP="006A50C8">
            <w:pPr>
              <w:pStyle w:val="TableColumnHeading"/>
              <w:ind w:right="28"/>
            </w:pPr>
          </w:p>
        </w:tc>
        <w:tc>
          <w:tcPr>
            <w:tcW w:w="561" w:type="pct"/>
            <w:tcBorders>
              <w:top w:val="single" w:sz="4" w:space="0" w:color="auto"/>
              <w:bottom w:val="single" w:sz="6" w:space="0" w:color="auto"/>
            </w:tcBorders>
            <w:vAlign w:val="bottom"/>
          </w:tcPr>
          <w:p w:rsidR="006A50C8" w:rsidRPr="00E4707B" w:rsidRDefault="006A50C8" w:rsidP="006A50C8">
            <w:pPr>
              <w:pStyle w:val="TableColumnHeading"/>
              <w:ind w:right="28"/>
              <w:rPr>
                <w:sz w:val="18"/>
                <w:szCs w:val="18"/>
              </w:rPr>
            </w:pPr>
            <w:r w:rsidRPr="00E4707B">
              <w:rPr>
                <w:sz w:val="18"/>
                <w:szCs w:val="18"/>
              </w:rPr>
              <w:t>Outlays</w:t>
            </w:r>
          </w:p>
        </w:tc>
        <w:tc>
          <w:tcPr>
            <w:tcW w:w="565" w:type="pct"/>
            <w:tcBorders>
              <w:top w:val="single" w:sz="4" w:space="0" w:color="auto"/>
              <w:bottom w:val="single" w:sz="6" w:space="0" w:color="auto"/>
            </w:tcBorders>
            <w:vAlign w:val="bottom"/>
          </w:tcPr>
          <w:p w:rsidR="006A50C8" w:rsidRPr="00E4707B" w:rsidRDefault="006A50C8" w:rsidP="006A50C8">
            <w:pPr>
              <w:pStyle w:val="TableColumnHeading"/>
              <w:ind w:right="28"/>
              <w:rPr>
                <w:sz w:val="18"/>
                <w:szCs w:val="18"/>
              </w:rPr>
            </w:pPr>
            <w:r w:rsidRPr="00E4707B">
              <w:rPr>
                <w:sz w:val="18"/>
                <w:szCs w:val="18"/>
              </w:rPr>
              <w:t>Tax concess</w:t>
            </w:r>
          </w:p>
        </w:tc>
        <w:tc>
          <w:tcPr>
            <w:tcW w:w="563" w:type="pct"/>
            <w:vMerge/>
            <w:tcBorders>
              <w:bottom w:val="single" w:sz="6" w:space="0" w:color="auto"/>
            </w:tcBorders>
            <w:shd w:val="clear" w:color="auto" w:fill="D9D9D9" w:themeFill="background1" w:themeFillShade="D9"/>
            <w:vAlign w:val="bottom"/>
          </w:tcPr>
          <w:p w:rsidR="006A50C8" w:rsidRDefault="006A50C8" w:rsidP="006A50C8">
            <w:pPr>
              <w:pStyle w:val="TableColumnHeading"/>
              <w:ind w:right="28"/>
            </w:pPr>
          </w:p>
        </w:tc>
      </w:tr>
      <w:tr w:rsidR="00BD27FA" w:rsidRPr="00E4707B" w:rsidTr="00BD27FA">
        <w:trPr>
          <w:trHeight w:val="283"/>
        </w:trPr>
        <w:tc>
          <w:tcPr>
            <w:tcW w:w="1617" w:type="pct"/>
            <w:vAlign w:val="center"/>
          </w:tcPr>
          <w:p w:rsidR="00BD27FA" w:rsidRPr="00E4707B" w:rsidRDefault="00BD27FA" w:rsidP="00EA1622">
            <w:pPr>
              <w:pStyle w:val="TableBodyText"/>
              <w:jc w:val="left"/>
              <w:rPr>
                <w:b/>
                <w:sz w:val="18"/>
                <w:szCs w:val="18"/>
              </w:rPr>
            </w:pPr>
            <w:r w:rsidRPr="00E4707B">
              <w:rPr>
                <w:b/>
                <w:sz w:val="18"/>
                <w:szCs w:val="18"/>
              </w:rPr>
              <w:t>Primary production</w:t>
            </w:r>
          </w:p>
        </w:tc>
        <w:tc>
          <w:tcPr>
            <w:tcW w:w="563" w:type="pct"/>
          </w:tcPr>
          <w:p w:rsidR="00BD27FA" w:rsidRPr="00B03E4B" w:rsidRDefault="00BD27FA" w:rsidP="006A50C8">
            <w:pPr>
              <w:pStyle w:val="TableBodyText"/>
              <w:rPr>
                <w:b/>
                <w:sz w:val="18"/>
                <w:szCs w:val="18"/>
              </w:rPr>
            </w:pPr>
            <w:r w:rsidRPr="00B03E4B">
              <w:rPr>
                <w:b/>
                <w:sz w:val="18"/>
                <w:szCs w:val="18"/>
              </w:rPr>
              <w:t>209.5</w:t>
            </w:r>
          </w:p>
        </w:tc>
        <w:tc>
          <w:tcPr>
            <w:tcW w:w="563" w:type="pct"/>
            <w:gridSpan w:val="2"/>
          </w:tcPr>
          <w:p w:rsidR="00BD27FA" w:rsidRPr="00B03E4B" w:rsidRDefault="00BD27FA" w:rsidP="006A50C8">
            <w:pPr>
              <w:pStyle w:val="TableBodyText"/>
              <w:rPr>
                <w:b/>
                <w:sz w:val="18"/>
                <w:szCs w:val="18"/>
              </w:rPr>
            </w:pPr>
            <w:r w:rsidRPr="00B03E4B">
              <w:rPr>
                <w:b/>
                <w:sz w:val="18"/>
                <w:szCs w:val="18"/>
              </w:rPr>
              <w:t>-73.4</w:t>
            </w:r>
          </w:p>
        </w:tc>
        <w:tc>
          <w:tcPr>
            <w:tcW w:w="563" w:type="pct"/>
            <w:gridSpan w:val="2"/>
            <w:shd w:val="clear" w:color="auto" w:fill="D9D9D9" w:themeFill="background1" w:themeFillShade="D9"/>
          </w:tcPr>
          <w:p w:rsidR="00BD27FA" w:rsidRPr="00B03E4B" w:rsidRDefault="00BD27FA" w:rsidP="006A50C8">
            <w:pPr>
              <w:pStyle w:val="TableBodyText"/>
              <w:rPr>
                <w:b/>
                <w:sz w:val="18"/>
                <w:szCs w:val="18"/>
              </w:rPr>
            </w:pPr>
            <w:r w:rsidRPr="00B03E4B">
              <w:rPr>
                <w:b/>
                <w:sz w:val="18"/>
                <w:szCs w:val="18"/>
              </w:rPr>
              <w:t>136.1</w:t>
            </w:r>
          </w:p>
        </w:tc>
        <w:tc>
          <w:tcPr>
            <w:tcW w:w="566" w:type="pct"/>
            <w:gridSpan w:val="2"/>
          </w:tcPr>
          <w:p w:rsidR="00BD27FA" w:rsidRPr="00BD27FA" w:rsidRDefault="00BD27FA" w:rsidP="0014396D">
            <w:pPr>
              <w:pStyle w:val="TableBodyText"/>
              <w:rPr>
                <w:b/>
                <w:sz w:val="18"/>
                <w:szCs w:val="18"/>
              </w:rPr>
            </w:pPr>
            <w:r w:rsidRPr="00BD27FA">
              <w:rPr>
                <w:b/>
                <w:sz w:val="18"/>
                <w:szCs w:val="18"/>
              </w:rPr>
              <w:t>891.2</w:t>
            </w:r>
          </w:p>
        </w:tc>
        <w:tc>
          <w:tcPr>
            <w:tcW w:w="565" w:type="pct"/>
          </w:tcPr>
          <w:p w:rsidR="00BD27FA" w:rsidRPr="00BD27FA" w:rsidRDefault="00BD27FA" w:rsidP="004A3015">
            <w:pPr>
              <w:pStyle w:val="TableBodyText"/>
              <w:rPr>
                <w:b/>
                <w:sz w:val="18"/>
                <w:szCs w:val="18"/>
              </w:rPr>
            </w:pPr>
            <w:r w:rsidRPr="00BD27FA">
              <w:rPr>
                <w:b/>
                <w:sz w:val="18"/>
                <w:szCs w:val="18"/>
              </w:rPr>
              <w:t>548.3</w:t>
            </w:r>
          </w:p>
        </w:tc>
        <w:tc>
          <w:tcPr>
            <w:tcW w:w="563" w:type="pct"/>
            <w:shd w:val="clear" w:color="auto" w:fill="D9D9D9" w:themeFill="background1" w:themeFillShade="D9"/>
          </w:tcPr>
          <w:p w:rsidR="00BD27FA" w:rsidRPr="00BD27FA" w:rsidRDefault="00BD27FA" w:rsidP="00295C4B">
            <w:pPr>
              <w:pStyle w:val="TableBodyText"/>
              <w:rPr>
                <w:b/>
                <w:sz w:val="18"/>
                <w:szCs w:val="18"/>
              </w:rPr>
            </w:pPr>
            <w:r w:rsidRPr="00BD27FA">
              <w:rPr>
                <w:b/>
                <w:sz w:val="18"/>
                <w:szCs w:val="18"/>
              </w:rPr>
              <w:t>1575.6</w:t>
            </w:r>
          </w:p>
        </w:tc>
      </w:tr>
      <w:tr w:rsidR="00BD27FA" w:rsidRPr="00E4707B" w:rsidTr="00BD27FA">
        <w:tc>
          <w:tcPr>
            <w:tcW w:w="1617" w:type="pct"/>
            <w:vAlign w:val="center"/>
          </w:tcPr>
          <w:p w:rsidR="00BD27FA" w:rsidRPr="00E4707B" w:rsidRDefault="00BD27FA" w:rsidP="006A50C8">
            <w:pPr>
              <w:pStyle w:val="TableBodyText"/>
              <w:jc w:val="left"/>
              <w:rPr>
                <w:sz w:val="18"/>
                <w:szCs w:val="18"/>
              </w:rPr>
            </w:pPr>
            <w:r w:rsidRPr="00E4707B">
              <w:rPr>
                <w:sz w:val="18"/>
                <w:szCs w:val="18"/>
              </w:rPr>
              <w:t>Horticulture and fruit growing</w:t>
            </w:r>
          </w:p>
        </w:tc>
        <w:tc>
          <w:tcPr>
            <w:tcW w:w="563" w:type="pct"/>
          </w:tcPr>
          <w:p w:rsidR="00BD27FA" w:rsidRPr="00B03E4B" w:rsidRDefault="00BD27FA" w:rsidP="006A50C8">
            <w:pPr>
              <w:pStyle w:val="TableBodyText"/>
              <w:rPr>
                <w:sz w:val="18"/>
                <w:szCs w:val="18"/>
              </w:rPr>
            </w:pPr>
            <w:r w:rsidRPr="00B03E4B">
              <w:rPr>
                <w:sz w:val="18"/>
                <w:szCs w:val="18"/>
              </w:rPr>
              <w:t>154.3</w:t>
            </w:r>
          </w:p>
        </w:tc>
        <w:tc>
          <w:tcPr>
            <w:tcW w:w="563" w:type="pct"/>
            <w:gridSpan w:val="2"/>
          </w:tcPr>
          <w:p w:rsidR="00BD27FA" w:rsidRPr="00B03E4B" w:rsidRDefault="00BD27FA" w:rsidP="006A50C8">
            <w:pPr>
              <w:pStyle w:val="TableBodyText"/>
              <w:rPr>
                <w:sz w:val="18"/>
                <w:szCs w:val="18"/>
              </w:rPr>
            </w:pPr>
            <w:r w:rsidRPr="00B03E4B">
              <w:rPr>
                <w:sz w:val="18"/>
                <w:szCs w:val="18"/>
              </w:rPr>
              <w:t>-8.3</w:t>
            </w:r>
          </w:p>
        </w:tc>
        <w:tc>
          <w:tcPr>
            <w:tcW w:w="563" w:type="pct"/>
            <w:gridSpan w:val="2"/>
            <w:shd w:val="clear" w:color="auto" w:fill="D9D9D9" w:themeFill="background1" w:themeFillShade="D9"/>
          </w:tcPr>
          <w:p w:rsidR="00BD27FA" w:rsidRPr="00B03E4B" w:rsidRDefault="00BD27FA" w:rsidP="006A50C8">
            <w:pPr>
              <w:pStyle w:val="TableBodyText"/>
              <w:rPr>
                <w:sz w:val="18"/>
                <w:szCs w:val="18"/>
              </w:rPr>
            </w:pPr>
            <w:r w:rsidRPr="00B03E4B">
              <w:rPr>
                <w:sz w:val="18"/>
                <w:szCs w:val="18"/>
              </w:rPr>
              <w:t>146.0</w:t>
            </w:r>
          </w:p>
        </w:tc>
        <w:tc>
          <w:tcPr>
            <w:tcW w:w="566" w:type="pct"/>
            <w:gridSpan w:val="2"/>
          </w:tcPr>
          <w:p w:rsidR="00BD27FA" w:rsidRPr="00BD27FA" w:rsidRDefault="00BD27FA" w:rsidP="00295C4B">
            <w:pPr>
              <w:pStyle w:val="TableBodyText"/>
              <w:rPr>
                <w:sz w:val="18"/>
                <w:szCs w:val="18"/>
              </w:rPr>
            </w:pPr>
            <w:r w:rsidRPr="00BD27FA">
              <w:rPr>
                <w:sz w:val="18"/>
                <w:szCs w:val="18"/>
              </w:rPr>
              <w:t>83.4</w:t>
            </w:r>
          </w:p>
        </w:tc>
        <w:tc>
          <w:tcPr>
            <w:tcW w:w="565" w:type="pct"/>
          </w:tcPr>
          <w:p w:rsidR="00BD27FA" w:rsidRPr="00BD27FA" w:rsidRDefault="00BD27FA" w:rsidP="004A3015">
            <w:pPr>
              <w:pStyle w:val="TableBodyText"/>
              <w:rPr>
                <w:sz w:val="18"/>
                <w:szCs w:val="18"/>
              </w:rPr>
            </w:pPr>
            <w:r w:rsidRPr="00BD27FA">
              <w:rPr>
                <w:sz w:val="18"/>
                <w:szCs w:val="18"/>
              </w:rPr>
              <w:t>55.6</w:t>
            </w:r>
          </w:p>
        </w:tc>
        <w:tc>
          <w:tcPr>
            <w:tcW w:w="563" w:type="pct"/>
            <w:shd w:val="clear" w:color="auto" w:fill="D9D9D9" w:themeFill="background1" w:themeFillShade="D9"/>
          </w:tcPr>
          <w:p w:rsidR="00BD27FA" w:rsidRPr="00BD27FA" w:rsidRDefault="00BD27FA" w:rsidP="00295C4B">
            <w:pPr>
              <w:pStyle w:val="TableBodyText"/>
              <w:rPr>
                <w:sz w:val="18"/>
                <w:szCs w:val="18"/>
              </w:rPr>
            </w:pPr>
            <w:r w:rsidRPr="00BD27FA">
              <w:rPr>
                <w:sz w:val="18"/>
                <w:szCs w:val="18"/>
              </w:rPr>
              <w:t>284.9</w:t>
            </w:r>
          </w:p>
        </w:tc>
      </w:tr>
      <w:tr w:rsidR="00BD27FA" w:rsidRPr="00E4707B" w:rsidTr="00BD27FA">
        <w:tc>
          <w:tcPr>
            <w:tcW w:w="1617" w:type="pct"/>
            <w:vAlign w:val="center"/>
          </w:tcPr>
          <w:p w:rsidR="00BD27FA" w:rsidRPr="00E4707B" w:rsidRDefault="00BD27FA" w:rsidP="006A50C8">
            <w:pPr>
              <w:pStyle w:val="TableBodyText"/>
              <w:jc w:val="left"/>
              <w:rPr>
                <w:sz w:val="18"/>
                <w:szCs w:val="18"/>
              </w:rPr>
            </w:pPr>
            <w:r w:rsidRPr="00E4707B">
              <w:rPr>
                <w:sz w:val="18"/>
                <w:szCs w:val="18"/>
              </w:rPr>
              <w:t>Sheep, cattle &amp; grain farming</w:t>
            </w:r>
          </w:p>
        </w:tc>
        <w:tc>
          <w:tcPr>
            <w:tcW w:w="563" w:type="pct"/>
          </w:tcPr>
          <w:p w:rsidR="00BD27FA" w:rsidRPr="00B03E4B" w:rsidRDefault="00BD27FA" w:rsidP="006A50C8">
            <w:pPr>
              <w:pStyle w:val="TableBodyText"/>
              <w:rPr>
                <w:sz w:val="18"/>
                <w:szCs w:val="18"/>
              </w:rPr>
            </w:pPr>
            <w:r w:rsidRPr="00B03E4B">
              <w:rPr>
                <w:sz w:val="18"/>
                <w:szCs w:val="18"/>
              </w:rPr>
              <w:t>0.2</w:t>
            </w:r>
          </w:p>
        </w:tc>
        <w:tc>
          <w:tcPr>
            <w:tcW w:w="563" w:type="pct"/>
            <w:gridSpan w:val="2"/>
          </w:tcPr>
          <w:p w:rsidR="00BD27FA" w:rsidRPr="00B03E4B" w:rsidRDefault="00BD27FA" w:rsidP="006A50C8">
            <w:pPr>
              <w:pStyle w:val="TableBodyText"/>
              <w:rPr>
                <w:sz w:val="18"/>
                <w:szCs w:val="18"/>
              </w:rPr>
            </w:pPr>
            <w:r w:rsidRPr="00B03E4B">
              <w:rPr>
                <w:sz w:val="18"/>
                <w:szCs w:val="18"/>
              </w:rPr>
              <w:t>-17.2</w:t>
            </w:r>
          </w:p>
        </w:tc>
        <w:tc>
          <w:tcPr>
            <w:tcW w:w="563" w:type="pct"/>
            <w:gridSpan w:val="2"/>
            <w:shd w:val="clear" w:color="auto" w:fill="D9D9D9" w:themeFill="background1" w:themeFillShade="D9"/>
          </w:tcPr>
          <w:p w:rsidR="00BD27FA" w:rsidRPr="00B03E4B" w:rsidRDefault="00BD27FA" w:rsidP="006A50C8">
            <w:pPr>
              <w:pStyle w:val="TableBodyText"/>
              <w:rPr>
                <w:sz w:val="18"/>
                <w:szCs w:val="18"/>
              </w:rPr>
            </w:pPr>
            <w:r w:rsidRPr="00B03E4B">
              <w:rPr>
                <w:sz w:val="18"/>
                <w:szCs w:val="18"/>
              </w:rPr>
              <w:t>-17.1</w:t>
            </w:r>
          </w:p>
        </w:tc>
        <w:tc>
          <w:tcPr>
            <w:tcW w:w="566" w:type="pct"/>
            <w:gridSpan w:val="2"/>
          </w:tcPr>
          <w:p w:rsidR="00BD27FA" w:rsidRPr="00BD27FA" w:rsidRDefault="00BD27FA" w:rsidP="00295C4B">
            <w:pPr>
              <w:pStyle w:val="TableBodyText"/>
              <w:rPr>
                <w:sz w:val="18"/>
                <w:szCs w:val="18"/>
              </w:rPr>
            </w:pPr>
            <w:r w:rsidRPr="00BD27FA">
              <w:rPr>
                <w:sz w:val="18"/>
                <w:szCs w:val="18"/>
              </w:rPr>
              <w:t>212.9</w:t>
            </w:r>
          </w:p>
        </w:tc>
        <w:tc>
          <w:tcPr>
            <w:tcW w:w="565" w:type="pct"/>
          </w:tcPr>
          <w:p w:rsidR="00BD27FA" w:rsidRPr="00BD27FA" w:rsidRDefault="00BD27FA" w:rsidP="004A3015">
            <w:pPr>
              <w:pStyle w:val="TableBodyText"/>
              <w:rPr>
                <w:sz w:val="18"/>
                <w:szCs w:val="18"/>
              </w:rPr>
            </w:pPr>
            <w:r w:rsidRPr="00BD27FA">
              <w:rPr>
                <w:sz w:val="18"/>
                <w:szCs w:val="18"/>
              </w:rPr>
              <w:t>355.0</w:t>
            </w:r>
          </w:p>
        </w:tc>
        <w:tc>
          <w:tcPr>
            <w:tcW w:w="563" w:type="pct"/>
            <w:shd w:val="clear" w:color="auto" w:fill="D9D9D9" w:themeFill="background1" w:themeFillShade="D9"/>
          </w:tcPr>
          <w:p w:rsidR="00BD27FA" w:rsidRPr="00BD27FA" w:rsidRDefault="00BD27FA" w:rsidP="00295C4B">
            <w:pPr>
              <w:pStyle w:val="TableBodyText"/>
              <w:rPr>
                <w:sz w:val="18"/>
                <w:szCs w:val="18"/>
              </w:rPr>
            </w:pPr>
            <w:r w:rsidRPr="00BD27FA">
              <w:rPr>
                <w:sz w:val="18"/>
                <w:szCs w:val="18"/>
              </w:rPr>
              <w:t>550.8</w:t>
            </w:r>
          </w:p>
        </w:tc>
      </w:tr>
      <w:tr w:rsidR="00BD27FA" w:rsidRPr="00E4707B" w:rsidTr="00BD27FA">
        <w:tc>
          <w:tcPr>
            <w:tcW w:w="1617" w:type="pct"/>
            <w:vAlign w:val="center"/>
          </w:tcPr>
          <w:p w:rsidR="00BD27FA" w:rsidRPr="00E4707B" w:rsidRDefault="00BD27FA" w:rsidP="006A50C8">
            <w:pPr>
              <w:pStyle w:val="TableBodyText"/>
              <w:jc w:val="left"/>
              <w:rPr>
                <w:sz w:val="18"/>
                <w:szCs w:val="18"/>
              </w:rPr>
            </w:pPr>
            <w:r w:rsidRPr="00E4707B">
              <w:rPr>
                <w:sz w:val="18"/>
                <w:szCs w:val="18"/>
              </w:rPr>
              <w:t>Other crop growing</w:t>
            </w:r>
          </w:p>
        </w:tc>
        <w:tc>
          <w:tcPr>
            <w:tcW w:w="563" w:type="pct"/>
          </w:tcPr>
          <w:p w:rsidR="00BD27FA" w:rsidRPr="00B03E4B" w:rsidRDefault="00BD27FA" w:rsidP="006A50C8">
            <w:pPr>
              <w:pStyle w:val="TableBodyText"/>
              <w:rPr>
                <w:sz w:val="18"/>
                <w:szCs w:val="18"/>
              </w:rPr>
            </w:pPr>
            <w:r w:rsidRPr="00B03E4B">
              <w:rPr>
                <w:sz w:val="18"/>
                <w:szCs w:val="18"/>
              </w:rPr>
              <w:t>2.0</w:t>
            </w:r>
          </w:p>
        </w:tc>
        <w:tc>
          <w:tcPr>
            <w:tcW w:w="563" w:type="pct"/>
            <w:gridSpan w:val="2"/>
          </w:tcPr>
          <w:p w:rsidR="00BD27FA" w:rsidRPr="00B03E4B" w:rsidRDefault="00BD27FA" w:rsidP="006A50C8">
            <w:pPr>
              <w:pStyle w:val="TableBodyText"/>
              <w:rPr>
                <w:sz w:val="18"/>
                <w:szCs w:val="18"/>
              </w:rPr>
            </w:pPr>
            <w:r w:rsidRPr="00B03E4B">
              <w:rPr>
                <w:sz w:val="18"/>
                <w:szCs w:val="18"/>
              </w:rPr>
              <w:t>-3.8</w:t>
            </w:r>
          </w:p>
        </w:tc>
        <w:tc>
          <w:tcPr>
            <w:tcW w:w="563" w:type="pct"/>
            <w:gridSpan w:val="2"/>
            <w:shd w:val="clear" w:color="auto" w:fill="D9D9D9" w:themeFill="background1" w:themeFillShade="D9"/>
          </w:tcPr>
          <w:p w:rsidR="00BD27FA" w:rsidRPr="00B03E4B" w:rsidRDefault="00BD27FA" w:rsidP="006A50C8">
            <w:pPr>
              <w:pStyle w:val="TableBodyText"/>
              <w:rPr>
                <w:sz w:val="18"/>
                <w:szCs w:val="18"/>
              </w:rPr>
            </w:pPr>
            <w:r w:rsidRPr="00B03E4B">
              <w:rPr>
                <w:sz w:val="18"/>
                <w:szCs w:val="18"/>
              </w:rPr>
              <w:t>-1.8</w:t>
            </w:r>
          </w:p>
        </w:tc>
        <w:tc>
          <w:tcPr>
            <w:tcW w:w="566" w:type="pct"/>
            <w:gridSpan w:val="2"/>
          </w:tcPr>
          <w:p w:rsidR="00BD27FA" w:rsidRPr="00BD27FA" w:rsidRDefault="00BD27FA" w:rsidP="004A3015">
            <w:pPr>
              <w:pStyle w:val="TableBodyText"/>
              <w:rPr>
                <w:sz w:val="18"/>
                <w:szCs w:val="18"/>
              </w:rPr>
            </w:pPr>
            <w:r w:rsidRPr="00BD27FA">
              <w:rPr>
                <w:sz w:val="18"/>
                <w:szCs w:val="18"/>
              </w:rPr>
              <w:t>30.2</w:t>
            </w:r>
          </w:p>
        </w:tc>
        <w:tc>
          <w:tcPr>
            <w:tcW w:w="565" w:type="pct"/>
          </w:tcPr>
          <w:p w:rsidR="00BD27FA" w:rsidRPr="00BD27FA" w:rsidRDefault="00BD27FA" w:rsidP="004A3015">
            <w:pPr>
              <w:pStyle w:val="TableBodyText"/>
              <w:rPr>
                <w:sz w:val="18"/>
                <w:szCs w:val="18"/>
              </w:rPr>
            </w:pPr>
            <w:r w:rsidRPr="00BD27FA">
              <w:rPr>
                <w:sz w:val="18"/>
                <w:szCs w:val="18"/>
              </w:rPr>
              <w:t>33.2</w:t>
            </w:r>
          </w:p>
        </w:tc>
        <w:tc>
          <w:tcPr>
            <w:tcW w:w="563" w:type="pct"/>
            <w:shd w:val="clear" w:color="auto" w:fill="D9D9D9" w:themeFill="background1" w:themeFillShade="D9"/>
          </w:tcPr>
          <w:p w:rsidR="00BD27FA" w:rsidRPr="00BD27FA" w:rsidRDefault="00BD27FA" w:rsidP="0014396D">
            <w:pPr>
              <w:pStyle w:val="TableBodyText"/>
              <w:rPr>
                <w:sz w:val="18"/>
                <w:szCs w:val="18"/>
              </w:rPr>
            </w:pPr>
            <w:r w:rsidRPr="00BD27FA">
              <w:rPr>
                <w:sz w:val="18"/>
                <w:szCs w:val="18"/>
              </w:rPr>
              <w:t>61.6</w:t>
            </w:r>
          </w:p>
        </w:tc>
      </w:tr>
      <w:tr w:rsidR="00BD27FA" w:rsidRPr="00E4707B" w:rsidTr="00BD27FA">
        <w:tc>
          <w:tcPr>
            <w:tcW w:w="1617" w:type="pct"/>
            <w:vAlign w:val="center"/>
          </w:tcPr>
          <w:p w:rsidR="00BD27FA" w:rsidRPr="00E4707B" w:rsidRDefault="00BD27FA" w:rsidP="006A50C8">
            <w:pPr>
              <w:pStyle w:val="TableBodyText"/>
              <w:jc w:val="left"/>
              <w:rPr>
                <w:sz w:val="18"/>
                <w:szCs w:val="18"/>
              </w:rPr>
            </w:pPr>
            <w:r w:rsidRPr="00E4707B">
              <w:rPr>
                <w:sz w:val="18"/>
                <w:szCs w:val="18"/>
              </w:rPr>
              <w:t>Dairy cattle farming</w:t>
            </w:r>
          </w:p>
        </w:tc>
        <w:tc>
          <w:tcPr>
            <w:tcW w:w="563" w:type="pct"/>
          </w:tcPr>
          <w:p w:rsidR="00BD27FA" w:rsidRPr="00B03E4B" w:rsidRDefault="00BD27FA" w:rsidP="00845835">
            <w:pPr>
              <w:pStyle w:val="TableBodyText"/>
              <w:rPr>
                <w:sz w:val="18"/>
                <w:szCs w:val="18"/>
              </w:rPr>
            </w:pPr>
            <w:r>
              <w:rPr>
                <w:sz w:val="18"/>
                <w:szCs w:val="18"/>
              </w:rPr>
              <w:t>–</w:t>
            </w:r>
          </w:p>
        </w:tc>
        <w:tc>
          <w:tcPr>
            <w:tcW w:w="563" w:type="pct"/>
            <w:gridSpan w:val="2"/>
          </w:tcPr>
          <w:p w:rsidR="00BD27FA" w:rsidRPr="00B03E4B" w:rsidRDefault="00BD27FA" w:rsidP="006A50C8">
            <w:pPr>
              <w:pStyle w:val="TableBodyText"/>
              <w:rPr>
                <w:sz w:val="18"/>
                <w:szCs w:val="18"/>
              </w:rPr>
            </w:pPr>
            <w:r w:rsidRPr="00B03E4B">
              <w:rPr>
                <w:sz w:val="18"/>
                <w:szCs w:val="18"/>
              </w:rPr>
              <w:t>-2.8</w:t>
            </w:r>
          </w:p>
        </w:tc>
        <w:tc>
          <w:tcPr>
            <w:tcW w:w="563" w:type="pct"/>
            <w:gridSpan w:val="2"/>
            <w:shd w:val="clear" w:color="auto" w:fill="D9D9D9" w:themeFill="background1" w:themeFillShade="D9"/>
          </w:tcPr>
          <w:p w:rsidR="00BD27FA" w:rsidRPr="00B03E4B" w:rsidRDefault="00BD27FA" w:rsidP="006A50C8">
            <w:pPr>
              <w:pStyle w:val="TableBodyText"/>
              <w:rPr>
                <w:sz w:val="18"/>
                <w:szCs w:val="18"/>
              </w:rPr>
            </w:pPr>
            <w:r w:rsidRPr="00B03E4B">
              <w:rPr>
                <w:sz w:val="18"/>
                <w:szCs w:val="18"/>
              </w:rPr>
              <w:t>-2.8</w:t>
            </w:r>
          </w:p>
        </w:tc>
        <w:tc>
          <w:tcPr>
            <w:tcW w:w="566" w:type="pct"/>
            <w:gridSpan w:val="2"/>
          </w:tcPr>
          <w:p w:rsidR="00BD27FA" w:rsidRPr="00BD27FA" w:rsidRDefault="00BD27FA" w:rsidP="004A3015">
            <w:pPr>
              <w:pStyle w:val="TableBodyText"/>
              <w:rPr>
                <w:sz w:val="18"/>
                <w:szCs w:val="18"/>
              </w:rPr>
            </w:pPr>
            <w:r w:rsidRPr="00BD27FA">
              <w:rPr>
                <w:sz w:val="18"/>
                <w:szCs w:val="18"/>
              </w:rPr>
              <w:t>29.6</w:t>
            </w:r>
          </w:p>
        </w:tc>
        <w:tc>
          <w:tcPr>
            <w:tcW w:w="565" w:type="pct"/>
          </w:tcPr>
          <w:p w:rsidR="00BD27FA" w:rsidRPr="00BD27FA" w:rsidRDefault="00BD27FA" w:rsidP="004A3015">
            <w:pPr>
              <w:pStyle w:val="TableBodyText"/>
              <w:rPr>
                <w:sz w:val="18"/>
                <w:szCs w:val="18"/>
              </w:rPr>
            </w:pPr>
            <w:r w:rsidRPr="00BD27FA">
              <w:rPr>
                <w:sz w:val="18"/>
                <w:szCs w:val="18"/>
              </w:rPr>
              <w:t>31.7</w:t>
            </w:r>
          </w:p>
        </w:tc>
        <w:tc>
          <w:tcPr>
            <w:tcW w:w="563" w:type="pct"/>
            <w:shd w:val="clear" w:color="auto" w:fill="D9D9D9" w:themeFill="background1" w:themeFillShade="D9"/>
          </w:tcPr>
          <w:p w:rsidR="00BD27FA" w:rsidRPr="00BD27FA" w:rsidRDefault="00BD27FA" w:rsidP="00C76B67">
            <w:pPr>
              <w:pStyle w:val="TableBodyText"/>
              <w:rPr>
                <w:sz w:val="18"/>
                <w:szCs w:val="18"/>
              </w:rPr>
            </w:pPr>
            <w:r w:rsidRPr="00BD27FA">
              <w:rPr>
                <w:sz w:val="18"/>
                <w:szCs w:val="18"/>
              </w:rPr>
              <w:t>58.4</w:t>
            </w:r>
          </w:p>
        </w:tc>
      </w:tr>
      <w:tr w:rsidR="00BD27FA" w:rsidRPr="00E4707B" w:rsidTr="00BD27FA">
        <w:tc>
          <w:tcPr>
            <w:tcW w:w="1617" w:type="pct"/>
            <w:vAlign w:val="center"/>
          </w:tcPr>
          <w:p w:rsidR="00BD27FA" w:rsidRPr="00E4707B" w:rsidRDefault="00BD27FA" w:rsidP="006A50C8">
            <w:pPr>
              <w:pStyle w:val="TableBodyText"/>
              <w:jc w:val="left"/>
              <w:rPr>
                <w:sz w:val="18"/>
                <w:szCs w:val="18"/>
              </w:rPr>
            </w:pPr>
            <w:r w:rsidRPr="00E4707B">
              <w:rPr>
                <w:sz w:val="18"/>
                <w:szCs w:val="18"/>
              </w:rPr>
              <w:t>Other livestock farming</w:t>
            </w:r>
          </w:p>
        </w:tc>
        <w:tc>
          <w:tcPr>
            <w:tcW w:w="563" w:type="pct"/>
          </w:tcPr>
          <w:p w:rsidR="00BD27FA" w:rsidRPr="00B03E4B" w:rsidRDefault="00BD27FA" w:rsidP="00845835">
            <w:pPr>
              <w:pStyle w:val="TableBodyText"/>
              <w:rPr>
                <w:sz w:val="18"/>
                <w:szCs w:val="18"/>
              </w:rPr>
            </w:pPr>
            <w:r>
              <w:rPr>
                <w:sz w:val="18"/>
                <w:szCs w:val="18"/>
              </w:rPr>
              <w:t>–</w:t>
            </w:r>
          </w:p>
        </w:tc>
        <w:tc>
          <w:tcPr>
            <w:tcW w:w="563" w:type="pct"/>
            <w:gridSpan w:val="2"/>
          </w:tcPr>
          <w:p w:rsidR="00BD27FA" w:rsidRPr="00B03E4B" w:rsidRDefault="00BD27FA" w:rsidP="006A50C8">
            <w:pPr>
              <w:pStyle w:val="TableBodyText"/>
              <w:rPr>
                <w:sz w:val="18"/>
                <w:szCs w:val="18"/>
              </w:rPr>
            </w:pPr>
            <w:r w:rsidRPr="00B03E4B">
              <w:rPr>
                <w:sz w:val="18"/>
                <w:szCs w:val="18"/>
              </w:rPr>
              <w:t>-4.0</w:t>
            </w:r>
          </w:p>
        </w:tc>
        <w:tc>
          <w:tcPr>
            <w:tcW w:w="563" w:type="pct"/>
            <w:gridSpan w:val="2"/>
            <w:shd w:val="clear" w:color="auto" w:fill="D9D9D9" w:themeFill="background1" w:themeFillShade="D9"/>
          </w:tcPr>
          <w:p w:rsidR="00BD27FA" w:rsidRPr="00B03E4B" w:rsidRDefault="00BD27FA" w:rsidP="006A50C8">
            <w:pPr>
              <w:pStyle w:val="TableBodyText"/>
              <w:rPr>
                <w:sz w:val="18"/>
                <w:szCs w:val="18"/>
              </w:rPr>
            </w:pPr>
            <w:r w:rsidRPr="00B03E4B">
              <w:rPr>
                <w:sz w:val="18"/>
                <w:szCs w:val="18"/>
              </w:rPr>
              <w:t>-4.0</w:t>
            </w:r>
          </w:p>
        </w:tc>
        <w:tc>
          <w:tcPr>
            <w:tcW w:w="566" w:type="pct"/>
            <w:gridSpan w:val="2"/>
          </w:tcPr>
          <w:p w:rsidR="00BD27FA" w:rsidRPr="00BD27FA" w:rsidRDefault="00BD27FA" w:rsidP="004A3015">
            <w:pPr>
              <w:pStyle w:val="TableBodyText"/>
              <w:rPr>
                <w:sz w:val="18"/>
                <w:szCs w:val="18"/>
              </w:rPr>
            </w:pPr>
            <w:r w:rsidRPr="00BD27FA">
              <w:rPr>
                <w:sz w:val="18"/>
                <w:szCs w:val="18"/>
              </w:rPr>
              <w:t>22.2</w:t>
            </w:r>
          </w:p>
        </w:tc>
        <w:tc>
          <w:tcPr>
            <w:tcW w:w="565" w:type="pct"/>
          </w:tcPr>
          <w:p w:rsidR="00BD27FA" w:rsidRPr="00BD27FA" w:rsidRDefault="00BD27FA" w:rsidP="004A3015">
            <w:pPr>
              <w:pStyle w:val="TableBodyText"/>
              <w:rPr>
                <w:sz w:val="18"/>
                <w:szCs w:val="18"/>
              </w:rPr>
            </w:pPr>
            <w:r w:rsidRPr="00BD27FA">
              <w:rPr>
                <w:sz w:val="18"/>
                <w:szCs w:val="18"/>
              </w:rPr>
              <w:t>24.5</w:t>
            </w:r>
          </w:p>
        </w:tc>
        <w:tc>
          <w:tcPr>
            <w:tcW w:w="563" w:type="pct"/>
            <w:shd w:val="clear" w:color="auto" w:fill="D9D9D9" w:themeFill="background1" w:themeFillShade="D9"/>
          </w:tcPr>
          <w:p w:rsidR="00BD27FA" w:rsidRPr="00BD27FA" w:rsidRDefault="00BD27FA" w:rsidP="00C76B67">
            <w:pPr>
              <w:pStyle w:val="TableBodyText"/>
              <w:rPr>
                <w:sz w:val="18"/>
                <w:szCs w:val="18"/>
              </w:rPr>
            </w:pPr>
            <w:r w:rsidRPr="00BD27FA">
              <w:rPr>
                <w:sz w:val="18"/>
                <w:szCs w:val="18"/>
              </w:rPr>
              <w:t>42.6</w:t>
            </w:r>
          </w:p>
        </w:tc>
      </w:tr>
      <w:tr w:rsidR="00BD27FA" w:rsidRPr="00E4707B" w:rsidTr="00BD27FA">
        <w:tc>
          <w:tcPr>
            <w:tcW w:w="1617" w:type="pct"/>
            <w:vAlign w:val="center"/>
          </w:tcPr>
          <w:p w:rsidR="00BD27FA" w:rsidRPr="00E4707B" w:rsidRDefault="00BD27FA" w:rsidP="006A50C8">
            <w:pPr>
              <w:pStyle w:val="TableBodyText"/>
              <w:jc w:val="left"/>
              <w:rPr>
                <w:sz w:val="18"/>
                <w:szCs w:val="18"/>
              </w:rPr>
            </w:pPr>
            <w:r w:rsidRPr="00E4707B">
              <w:rPr>
                <w:sz w:val="18"/>
                <w:szCs w:val="18"/>
              </w:rPr>
              <w:t>Aquaculture and fishing</w:t>
            </w:r>
          </w:p>
        </w:tc>
        <w:tc>
          <w:tcPr>
            <w:tcW w:w="563" w:type="pct"/>
          </w:tcPr>
          <w:p w:rsidR="00BD27FA" w:rsidRPr="00B03E4B" w:rsidRDefault="00BD27FA" w:rsidP="006A50C8">
            <w:pPr>
              <w:pStyle w:val="TableBodyText"/>
              <w:rPr>
                <w:sz w:val="18"/>
                <w:szCs w:val="18"/>
              </w:rPr>
            </w:pPr>
            <w:r w:rsidRPr="00B03E4B">
              <w:rPr>
                <w:sz w:val="18"/>
                <w:szCs w:val="18"/>
              </w:rPr>
              <w:t>0.8</w:t>
            </w:r>
          </w:p>
        </w:tc>
        <w:tc>
          <w:tcPr>
            <w:tcW w:w="563" w:type="pct"/>
            <w:gridSpan w:val="2"/>
          </w:tcPr>
          <w:p w:rsidR="00BD27FA" w:rsidRPr="00B03E4B" w:rsidRDefault="00BD27FA" w:rsidP="006A50C8">
            <w:pPr>
              <w:pStyle w:val="TableBodyText"/>
              <w:rPr>
                <w:sz w:val="18"/>
                <w:szCs w:val="18"/>
              </w:rPr>
            </w:pPr>
            <w:r w:rsidRPr="00B03E4B">
              <w:rPr>
                <w:sz w:val="18"/>
                <w:szCs w:val="18"/>
              </w:rPr>
              <w:t>-13.1</w:t>
            </w:r>
          </w:p>
        </w:tc>
        <w:tc>
          <w:tcPr>
            <w:tcW w:w="563" w:type="pct"/>
            <w:gridSpan w:val="2"/>
            <w:shd w:val="clear" w:color="auto" w:fill="D9D9D9" w:themeFill="background1" w:themeFillShade="D9"/>
          </w:tcPr>
          <w:p w:rsidR="00BD27FA" w:rsidRPr="00B03E4B" w:rsidRDefault="00BD27FA" w:rsidP="006A50C8">
            <w:pPr>
              <w:pStyle w:val="TableBodyText"/>
              <w:rPr>
                <w:sz w:val="18"/>
                <w:szCs w:val="18"/>
              </w:rPr>
            </w:pPr>
            <w:r w:rsidRPr="00B03E4B">
              <w:rPr>
                <w:sz w:val="18"/>
                <w:szCs w:val="18"/>
              </w:rPr>
              <w:t>-12.2</w:t>
            </w:r>
          </w:p>
        </w:tc>
        <w:tc>
          <w:tcPr>
            <w:tcW w:w="566" w:type="pct"/>
            <w:gridSpan w:val="2"/>
          </w:tcPr>
          <w:p w:rsidR="00BD27FA" w:rsidRPr="00BD27FA" w:rsidRDefault="00BD27FA" w:rsidP="00295C4B">
            <w:pPr>
              <w:pStyle w:val="TableBodyText"/>
              <w:rPr>
                <w:sz w:val="18"/>
                <w:szCs w:val="18"/>
              </w:rPr>
            </w:pPr>
            <w:r w:rsidRPr="00BD27FA">
              <w:rPr>
                <w:sz w:val="18"/>
                <w:szCs w:val="18"/>
              </w:rPr>
              <w:t>52.4</w:t>
            </w:r>
          </w:p>
        </w:tc>
        <w:tc>
          <w:tcPr>
            <w:tcW w:w="565" w:type="pct"/>
          </w:tcPr>
          <w:p w:rsidR="00BD27FA" w:rsidRPr="00BD27FA" w:rsidRDefault="00BD27FA" w:rsidP="004A3015">
            <w:pPr>
              <w:pStyle w:val="TableBodyText"/>
              <w:rPr>
                <w:sz w:val="18"/>
                <w:szCs w:val="18"/>
              </w:rPr>
            </w:pPr>
            <w:r w:rsidRPr="00BD27FA">
              <w:rPr>
                <w:sz w:val="18"/>
                <w:szCs w:val="18"/>
              </w:rPr>
              <w:t>14.3</w:t>
            </w:r>
          </w:p>
        </w:tc>
        <w:tc>
          <w:tcPr>
            <w:tcW w:w="563" w:type="pct"/>
            <w:shd w:val="clear" w:color="auto" w:fill="D9D9D9" w:themeFill="background1" w:themeFillShade="D9"/>
          </w:tcPr>
          <w:p w:rsidR="00BD27FA" w:rsidRPr="00BD27FA" w:rsidRDefault="00BD27FA" w:rsidP="00295C4B">
            <w:pPr>
              <w:pStyle w:val="TableBodyText"/>
              <w:rPr>
                <w:sz w:val="18"/>
                <w:szCs w:val="18"/>
              </w:rPr>
            </w:pPr>
            <w:r w:rsidRPr="00BD27FA">
              <w:rPr>
                <w:sz w:val="18"/>
                <w:szCs w:val="18"/>
              </w:rPr>
              <w:t>54.5</w:t>
            </w:r>
          </w:p>
        </w:tc>
      </w:tr>
      <w:tr w:rsidR="00BD27FA" w:rsidRPr="00E4707B" w:rsidTr="00BD27FA">
        <w:tc>
          <w:tcPr>
            <w:tcW w:w="1617" w:type="pct"/>
            <w:vAlign w:val="center"/>
          </w:tcPr>
          <w:p w:rsidR="00BD27FA" w:rsidRPr="00E4707B" w:rsidRDefault="00BD27FA" w:rsidP="006A50C8">
            <w:pPr>
              <w:pStyle w:val="TableBodyText"/>
              <w:jc w:val="left"/>
              <w:rPr>
                <w:sz w:val="18"/>
                <w:szCs w:val="18"/>
              </w:rPr>
            </w:pPr>
            <w:r w:rsidRPr="00E4707B">
              <w:rPr>
                <w:sz w:val="18"/>
                <w:szCs w:val="18"/>
              </w:rPr>
              <w:t>Forestry and logging</w:t>
            </w:r>
          </w:p>
        </w:tc>
        <w:tc>
          <w:tcPr>
            <w:tcW w:w="563" w:type="pct"/>
          </w:tcPr>
          <w:p w:rsidR="00BD27FA" w:rsidRPr="00B03E4B" w:rsidRDefault="00BD27FA" w:rsidP="006A50C8">
            <w:pPr>
              <w:pStyle w:val="TableBodyText"/>
              <w:rPr>
                <w:sz w:val="18"/>
                <w:szCs w:val="18"/>
              </w:rPr>
            </w:pPr>
            <w:r w:rsidRPr="00B03E4B">
              <w:rPr>
                <w:sz w:val="18"/>
                <w:szCs w:val="18"/>
              </w:rPr>
              <w:t>52.3</w:t>
            </w:r>
          </w:p>
        </w:tc>
        <w:tc>
          <w:tcPr>
            <w:tcW w:w="563" w:type="pct"/>
            <w:gridSpan w:val="2"/>
          </w:tcPr>
          <w:p w:rsidR="00BD27FA" w:rsidRPr="00B03E4B" w:rsidRDefault="00BD27FA" w:rsidP="006A50C8">
            <w:pPr>
              <w:pStyle w:val="TableBodyText"/>
              <w:rPr>
                <w:sz w:val="18"/>
                <w:szCs w:val="18"/>
              </w:rPr>
            </w:pPr>
            <w:r w:rsidRPr="00B03E4B">
              <w:rPr>
                <w:sz w:val="18"/>
                <w:szCs w:val="18"/>
              </w:rPr>
              <w:t>-10.3</w:t>
            </w:r>
          </w:p>
        </w:tc>
        <w:tc>
          <w:tcPr>
            <w:tcW w:w="563" w:type="pct"/>
            <w:gridSpan w:val="2"/>
            <w:shd w:val="clear" w:color="auto" w:fill="D9D9D9" w:themeFill="background1" w:themeFillShade="D9"/>
          </w:tcPr>
          <w:p w:rsidR="00BD27FA" w:rsidRPr="00B03E4B" w:rsidRDefault="00BD27FA" w:rsidP="006A50C8">
            <w:pPr>
              <w:pStyle w:val="TableBodyText"/>
              <w:rPr>
                <w:sz w:val="18"/>
                <w:szCs w:val="18"/>
              </w:rPr>
            </w:pPr>
            <w:r w:rsidRPr="00B03E4B">
              <w:rPr>
                <w:sz w:val="18"/>
                <w:szCs w:val="18"/>
              </w:rPr>
              <w:t>41.9</w:t>
            </w:r>
          </w:p>
        </w:tc>
        <w:tc>
          <w:tcPr>
            <w:tcW w:w="566" w:type="pct"/>
            <w:gridSpan w:val="2"/>
          </w:tcPr>
          <w:p w:rsidR="00BD27FA" w:rsidRPr="00BD27FA" w:rsidRDefault="00BD27FA" w:rsidP="00295C4B">
            <w:pPr>
              <w:pStyle w:val="TableBodyText"/>
              <w:rPr>
                <w:sz w:val="18"/>
                <w:szCs w:val="18"/>
              </w:rPr>
            </w:pPr>
            <w:r w:rsidRPr="00BD27FA">
              <w:rPr>
                <w:sz w:val="18"/>
                <w:szCs w:val="18"/>
              </w:rPr>
              <w:t>60.2</w:t>
            </w:r>
          </w:p>
        </w:tc>
        <w:tc>
          <w:tcPr>
            <w:tcW w:w="565" w:type="pct"/>
          </w:tcPr>
          <w:p w:rsidR="00BD27FA" w:rsidRPr="00BD27FA" w:rsidRDefault="00BD27FA" w:rsidP="004A3015">
            <w:pPr>
              <w:pStyle w:val="TableBodyText"/>
              <w:rPr>
                <w:sz w:val="18"/>
                <w:szCs w:val="18"/>
              </w:rPr>
            </w:pPr>
            <w:r w:rsidRPr="00BD27FA">
              <w:rPr>
                <w:sz w:val="18"/>
                <w:szCs w:val="18"/>
              </w:rPr>
              <w:t>17.6</w:t>
            </w:r>
          </w:p>
        </w:tc>
        <w:tc>
          <w:tcPr>
            <w:tcW w:w="563" w:type="pct"/>
            <w:shd w:val="clear" w:color="auto" w:fill="D9D9D9" w:themeFill="background1" w:themeFillShade="D9"/>
          </w:tcPr>
          <w:p w:rsidR="00BD27FA" w:rsidRPr="00BD27FA" w:rsidRDefault="00BD27FA" w:rsidP="00295C4B">
            <w:pPr>
              <w:pStyle w:val="TableBodyText"/>
              <w:rPr>
                <w:sz w:val="18"/>
                <w:szCs w:val="18"/>
              </w:rPr>
            </w:pPr>
            <w:r w:rsidRPr="00BD27FA">
              <w:rPr>
                <w:sz w:val="18"/>
                <w:szCs w:val="18"/>
              </w:rPr>
              <w:t>119.7</w:t>
            </w:r>
          </w:p>
        </w:tc>
      </w:tr>
      <w:tr w:rsidR="00BD27FA" w:rsidRPr="00E4707B" w:rsidTr="00BD27FA">
        <w:tc>
          <w:tcPr>
            <w:tcW w:w="1617" w:type="pct"/>
            <w:vAlign w:val="center"/>
          </w:tcPr>
          <w:p w:rsidR="00BD27FA" w:rsidRPr="00E4707B" w:rsidRDefault="00BD27FA" w:rsidP="006A50C8">
            <w:pPr>
              <w:pStyle w:val="TableBodyText"/>
              <w:jc w:val="left"/>
              <w:rPr>
                <w:sz w:val="18"/>
                <w:szCs w:val="18"/>
              </w:rPr>
            </w:pPr>
            <w:r w:rsidRPr="00E4707B">
              <w:rPr>
                <w:sz w:val="18"/>
                <w:szCs w:val="18"/>
              </w:rPr>
              <w:t>Primary production services</w:t>
            </w:r>
          </w:p>
        </w:tc>
        <w:tc>
          <w:tcPr>
            <w:tcW w:w="563" w:type="pct"/>
          </w:tcPr>
          <w:p w:rsidR="00BD27FA" w:rsidRPr="00B03E4B" w:rsidRDefault="00BD27FA" w:rsidP="006A50C8">
            <w:pPr>
              <w:pStyle w:val="TableBodyText"/>
              <w:rPr>
                <w:sz w:val="18"/>
                <w:szCs w:val="18"/>
              </w:rPr>
            </w:pPr>
            <w:r>
              <w:rPr>
                <w:sz w:val="18"/>
                <w:szCs w:val="18"/>
              </w:rPr>
              <w:t>–</w:t>
            </w:r>
          </w:p>
        </w:tc>
        <w:tc>
          <w:tcPr>
            <w:tcW w:w="563" w:type="pct"/>
            <w:gridSpan w:val="2"/>
          </w:tcPr>
          <w:p w:rsidR="00BD27FA" w:rsidRPr="00B03E4B" w:rsidRDefault="00BD27FA" w:rsidP="006A50C8">
            <w:pPr>
              <w:pStyle w:val="TableBodyText"/>
              <w:rPr>
                <w:sz w:val="18"/>
                <w:szCs w:val="18"/>
              </w:rPr>
            </w:pPr>
            <w:r w:rsidRPr="00B03E4B">
              <w:rPr>
                <w:sz w:val="18"/>
                <w:szCs w:val="18"/>
              </w:rPr>
              <w:t>-13.8</w:t>
            </w:r>
          </w:p>
        </w:tc>
        <w:tc>
          <w:tcPr>
            <w:tcW w:w="563" w:type="pct"/>
            <w:gridSpan w:val="2"/>
            <w:shd w:val="clear" w:color="auto" w:fill="D9D9D9" w:themeFill="background1" w:themeFillShade="D9"/>
          </w:tcPr>
          <w:p w:rsidR="00BD27FA" w:rsidRPr="00B03E4B" w:rsidRDefault="00BD27FA" w:rsidP="006A50C8">
            <w:pPr>
              <w:pStyle w:val="TableBodyText"/>
              <w:rPr>
                <w:sz w:val="18"/>
                <w:szCs w:val="18"/>
              </w:rPr>
            </w:pPr>
            <w:r w:rsidRPr="00B03E4B">
              <w:rPr>
                <w:sz w:val="18"/>
                <w:szCs w:val="18"/>
              </w:rPr>
              <w:t>-13.8</w:t>
            </w:r>
          </w:p>
        </w:tc>
        <w:tc>
          <w:tcPr>
            <w:tcW w:w="566" w:type="pct"/>
            <w:gridSpan w:val="2"/>
          </w:tcPr>
          <w:p w:rsidR="00BD27FA" w:rsidRPr="00BD27FA" w:rsidRDefault="00BD27FA" w:rsidP="0014396D">
            <w:pPr>
              <w:pStyle w:val="TableBodyText"/>
              <w:rPr>
                <w:sz w:val="18"/>
                <w:szCs w:val="18"/>
              </w:rPr>
            </w:pPr>
            <w:r w:rsidRPr="00BD27FA">
              <w:rPr>
                <w:sz w:val="18"/>
                <w:szCs w:val="18"/>
              </w:rPr>
              <w:t>4.6</w:t>
            </w:r>
          </w:p>
        </w:tc>
        <w:tc>
          <w:tcPr>
            <w:tcW w:w="565" w:type="pct"/>
          </w:tcPr>
          <w:p w:rsidR="00BD27FA" w:rsidRPr="00BD27FA" w:rsidRDefault="00BD27FA" w:rsidP="004A3015">
            <w:pPr>
              <w:pStyle w:val="TableBodyText"/>
              <w:rPr>
                <w:sz w:val="18"/>
                <w:szCs w:val="18"/>
              </w:rPr>
            </w:pPr>
            <w:r w:rsidRPr="00BD27FA">
              <w:rPr>
                <w:sz w:val="18"/>
                <w:szCs w:val="18"/>
              </w:rPr>
              <w:t>14.6</w:t>
            </w:r>
          </w:p>
        </w:tc>
        <w:tc>
          <w:tcPr>
            <w:tcW w:w="563" w:type="pct"/>
            <w:shd w:val="clear" w:color="auto" w:fill="D9D9D9" w:themeFill="background1" w:themeFillShade="D9"/>
          </w:tcPr>
          <w:p w:rsidR="00BD27FA" w:rsidRPr="00BD27FA" w:rsidRDefault="00BD27FA" w:rsidP="00C76B67">
            <w:pPr>
              <w:pStyle w:val="TableBodyText"/>
              <w:rPr>
                <w:sz w:val="18"/>
                <w:szCs w:val="18"/>
              </w:rPr>
            </w:pPr>
            <w:r w:rsidRPr="00BD27FA">
              <w:rPr>
                <w:sz w:val="18"/>
                <w:szCs w:val="18"/>
              </w:rPr>
              <w:t>5.4</w:t>
            </w:r>
          </w:p>
        </w:tc>
      </w:tr>
      <w:tr w:rsidR="00BD27FA" w:rsidRPr="00E4707B" w:rsidTr="00BD27FA">
        <w:tc>
          <w:tcPr>
            <w:tcW w:w="1617" w:type="pct"/>
            <w:vAlign w:val="center"/>
          </w:tcPr>
          <w:p w:rsidR="00BD27FA" w:rsidRPr="00E4707B" w:rsidRDefault="00BD27FA" w:rsidP="006A50C8">
            <w:pPr>
              <w:pStyle w:val="TableBodyText"/>
              <w:jc w:val="left"/>
              <w:rPr>
                <w:sz w:val="18"/>
                <w:szCs w:val="18"/>
              </w:rPr>
            </w:pPr>
            <w:r w:rsidRPr="00E4707B">
              <w:rPr>
                <w:sz w:val="18"/>
                <w:szCs w:val="18"/>
              </w:rPr>
              <w:t>Unallocated primary</w:t>
            </w:r>
          </w:p>
        </w:tc>
        <w:tc>
          <w:tcPr>
            <w:tcW w:w="563" w:type="pct"/>
          </w:tcPr>
          <w:p w:rsidR="00BD27FA" w:rsidRPr="00B03E4B" w:rsidRDefault="00BD27FA" w:rsidP="006A50C8">
            <w:pPr>
              <w:pStyle w:val="TableBodyText"/>
              <w:rPr>
                <w:sz w:val="18"/>
                <w:szCs w:val="18"/>
              </w:rPr>
            </w:pPr>
            <w:r>
              <w:rPr>
                <w:sz w:val="18"/>
                <w:szCs w:val="18"/>
              </w:rPr>
              <w:t>–</w:t>
            </w:r>
          </w:p>
        </w:tc>
        <w:tc>
          <w:tcPr>
            <w:tcW w:w="563" w:type="pct"/>
            <w:gridSpan w:val="2"/>
          </w:tcPr>
          <w:p w:rsidR="00BD27FA" w:rsidRPr="00B03E4B" w:rsidRDefault="00BD27FA" w:rsidP="00E53072">
            <w:pPr>
              <w:pStyle w:val="TableBodyText"/>
              <w:rPr>
                <w:sz w:val="18"/>
                <w:szCs w:val="18"/>
              </w:rPr>
            </w:pPr>
            <w:r>
              <w:rPr>
                <w:sz w:val="18"/>
                <w:szCs w:val="18"/>
              </w:rPr>
              <w:t>–</w:t>
            </w:r>
          </w:p>
        </w:tc>
        <w:tc>
          <w:tcPr>
            <w:tcW w:w="563" w:type="pct"/>
            <w:gridSpan w:val="2"/>
            <w:shd w:val="clear" w:color="auto" w:fill="D9D9D9" w:themeFill="background1" w:themeFillShade="D9"/>
          </w:tcPr>
          <w:p w:rsidR="00BD27FA" w:rsidRPr="00B03E4B" w:rsidRDefault="00BD27FA" w:rsidP="004A3015">
            <w:pPr>
              <w:pStyle w:val="TableBodyText"/>
              <w:rPr>
                <w:sz w:val="18"/>
                <w:szCs w:val="18"/>
              </w:rPr>
            </w:pPr>
            <w:r>
              <w:rPr>
                <w:sz w:val="18"/>
                <w:szCs w:val="18"/>
              </w:rPr>
              <w:t>–</w:t>
            </w:r>
          </w:p>
        </w:tc>
        <w:tc>
          <w:tcPr>
            <w:tcW w:w="566" w:type="pct"/>
            <w:gridSpan w:val="2"/>
          </w:tcPr>
          <w:p w:rsidR="00BD27FA" w:rsidRPr="00BD27FA" w:rsidRDefault="00BD27FA" w:rsidP="00295C4B">
            <w:pPr>
              <w:pStyle w:val="TableBodyText"/>
              <w:rPr>
                <w:sz w:val="18"/>
                <w:szCs w:val="18"/>
              </w:rPr>
            </w:pPr>
            <w:r w:rsidRPr="00BD27FA">
              <w:rPr>
                <w:sz w:val="18"/>
                <w:szCs w:val="18"/>
              </w:rPr>
              <w:t>395.8</w:t>
            </w:r>
          </w:p>
        </w:tc>
        <w:tc>
          <w:tcPr>
            <w:tcW w:w="565" w:type="pct"/>
          </w:tcPr>
          <w:p w:rsidR="00BD27FA" w:rsidRPr="00BD27FA" w:rsidRDefault="00BD27FA" w:rsidP="004A3015">
            <w:pPr>
              <w:pStyle w:val="TableBodyText"/>
              <w:rPr>
                <w:sz w:val="18"/>
                <w:szCs w:val="18"/>
              </w:rPr>
            </w:pPr>
            <w:r w:rsidRPr="00BD27FA">
              <w:rPr>
                <w:sz w:val="18"/>
                <w:szCs w:val="18"/>
              </w:rPr>
              <w:t>1.8</w:t>
            </w:r>
          </w:p>
        </w:tc>
        <w:tc>
          <w:tcPr>
            <w:tcW w:w="563" w:type="pct"/>
            <w:shd w:val="clear" w:color="auto" w:fill="D9D9D9" w:themeFill="background1" w:themeFillShade="D9"/>
          </w:tcPr>
          <w:p w:rsidR="00BD27FA" w:rsidRPr="00BD27FA" w:rsidRDefault="00BD27FA" w:rsidP="00295C4B">
            <w:pPr>
              <w:pStyle w:val="TableBodyText"/>
              <w:rPr>
                <w:sz w:val="18"/>
                <w:szCs w:val="18"/>
              </w:rPr>
            </w:pPr>
            <w:r w:rsidRPr="00BD27FA">
              <w:rPr>
                <w:sz w:val="18"/>
                <w:szCs w:val="18"/>
              </w:rPr>
              <w:t>397.6</w:t>
            </w:r>
          </w:p>
        </w:tc>
      </w:tr>
      <w:tr w:rsidR="00BD27FA" w:rsidRPr="00E4707B" w:rsidTr="00BD27FA">
        <w:trPr>
          <w:trHeight w:val="283"/>
        </w:trPr>
        <w:tc>
          <w:tcPr>
            <w:tcW w:w="1617" w:type="pct"/>
            <w:vAlign w:val="center"/>
          </w:tcPr>
          <w:p w:rsidR="00BD27FA" w:rsidRPr="00E4707B" w:rsidRDefault="00BD27FA" w:rsidP="006A50C8">
            <w:pPr>
              <w:pStyle w:val="TableBodyText"/>
              <w:jc w:val="left"/>
              <w:rPr>
                <w:b/>
                <w:sz w:val="18"/>
                <w:szCs w:val="18"/>
              </w:rPr>
            </w:pPr>
            <w:r w:rsidRPr="00E4707B">
              <w:rPr>
                <w:b/>
                <w:sz w:val="18"/>
                <w:szCs w:val="18"/>
              </w:rPr>
              <w:t>Mining</w:t>
            </w:r>
          </w:p>
        </w:tc>
        <w:tc>
          <w:tcPr>
            <w:tcW w:w="563" w:type="pct"/>
          </w:tcPr>
          <w:p w:rsidR="00BD27FA" w:rsidRPr="00B03E4B" w:rsidRDefault="00BD27FA" w:rsidP="006A50C8">
            <w:pPr>
              <w:pStyle w:val="TableBodyText"/>
              <w:rPr>
                <w:b/>
                <w:sz w:val="18"/>
                <w:szCs w:val="18"/>
              </w:rPr>
            </w:pPr>
            <w:r w:rsidRPr="00B03E4B">
              <w:rPr>
                <w:b/>
                <w:sz w:val="18"/>
                <w:szCs w:val="18"/>
              </w:rPr>
              <w:t>1.0</w:t>
            </w:r>
          </w:p>
        </w:tc>
        <w:tc>
          <w:tcPr>
            <w:tcW w:w="563" w:type="pct"/>
            <w:gridSpan w:val="2"/>
          </w:tcPr>
          <w:p w:rsidR="00BD27FA" w:rsidRPr="00B03E4B" w:rsidRDefault="00BD27FA" w:rsidP="006A50C8">
            <w:pPr>
              <w:pStyle w:val="TableBodyText"/>
              <w:rPr>
                <w:b/>
                <w:sz w:val="18"/>
                <w:szCs w:val="18"/>
              </w:rPr>
            </w:pPr>
            <w:r w:rsidRPr="00B03E4B">
              <w:rPr>
                <w:b/>
                <w:sz w:val="18"/>
                <w:szCs w:val="18"/>
              </w:rPr>
              <w:t>-208.5</w:t>
            </w:r>
          </w:p>
        </w:tc>
        <w:tc>
          <w:tcPr>
            <w:tcW w:w="563" w:type="pct"/>
            <w:gridSpan w:val="2"/>
            <w:shd w:val="clear" w:color="auto" w:fill="D9D9D9" w:themeFill="background1" w:themeFillShade="D9"/>
          </w:tcPr>
          <w:p w:rsidR="00BD27FA" w:rsidRPr="00B03E4B" w:rsidRDefault="00BD27FA" w:rsidP="006A50C8">
            <w:pPr>
              <w:pStyle w:val="TableBodyText"/>
              <w:rPr>
                <w:b/>
                <w:sz w:val="18"/>
                <w:szCs w:val="18"/>
              </w:rPr>
            </w:pPr>
            <w:r w:rsidRPr="00B03E4B">
              <w:rPr>
                <w:b/>
                <w:sz w:val="18"/>
                <w:szCs w:val="18"/>
              </w:rPr>
              <w:t>-207.5</w:t>
            </w:r>
          </w:p>
        </w:tc>
        <w:tc>
          <w:tcPr>
            <w:tcW w:w="566" w:type="pct"/>
            <w:gridSpan w:val="2"/>
          </w:tcPr>
          <w:p w:rsidR="00BD27FA" w:rsidRPr="00BD27FA" w:rsidRDefault="00BD27FA" w:rsidP="0014396D">
            <w:pPr>
              <w:pStyle w:val="TableBodyText"/>
              <w:rPr>
                <w:b/>
                <w:sz w:val="18"/>
                <w:szCs w:val="18"/>
              </w:rPr>
            </w:pPr>
            <w:r w:rsidRPr="00BD27FA">
              <w:rPr>
                <w:b/>
                <w:sz w:val="18"/>
                <w:szCs w:val="18"/>
              </w:rPr>
              <w:t>400.9</w:t>
            </w:r>
          </w:p>
        </w:tc>
        <w:tc>
          <w:tcPr>
            <w:tcW w:w="565" w:type="pct"/>
          </w:tcPr>
          <w:p w:rsidR="00BD27FA" w:rsidRPr="00BD27FA" w:rsidRDefault="00BD27FA" w:rsidP="004A3015">
            <w:pPr>
              <w:pStyle w:val="TableBodyText"/>
              <w:rPr>
                <w:b/>
                <w:sz w:val="18"/>
                <w:szCs w:val="18"/>
              </w:rPr>
            </w:pPr>
            <w:r w:rsidRPr="00BD27FA">
              <w:rPr>
                <w:b/>
                <w:sz w:val="18"/>
                <w:szCs w:val="18"/>
              </w:rPr>
              <w:t>299.5</w:t>
            </w:r>
          </w:p>
        </w:tc>
        <w:tc>
          <w:tcPr>
            <w:tcW w:w="563" w:type="pct"/>
            <w:shd w:val="clear" w:color="auto" w:fill="D9D9D9" w:themeFill="background1" w:themeFillShade="D9"/>
          </w:tcPr>
          <w:p w:rsidR="00BD27FA" w:rsidRPr="00BD27FA" w:rsidRDefault="00BD27FA" w:rsidP="0014396D">
            <w:pPr>
              <w:pStyle w:val="TableBodyText"/>
              <w:rPr>
                <w:b/>
                <w:sz w:val="18"/>
                <w:szCs w:val="18"/>
              </w:rPr>
            </w:pPr>
            <w:r w:rsidRPr="00BD27FA">
              <w:rPr>
                <w:b/>
                <w:sz w:val="18"/>
                <w:szCs w:val="18"/>
              </w:rPr>
              <w:t>492.8</w:t>
            </w:r>
          </w:p>
        </w:tc>
      </w:tr>
      <w:tr w:rsidR="00BD27FA" w:rsidRPr="00E4707B" w:rsidTr="00BD27FA">
        <w:trPr>
          <w:trHeight w:val="283"/>
        </w:trPr>
        <w:tc>
          <w:tcPr>
            <w:tcW w:w="1617" w:type="pct"/>
            <w:vAlign w:val="center"/>
          </w:tcPr>
          <w:p w:rsidR="00BD27FA" w:rsidRPr="00E4707B" w:rsidRDefault="00BD27FA" w:rsidP="006A50C8">
            <w:pPr>
              <w:pStyle w:val="TableBodyText"/>
              <w:jc w:val="left"/>
              <w:rPr>
                <w:b/>
                <w:sz w:val="18"/>
                <w:szCs w:val="18"/>
              </w:rPr>
            </w:pPr>
            <w:r w:rsidRPr="00E4707B">
              <w:rPr>
                <w:b/>
                <w:sz w:val="18"/>
                <w:szCs w:val="18"/>
              </w:rPr>
              <w:t>Manufacturing</w:t>
            </w:r>
          </w:p>
        </w:tc>
        <w:tc>
          <w:tcPr>
            <w:tcW w:w="563" w:type="pct"/>
          </w:tcPr>
          <w:p w:rsidR="00BD27FA" w:rsidRPr="00B03E4B" w:rsidRDefault="00BD27FA" w:rsidP="006A50C8">
            <w:pPr>
              <w:pStyle w:val="TableBodyText"/>
              <w:rPr>
                <w:b/>
                <w:sz w:val="18"/>
                <w:szCs w:val="18"/>
              </w:rPr>
            </w:pPr>
            <w:r w:rsidRPr="00B03E4B">
              <w:rPr>
                <w:b/>
                <w:sz w:val="18"/>
                <w:szCs w:val="18"/>
              </w:rPr>
              <w:t>7684.5</w:t>
            </w:r>
          </w:p>
        </w:tc>
        <w:tc>
          <w:tcPr>
            <w:tcW w:w="563" w:type="pct"/>
            <w:gridSpan w:val="2"/>
          </w:tcPr>
          <w:p w:rsidR="00BD27FA" w:rsidRPr="00B03E4B" w:rsidRDefault="00BD27FA" w:rsidP="006A50C8">
            <w:pPr>
              <w:pStyle w:val="TableBodyText"/>
              <w:rPr>
                <w:b/>
                <w:sz w:val="18"/>
                <w:szCs w:val="18"/>
              </w:rPr>
            </w:pPr>
            <w:r w:rsidRPr="00B03E4B">
              <w:rPr>
                <w:b/>
                <w:sz w:val="18"/>
                <w:szCs w:val="18"/>
              </w:rPr>
              <w:t>-2083.9</w:t>
            </w:r>
          </w:p>
        </w:tc>
        <w:tc>
          <w:tcPr>
            <w:tcW w:w="563" w:type="pct"/>
            <w:gridSpan w:val="2"/>
            <w:shd w:val="clear" w:color="auto" w:fill="D9D9D9" w:themeFill="background1" w:themeFillShade="D9"/>
          </w:tcPr>
          <w:p w:rsidR="00BD27FA" w:rsidRPr="00B03E4B" w:rsidRDefault="00BD27FA" w:rsidP="006A50C8">
            <w:pPr>
              <w:pStyle w:val="TableBodyText"/>
              <w:rPr>
                <w:b/>
                <w:sz w:val="18"/>
                <w:szCs w:val="18"/>
              </w:rPr>
            </w:pPr>
            <w:r w:rsidRPr="00B03E4B">
              <w:rPr>
                <w:b/>
                <w:sz w:val="18"/>
                <w:szCs w:val="18"/>
              </w:rPr>
              <w:t>5600.7</w:t>
            </w:r>
          </w:p>
        </w:tc>
        <w:tc>
          <w:tcPr>
            <w:tcW w:w="566" w:type="pct"/>
            <w:gridSpan w:val="2"/>
          </w:tcPr>
          <w:p w:rsidR="00BD27FA" w:rsidRPr="00BD27FA" w:rsidRDefault="00BD27FA" w:rsidP="0014396D">
            <w:pPr>
              <w:pStyle w:val="TableBodyText"/>
              <w:rPr>
                <w:b/>
                <w:sz w:val="18"/>
                <w:szCs w:val="18"/>
              </w:rPr>
            </w:pPr>
            <w:r w:rsidRPr="00BD27FA">
              <w:rPr>
                <w:b/>
                <w:sz w:val="18"/>
                <w:szCs w:val="18"/>
              </w:rPr>
              <w:t>1389.9</w:t>
            </w:r>
          </w:p>
        </w:tc>
        <w:tc>
          <w:tcPr>
            <w:tcW w:w="565" w:type="pct"/>
          </w:tcPr>
          <w:p w:rsidR="00BD27FA" w:rsidRPr="00BD27FA" w:rsidRDefault="00BD27FA" w:rsidP="004A3015">
            <w:pPr>
              <w:pStyle w:val="TableBodyText"/>
              <w:rPr>
                <w:b/>
                <w:sz w:val="18"/>
                <w:szCs w:val="18"/>
              </w:rPr>
            </w:pPr>
            <w:r w:rsidRPr="00BD27FA">
              <w:rPr>
                <w:b/>
                <w:sz w:val="18"/>
                <w:szCs w:val="18"/>
              </w:rPr>
              <w:t>362.6</w:t>
            </w:r>
          </w:p>
        </w:tc>
        <w:tc>
          <w:tcPr>
            <w:tcW w:w="563" w:type="pct"/>
            <w:shd w:val="clear" w:color="auto" w:fill="D9D9D9" w:themeFill="background1" w:themeFillShade="D9"/>
          </w:tcPr>
          <w:p w:rsidR="00BD27FA" w:rsidRPr="00BD27FA" w:rsidRDefault="00BD27FA" w:rsidP="0014396D">
            <w:pPr>
              <w:pStyle w:val="TableBodyText"/>
              <w:rPr>
                <w:b/>
                <w:sz w:val="18"/>
                <w:szCs w:val="18"/>
              </w:rPr>
            </w:pPr>
            <w:r w:rsidRPr="00BD27FA">
              <w:rPr>
                <w:b/>
                <w:sz w:val="18"/>
                <w:szCs w:val="18"/>
              </w:rPr>
              <w:t>7353.2</w:t>
            </w:r>
          </w:p>
        </w:tc>
      </w:tr>
      <w:tr w:rsidR="00BD27FA" w:rsidRPr="00E4707B" w:rsidTr="00BD27FA">
        <w:tc>
          <w:tcPr>
            <w:tcW w:w="1617" w:type="pct"/>
            <w:vAlign w:val="center"/>
          </w:tcPr>
          <w:p w:rsidR="00BD27FA" w:rsidRPr="00E4707B" w:rsidRDefault="00BD27FA" w:rsidP="006A50C8">
            <w:pPr>
              <w:pStyle w:val="TableBodyText"/>
              <w:jc w:val="left"/>
              <w:rPr>
                <w:sz w:val="18"/>
                <w:szCs w:val="18"/>
              </w:rPr>
            </w:pPr>
            <w:r w:rsidRPr="00E4707B">
              <w:rPr>
                <w:sz w:val="18"/>
                <w:szCs w:val="18"/>
              </w:rPr>
              <w:t>Food, beverages and tobacco</w:t>
            </w:r>
          </w:p>
        </w:tc>
        <w:tc>
          <w:tcPr>
            <w:tcW w:w="563" w:type="pct"/>
          </w:tcPr>
          <w:p w:rsidR="00BD27FA" w:rsidRPr="00B03E4B" w:rsidRDefault="00BD27FA" w:rsidP="006A50C8">
            <w:pPr>
              <w:pStyle w:val="TableBodyText"/>
              <w:rPr>
                <w:sz w:val="18"/>
                <w:szCs w:val="18"/>
              </w:rPr>
            </w:pPr>
            <w:r w:rsidRPr="00B03E4B">
              <w:rPr>
                <w:sz w:val="18"/>
                <w:szCs w:val="18"/>
              </w:rPr>
              <w:t>1698.5</w:t>
            </w:r>
          </w:p>
        </w:tc>
        <w:tc>
          <w:tcPr>
            <w:tcW w:w="563" w:type="pct"/>
            <w:gridSpan w:val="2"/>
          </w:tcPr>
          <w:p w:rsidR="00BD27FA" w:rsidRPr="00B03E4B" w:rsidRDefault="00BD27FA" w:rsidP="006A50C8">
            <w:pPr>
              <w:pStyle w:val="TableBodyText"/>
              <w:rPr>
                <w:sz w:val="18"/>
                <w:szCs w:val="18"/>
              </w:rPr>
            </w:pPr>
            <w:r w:rsidRPr="00B03E4B">
              <w:rPr>
                <w:sz w:val="18"/>
                <w:szCs w:val="18"/>
              </w:rPr>
              <w:t>-486.4</w:t>
            </w:r>
          </w:p>
        </w:tc>
        <w:tc>
          <w:tcPr>
            <w:tcW w:w="563" w:type="pct"/>
            <w:gridSpan w:val="2"/>
            <w:shd w:val="clear" w:color="auto" w:fill="D9D9D9" w:themeFill="background1" w:themeFillShade="D9"/>
          </w:tcPr>
          <w:p w:rsidR="00BD27FA" w:rsidRPr="00B03E4B" w:rsidRDefault="00BD27FA" w:rsidP="006A50C8">
            <w:pPr>
              <w:pStyle w:val="TableBodyText"/>
              <w:rPr>
                <w:sz w:val="18"/>
                <w:szCs w:val="18"/>
              </w:rPr>
            </w:pPr>
            <w:r w:rsidRPr="00B03E4B">
              <w:rPr>
                <w:sz w:val="18"/>
                <w:szCs w:val="18"/>
              </w:rPr>
              <w:t>1212.1</w:t>
            </w:r>
          </w:p>
        </w:tc>
        <w:tc>
          <w:tcPr>
            <w:tcW w:w="566" w:type="pct"/>
            <w:gridSpan w:val="2"/>
          </w:tcPr>
          <w:p w:rsidR="00BD27FA" w:rsidRPr="00BD27FA" w:rsidRDefault="00BD27FA" w:rsidP="0014396D">
            <w:pPr>
              <w:pStyle w:val="TableBodyText"/>
              <w:rPr>
                <w:sz w:val="18"/>
                <w:szCs w:val="18"/>
              </w:rPr>
            </w:pPr>
            <w:r w:rsidRPr="00BD27FA">
              <w:rPr>
                <w:sz w:val="18"/>
                <w:szCs w:val="18"/>
              </w:rPr>
              <w:t>44.6</w:t>
            </w:r>
          </w:p>
        </w:tc>
        <w:tc>
          <w:tcPr>
            <w:tcW w:w="565" w:type="pct"/>
          </w:tcPr>
          <w:p w:rsidR="00BD27FA" w:rsidRPr="00BD27FA" w:rsidRDefault="00BD27FA" w:rsidP="004A3015">
            <w:pPr>
              <w:pStyle w:val="TableBodyText"/>
              <w:rPr>
                <w:sz w:val="18"/>
                <w:szCs w:val="18"/>
              </w:rPr>
            </w:pPr>
            <w:r w:rsidRPr="00BD27FA">
              <w:rPr>
                <w:sz w:val="18"/>
                <w:szCs w:val="18"/>
              </w:rPr>
              <w:t>61.3</w:t>
            </w:r>
          </w:p>
        </w:tc>
        <w:tc>
          <w:tcPr>
            <w:tcW w:w="563" w:type="pct"/>
            <w:shd w:val="clear" w:color="auto" w:fill="D9D9D9" w:themeFill="background1" w:themeFillShade="D9"/>
          </w:tcPr>
          <w:p w:rsidR="00BD27FA" w:rsidRPr="00BD27FA" w:rsidRDefault="00BD27FA" w:rsidP="0014396D">
            <w:pPr>
              <w:pStyle w:val="TableBodyText"/>
              <w:rPr>
                <w:sz w:val="18"/>
                <w:szCs w:val="18"/>
              </w:rPr>
            </w:pPr>
            <w:r w:rsidRPr="00BD27FA">
              <w:rPr>
                <w:sz w:val="18"/>
                <w:szCs w:val="18"/>
              </w:rPr>
              <w:t>1318.0</w:t>
            </w:r>
          </w:p>
        </w:tc>
      </w:tr>
      <w:tr w:rsidR="00BD27FA" w:rsidRPr="00E4707B" w:rsidTr="00BD27FA">
        <w:tc>
          <w:tcPr>
            <w:tcW w:w="1617" w:type="pct"/>
            <w:vAlign w:val="center"/>
          </w:tcPr>
          <w:p w:rsidR="00BD27FA" w:rsidRPr="00E4707B" w:rsidRDefault="00BD27FA" w:rsidP="006A50C8">
            <w:pPr>
              <w:pStyle w:val="TableBodyText"/>
              <w:jc w:val="left"/>
              <w:rPr>
                <w:sz w:val="18"/>
                <w:szCs w:val="18"/>
              </w:rPr>
            </w:pPr>
            <w:r w:rsidRPr="00E4707B">
              <w:rPr>
                <w:sz w:val="18"/>
                <w:szCs w:val="18"/>
              </w:rPr>
              <w:t>Textile, clothing and footwear</w:t>
            </w:r>
          </w:p>
        </w:tc>
        <w:tc>
          <w:tcPr>
            <w:tcW w:w="563" w:type="pct"/>
          </w:tcPr>
          <w:p w:rsidR="00BD27FA" w:rsidRPr="00B03E4B" w:rsidRDefault="00BD27FA" w:rsidP="006A50C8">
            <w:pPr>
              <w:pStyle w:val="TableBodyText"/>
              <w:rPr>
                <w:sz w:val="18"/>
                <w:szCs w:val="18"/>
              </w:rPr>
            </w:pPr>
            <w:r w:rsidRPr="00B03E4B">
              <w:rPr>
                <w:sz w:val="18"/>
                <w:szCs w:val="18"/>
              </w:rPr>
              <w:t>295.6</w:t>
            </w:r>
          </w:p>
        </w:tc>
        <w:tc>
          <w:tcPr>
            <w:tcW w:w="563" w:type="pct"/>
            <w:gridSpan w:val="2"/>
          </w:tcPr>
          <w:p w:rsidR="00BD27FA" w:rsidRPr="00B03E4B" w:rsidRDefault="00BD27FA" w:rsidP="006A50C8">
            <w:pPr>
              <w:pStyle w:val="TableBodyText"/>
              <w:rPr>
                <w:sz w:val="18"/>
                <w:szCs w:val="18"/>
              </w:rPr>
            </w:pPr>
            <w:r w:rsidRPr="00B03E4B">
              <w:rPr>
                <w:sz w:val="18"/>
                <w:szCs w:val="18"/>
              </w:rPr>
              <w:t>-60.4</w:t>
            </w:r>
          </w:p>
        </w:tc>
        <w:tc>
          <w:tcPr>
            <w:tcW w:w="563" w:type="pct"/>
            <w:gridSpan w:val="2"/>
            <w:shd w:val="clear" w:color="auto" w:fill="D9D9D9" w:themeFill="background1" w:themeFillShade="D9"/>
          </w:tcPr>
          <w:p w:rsidR="00BD27FA" w:rsidRPr="00B03E4B" w:rsidRDefault="00BD27FA" w:rsidP="006A50C8">
            <w:pPr>
              <w:pStyle w:val="TableBodyText"/>
              <w:rPr>
                <w:sz w:val="18"/>
                <w:szCs w:val="18"/>
              </w:rPr>
            </w:pPr>
            <w:r w:rsidRPr="00B03E4B">
              <w:rPr>
                <w:sz w:val="18"/>
                <w:szCs w:val="18"/>
              </w:rPr>
              <w:t>235.3</w:t>
            </w:r>
          </w:p>
        </w:tc>
        <w:tc>
          <w:tcPr>
            <w:tcW w:w="566" w:type="pct"/>
            <w:gridSpan w:val="2"/>
          </w:tcPr>
          <w:p w:rsidR="00BD27FA" w:rsidRPr="00BD27FA" w:rsidRDefault="00BD27FA" w:rsidP="0014396D">
            <w:pPr>
              <w:pStyle w:val="TableBodyText"/>
              <w:rPr>
                <w:sz w:val="18"/>
                <w:szCs w:val="18"/>
              </w:rPr>
            </w:pPr>
            <w:r w:rsidRPr="00BD27FA">
              <w:rPr>
                <w:sz w:val="18"/>
                <w:szCs w:val="18"/>
              </w:rPr>
              <w:t>53.4</w:t>
            </w:r>
          </w:p>
        </w:tc>
        <w:tc>
          <w:tcPr>
            <w:tcW w:w="565" w:type="pct"/>
          </w:tcPr>
          <w:p w:rsidR="00BD27FA" w:rsidRPr="00BD27FA" w:rsidRDefault="00BD27FA" w:rsidP="004A3015">
            <w:pPr>
              <w:pStyle w:val="TableBodyText"/>
              <w:rPr>
                <w:sz w:val="18"/>
                <w:szCs w:val="18"/>
              </w:rPr>
            </w:pPr>
            <w:r w:rsidRPr="00BD27FA">
              <w:rPr>
                <w:sz w:val="18"/>
                <w:szCs w:val="18"/>
              </w:rPr>
              <w:t>6.6</w:t>
            </w:r>
          </w:p>
        </w:tc>
        <w:tc>
          <w:tcPr>
            <w:tcW w:w="563" w:type="pct"/>
            <w:shd w:val="clear" w:color="auto" w:fill="D9D9D9" w:themeFill="background1" w:themeFillShade="D9"/>
          </w:tcPr>
          <w:p w:rsidR="00BD27FA" w:rsidRPr="00BD27FA" w:rsidRDefault="00BD27FA" w:rsidP="0014396D">
            <w:pPr>
              <w:pStyle w:val="TableBodyText"/>
              <w:rPr>
                <w:sz w:val="18"/>
                <w:szCs w:val="18"/>
              </w:rPr>
            </w:pPr>
            <w:r w:rsidRPr="00BD27FA">
              <w:rPr>
                <w:sz w:val="18"/>
                <w:szCs w:val="18"/>
              </w:rPr>
              <w:t>295.3</w:t>
            </w:r>
          </w:p>
        </w:tc>
      </w:tr>
      <w:tr w:rsidR="00BD27FA" w:rsidRPr="00E4707B" w:rsidTr="00BD27FA">
        <w:tc>
          <w:tcPr>
            <w:tcW w:w="1617" w:type="pct"/>
            <w:vAlign w:val="center"/>
          </w:tcPr>
          <w:p w:rsidR="00BD27FA" w:rsidRPr="00E4707B" w:rsidRDefault="00BD27FA" w:rsidP="006A50C8">
            <w:pPr>
              <w:pStyle w:val="TableBodyText"/>
              <w:jc w:val="left"/>
              <w:rPr>
                <w:sz w:val="18"/>
                <w:szCs w:val="18"/>
              </w:rPr>
            </w:pPr>
            <w:r w:rsidRPr="00E4707B">
              <w:rPr>
                <w:sz w:val="18"/>
                <w:szCs w:val="18"/>
              </w:rPr>
              <w:t>Wood and paper products</w:t>
            </w:r>
          </w:p>
        </w:tc>
        <w:tc>
          <w:tcPr>
            <w:tcW w:w="563" w:type="pct"/>
          </w:tcPr>
          <w:p w:rsidR="00BD27FA" w:rsidRPr="00B03E4B" w:rsidRDefault="00BD27FA" w:rsidP="006A50C8">
            <w:pPr>
              <w:pStyle w:val="TableBodyText"/>
              <w:rPr>
                <w:sz w:val="18"/>
                <w:szCs w:val="18"/>
              </w:rPr>
            </w:pPr>
            <w:r w:rsidRPr="00B03E4B">
              <w:rPr>
                <w:sz w:val="18"/>
                <w:szCs w:val="18"/>
              </w:rPr>
              <w:t>720.6</w:t>
            </w:r>
          </w:p>
        </w:tc>
        <w:tc>
          <w:tcPr>
            <w:tcW w:w="563" w:type="pct"/>
            <w:gridSpan w:val="2"/>
          </w:tcPr>
          <w:p w:rsidR="00BD27FA" w:rsidRPr="00B03E4B" w:rsidRDefault="00BD27FA" w:rsidP="006A50C8">
            <w:pPr>
              <w:pStyle w:val="TableBodyText"/>
              <w:rPr>
                <w:sz w:val="18"/>
                <w:szCs w:val="18"/>
              </w:rPr>
            </w:pPr>
            <w:r w:rsidRPr="00B03E4B">
              <w:rPr>
                <w:sz w:val="18"/>
                <w:szCs w:val="18"/>
              </w:rPr>
              <w:t>-145.8</w:t>
            </w:r>
          </w:p>
        </w:tc>
        <w:tc>
          <w:tcPr>
            <w:tcW w:w="563" w:type="pct"/>
            <w:gridSpan w:val="2"/>
            <w:shd w:val="clear" w:color="auto" w:fill="D9D9D9" w:themeFill="background1" w:themeFillShade="D9"/>
          </w:tcPr>
          <w:p w:rsidR="00BD27FA" w:rsidRPr="00B03E4B" w:rsidRDefault="00BD27FA" w:rsidP="006A50C8">
            <w:pPr>
              <w:pStyle w:val="TableBodyText"/>
              <w:rPr>
                <w:sz w:val="18"/>
                <w:szCs w:val="18"/>
              </w:rPr>
            </w:pPr>
            <w:r w:rsidRPr="00B03E4B">
              <w:rPr>
                <w:sz w:val="18"/>
                <w:szCs w:val="18"/>
              </w:rPr>
              <w:t>574.8</w:t>
            </w:r>
          </w:p>
        </w:tc>
        <w:tc>
          <w:tcPr>
            <w:tcW w:w="566" w:type="pct"/>
            <w:gridSpan w:val="2"/>
          </w:tcPr>
          <w:p w:rsidR="00BD27FA" w:rsidRPr="00BD27FA" w:rsidRDefault="00BD27FA" w:rsidP="00295C4B">
            <w:pPr>
              <w:pStyle w:val="TableBodyText"/>
              <w:rPr>
                <w:sz w:val="18"/>
                <w:szCs w:val="18"/>
              </w:rPr>
            </w:pPr>
            <w:r w:rsidRPr="00BD27FA">
              <w:rPr>
                <w:sz w:val="18"/>
                <w:szCs w:val="18"/>
              </w:rPr>
              <w:t>8.4</w:t>
            </w:r>
          </w:p>
        </w:tc>
        <w:tc>
          <w:tcPr>
            <w:tcW w:w="565" w:type="pct"/>
          </w:tcPr>
          <w:p w:rsidR="00BD27FA" w:rsidRPr="00BD27FA" w:rsidRDefault="00BD27FA" w:rsidP="004A3015">
            <w:pPr>
              <w:pStyle w:val="TableBodyText"/>
              <w:rPr>
                <w:sz w:val="18"/>
                <w:szCs w:val="18"/>
              </w:rPr>
            </w:pPr>
            <w:r w:rsidRPr="00BD27FA">
              <w:rPr>
                <w:sz w:val="18"/>
                <w:szCs w:val="18"/>
              </w:rPr>
              <w:t>9.6</w:t>
            </w:r>
          </w:p>
        </w:tc>
        <w:tc>
          <w:tcPr>
            <w:tcW w:w="563" w:type="pct"/>
            <w:shd w:val="clear" w:color="auto" w:fill="D9D9D9" w:themeFill="background1" w:themeFillShade="D9"/>
          </w:tcPr>
          <w:p w:rsidR="00BD27FA" w:rsidRPr="00BD27FA" w:rsidRDefault="00BD27FA" w:rsidP="00295C4B">
            <w:pPr>
              <w:pStyle w:val="TableBodyText"/>
              <w:rPr>
                <w:sz w:val="18"/>
                <w:szCs w:val="18"/>
              </w:rPr>
            </w:pPr>
            <w:r w:rsidRPr="00BD27FA">
              <w:rPr>
                <w:sz w:val="18"/>
                <w:szCs w:val="18"/>
              </w:rPr>
              <w:t>592.8</w:t>
            </w:r>
          </w:p>
        </w:tc>
      </w:tr>
      <w:tr w:rsidR="00BD27FA" w:rsidRPr="00E4707B" w:rsidTr="00BD27FA">
        <w:tc>
          <w:tcPr>
            <w:tcW w:w="1617" w:type="pct"/>
            <w:vAlign w:val="center"/>
          </w:tcPr>
          <w:p w:rsidR="00BD27FA" w:rsidRPr="00E4707B" w:rsidRDefault="00BD27FA" w:rsidP="006A50C8">
            <w:pPr>
              <w:pStyle w:val="TableBodyText"/>
              <w:jc w:val="left"/>
              <w:rPr>
                <w:sz w:val="18"/>
                <w:szCs w:val="18"/>
              </w:rPr>
            </w:pPr>
            <w:r w:rsidRPr="00E4707B">
              <w:rPr>
                <w:sz w:val="18"/>
                <w:szCs w:val="18"/>
              </w:rPr>
              <w:t>Printing and recorded media</w:t>
            </w:r>
          </w:p>
        </w:tc>
        <w:tc>
          <w:tcPr>
            <w:tcW w:w="563" w:type="pct"/>
          </w:tcPr>
          <w:p w:rsidR="00BD27FA" w:rsidRPr="00B03E4B" w:rsidRDefault="00BD27FA" w:rsidP="006A50C8">
            <w:pPr>
              <w:pStyle w:val="TableBodyText"/>
              <w:rPr>
                <w:sz w:val="18"/>
                <w:szCs w:val="18"/>
              </w:rPr>
            </w:pPr>
            <w:r w:rsidRPr="00B03E4B">
              <w:rPr>
                <w:sz w:val="18"/>
                <w:szCs w:val="18"/>
              </w:rPr>
              <w:t>219.0</w:t>
            </w:r>
          </w:p>
        </w:tc>
        <w:tc>
          <w:tcPr>
            <w:tcW w:w="563" w:type="pct"/>
            <w:gridSpan w:val="2"/>
          </w:tcPr>
          <w:p w:rsidR="00BD27FA" w:rsidRPr="00B03E4B" w:rsidRDefault="00BD27FA" w:rsidP="006A50C8">
            <w:pPr>
              <w:pStyle w:val="TableBodyText"/>
              <w:rPr>
                <w:sz w:val="18"/>
                <w:szCs w:val="18"/>
              </w:rPr>
            </w:pPr>
            <w:r w:rsidRPr="00B03E4B">
              <w:rPr>
                <w:sz w:val="18"/>
                <w:szCs w:val="18"/>
              </w:rPr>
              <w:t>-35.5</w:t>
            </w:r>
          </w:p>
        </w:tc>
        <w:tc>
          <w:tcPr>
            <w:tcW w:w="563" w:type="pct"/>
            <w:gridSpan w:val="2"/>
            <w:shd w:val="clear" w:color="auto" w:fill="D9D9D9" w:themeFill="background1" w:themeFillShade="D9"/>
          </w:tcPr>
          <w:p w:rsidR="00BD27FA" w:rsidRPr="00B03E4B" w:rsidRDefault="00BD27FA" w:rsidP="006A50C8">
            <w:pPr>
              <w:pStyle w:val="TableBodyText"/>
              <w:rPr>
                <w:sz w:val="18"/>
                <w:szCs w:val="18"/>
              </w:rPr>
            </w:pPr>
            <w:r w:rsidRPr="00B03E4B">
              <w:rPr>
                <w:sz w:val="18"/>
                <w:szCs w:val="18"/>
              </w:rPr>
              <w:t>183.5</w:t>
            </w:r>
          </w:p>
        </w:tc>
        <w:tc>
          <w:tcPr>
            <w:tcW w:w="566" w:type="pct"/>
            <w:gridSpan w:val="2"/>
          </w:tcPr>
          <w:p w:rsidR="00BD27FA" w:rsidRPr="00BD27FA" w:rsidRDefault="00BD27FA" w:rsidP="006A50C8">
            <w:pPr>
              <w:pStyle w:val="TableBodyText"/>
              <w:rPr>
                <w:sz w:val="18"/>
                <w:szCs w:val="18"/>
              </w:rPr>
            </w:pPr>
            <w:r w:rsidRPr="00BD27FA">
              <w:rPr>
                <w:sz w:val="18"/>
                <w:szCs w:val="18"/>
              </w:rPr>
              <w:t>8.4</w:t>
            </w:r>
          </w:p>
        </w:tc>
        <w:tc>
          <w:tcPr>
            <w:tcW w:w="565" w:type="pct"/>
          </w:tcPr>
          <w:p w:rsidR="00BD27FA" w:rsidRPr="00BD27FA" w:rsidRDefault="00BD27FA" w:rsidP="004A3015">
            <w:pPr>
              <w:pStyle w:val="TableBodyText"/>
              <w:rPr>
                <w:sz w:val="18"/>
                <w:szCs w:val="18"/>
              </w:rPr>
            </w:pPr>
            <w:r w:rsidRPr="00BD27FA">
              <w:rPr>
                <w:sz w:val="18"/>
                <w:szCs w:val="18"/>
              </w:rPr>
              <w:t>4.3</w:t>
            </w:r>
          </w:p>
        </w:tc>
        <w:tc>
          <w:tcPr>
            <w:tcW w:w="563" w:type="pct"/>
            <w:shd w:val="clear" w:color="auto" w:fill="D9D9D9" w:themeFill="background1" w:themeFillShade="D9"/>
          </w:tcPr>
          <w:p w:rsidR="00BD27FA" w:rsidRPr="00BD27FA" w:rsidRDefault="00BD27FA" w:rsidP="00295C4B">
            <w:pPr>
              <w:pStyle w:val="TableBodyText"/>
              <w:rPr>
                <w:sz w:val="18"/>
                <w:szCs w:val="18"/>
              </w:rPr>
            </w:pPr>
            <w:r w:rsidRPr="00BD27FA">
              <w:rPr>
                <w:sz w:val="18"/>
                <w:szCs w:val="18"/>
              </w:rPr>
              <w:t>196.2</w:t>
            </w:r>
          </w:p>
        </w:tc>
      </w:tr>
      <w:tr w:rsidR="00BD27FA" w:rsidRPr="00E4707B" w:rsidTr="00BD27FA">
        <w:tc>
          <w:tcPr>
            <w:tcW w:w="1617" w:type="pct"/>
            <w:vAlign w:val="center"/>
          </w:tcPr>
          <w:p w:rsidR="00BD27FA" w:rsidRPr="00E4707B" w:rsidRDefault="00BD27FA" w:rsidP="00EF4E74">
            <w:pPr>
              <w:pStyle w:val="TableBodyText"/>
              <w:jc w:val="left"/>
              <w:rPr>
                <w:sz w:val="18"/>
                <w:szCs w:val="18"/>
              </w:rPr>
            </w:pPr>
            <w:r w:rsidRPr="00E4707B">
              <w:rPr>
                <w:sz w:val="18"/>
                <w:szCs w:val="18"/>
              </w:rPr>
              <w:t xml:space="preserve">Petroleum, coal </w:t>
            </w:r>
            <w:r>
              <w:rPr>
                <w:sz w:val="18"/>
                <w:szCs w:val="18"/>
              </w:rPr>
              <w:t xml:space="preserve">and </w:t>
            </w:r>
            <w:r w:rsidRPr="00E4707B">
              <w:rPr>
                <w:sz w:val="18"/>
                <w:szCs w:val="18"/>
              </w:rPr>
              <w:t>chemicals</w:t>
            </w:r>
          </w:p>
        </w:tc>
        <w:tc>
          <w:tcPr>
            <w:tcW w:w="563" w:type="pct"/>
          </w:tcPr>
          <w:p w:rsidR="00BD27FA" w:rsidRPr="00B03E4B" w:rsidRDefault="00BD27FA" w:rsidP="006A50C8">
            <w:pPr>
              <w:pStyle w:val="TableBodyText"/>
              <w:rPr>
                <w:sz w:val="18"/>
                <w:szCs w:val="18"/>
              </w:rPr>
            </w:pPr>
            <w:r w:rsidRPr="00B03E4B">
              <w:rPr>
                <w:sz w:val="18"/>
                <w:szCs w:val="18"/>
              </w:rPr>
              <w:t>991.5</w:t>
            </w:r>
          </w:p>
        </w:tc>
        <w:tc>
          <w:tcPr>
            <w:tcW w:w="563" w:type="pct"/>
            <w:gridSpan w:val="2"/>
          </w:tcPr>
          <w:p w:rsidR="00BD27FA" w:rsidRPr="00B03E4B" w:rsidRDefault="00BD27FA" w:rsidP="006A50C8">
            <w:pPr>
              <w:pStyle w:val="TableBodyText"/>
              <w:rPr>
                <w:sz w:val="18"/>
                <w:szCs w:val="18"/>
              </w:rPr>
            </w:pPr>
            <w:r w:rsidRPr="00B03E4B">
              <w:rPr>
                <w:sz w:val="18"/>
                <w:szCs w:val="18"/>
              </w:rPr>
              <w:t>-288.5</w:t>
            </w:r>
          </w:p>
        </w:tc>
        <w:tc>
          <w:tcPr>
            <w:tcW w:w="563" w:type="pct"/>
            <w:gridSpan w:val="2"/>
            <w:shd w:val="clear" w:color="auto" w:fill="D9D9D9" w:themeFill="background1" w:themeFillShade="D9"/>
          </w:tcPr>
          <w:p w:rsidR="00BD27FA" w:rsidRPr="00B03E4B" w:rsidRDefault="00BD27FA" w:rsidP="006A50C8">
            <w:pPr>
              <w:pStyle w:val="TableBodyText"/>
              <w:rPr>
                <w:sz w:val="18"/>
                <w:szCs w:val="18"/>
              </w:rPr>
            </w:pPr>
            <w:r w:rsidRPr="00B03E4B">
              <w:rPr>
                <w:sz w:val="18"/>
                <w:szCs w:val="18"/>
              </w:rPr>
              <w:t>703.1</w:t>
            </w:r>
          </w:p>
        </w:tc>
        <w:tc>
          <w:tcPr>
            <w:tcW w:w="566" w:type="pct"/>
            <w:gridSpan w:val="2"/>
          </w:tcPr>
          <w:p w:rsidR="00BD27FA" w:rsidRPr="00BD27FA" w:rsidRDefault="00BD27FA" w:rsidP="0014396D">
            <w:pPr>
              <w:pStyle w:val="TableBodyText"/>
              <w:rPr>
                <w:sz w:val="18"/>
                <w:szCs w:val="18"/>
              </w:rPr>
            </w:pPr>
            <w:r w:rsidRPr="00BD27FA">
              <w:rPr>
                <w:sz w:val="18"/>
                <w:szCs w:val="18"/>
              </w:rPr>
              <w:t>177.7</w:t>
            </w:r>
          </w:p>
        </w:tc>
        <w:tc>
          <w:tcPr>
            <w:tcW w:w="565" w:type="pct"/>
          </w:tcPr>
          <w:p w:rsidR="00BD27FA" w:rsidRPr="00BD27FA" w:rsidRDefault="00BD27FA" w:rsidP="004A3015">
            <w:pPr>
              <w:pStyle w:val="TableBodyText"/>
              <w:rPr>
                <w:sz w:val="18"/>
                <w:szCs w:val="18"/>
              </w:rPr>
            </w:pPr>
            <w:r w:rsidRPr="00BD27FA">
              <w:rPr>
                <w:sz w:val="18"/>
                <w:szCs w:val="18"/>
              </w:rPr>
              <w:t>46.1</w:t>
            </w:r>
          </w:p>
        </w:tc>
        <w:tc>
          <w:tcPr>
            <w:tcW w:w="563" w:type="pct"/>
            <w:shd w:val="clear" w:color="auto" w:fill="D9D9D9" w:themeFill="background1" w:themeFillShade="D9"/>
          </w:tcPr>
          <w:p w:rsidR="00BD27FA" w:rsidRPr="00BD27FA" w:rsidRDefault="00BD27FA" w:rsidP="0014396D">
            <w:pPr>
              <w:pStyle w:val="TableBodyText"/>
              <w:rPr>
                <w:sz w:val="18"/>
                <w:szCs w:val="18"/>
              </w:rPr>
            </w:pPr>
            <w:r w:rsidRPr="00BD27FA">
              <w:rPr>
                <w:sz w:val="18"/>
                <w:szCs w:val="18"/>
              </w:rPr>
              <w:t>926.9</w:t>
            </w:r>
          </w:p>
        </w:tc>
      </w:tr>
      <w:tr w:rsidR="00BD27FA" w:rsidRPr="00E4707B" w:rsidTr="00BD27FA">
        <w:tc>
          <w:tcPr>
            <w:tcW w:w="1617" w:type="pct"/>
            <w:vAlign w:val="center"/>
          </w:tcPr>
          <w:p w:rsidR="00BD27FA" w:rsidRPr="00E4707B" w:rsidRDefault="00BD27FA" w:rsidP="006A50C8">
            <w:pPr>
              <w:pStyle w:val="TableBodyText"/>
              <w:jc w:val="left"/>
              <w:rPr>
                <w:sz w:val="18"/>
                <w:szCs w:val="18"/>
              </w:rPr>
            </w:pPr>
            <w:r w:rsidRPr="00E4707B">
              <w:rPr>
                <w:sz w:val="18"/>
                <w:szCs w:val="18"/>
              </w:rPr>
              <w:t>Non-metallic mineral products</w:t>
            </w:r>
          </w:p>
        </w:tc>
        <w:tc>
          <w:tcPr>
            <w:tcW w:w="563" w:type="pct"/>
          </w:tcPr>
          <w:p w:rsidR="00BD27FA" w:rsidRPr="00B03E4B" w:rsidRDefault="00BD27FA" w:rsidP="006A50C8">
            <w:pPr>
              <w:pStyle w:val="TableBodyText"/>
              <w:rPr>
                <w:sz w:val="18"/>
                <w:szCs w:val="18"/>
              </w:rPr>
            </w:pPr>
            <w:r w:rsidRPr="00B03E4B">
              <w:rPr>
                <w:sz w:val="18"/>
                <w:szCs w:val="18"/>
              </w:rPr>
              <w:t>246.3</w:t>
            </w:r>
          </w:p>
        </w:tc>
        <w:tc>
          <w:tcPr>
            <w:tcW w:w="563" w:type="pct"/>
            <w:gridSpan w:val="2"/>
          </w:tcPr>
          <w:p w:rsidR="00BD27FA" w:rsidRPr="00B03E4B" w:rsidRDefault="00BD27FA" w:rsidP="006A50C8">
            <w:pPr>
              <w:pStyle w:val="TableBodyText"/>
              <w:rPr>
                <w:sz w:val="18"/>
                <w:szCs w:val="18"/>
              </w:rPr>
            </w:pPr>
            <w:r w:rsidRPr="00B03E4B">
              <w:rPr>
                <w:sz w:val="18"/>
                <w:szCs w:val="18"/>
              </w:rPr>
              <w:t>-42.2</w:t>
            </w:r>
          </w:p>
        </w:tc>
        <w:tc>
          <w:tcPr>
            <w:tcW w:w="563" w:type="pct"/>
            <w:gridSpan w:val="2"/>
            <w:shd w:val="clear" w:color="auto" w:fill="D9D9D9" w:themeFill="background1" w:themeFillShade="D9"/>
          </w:tcPr>
          <w:p w:rsidR="00BD27FA" w:rsidRPr="00B03E4B" w:rsidRDefault="00BD27FA" w:rsidP="006A50C8">
            <w:pPr>
              <w:pStyle w:val="TableBodyText"/>
              <w:rPr>
                <w:sz w:val="18"/>
                <w:szCs w:val="18"/>
              </w:rPr>
            </w:pPr>
            <w:r w:rsidRPr="00B03E4B">
              <w:rPr>
                <w:sz w:val="18"/>
                <w:szCs w:val="18"/>
              </w:rPr>
              <w:t>204.0</w:t>
            </w:r>
          </w:p>
        </w:tc>
        <w:tc>
          <w:tcPr>
            <w:tcW w:w="566" w:type="pct"/>
            <w:gridSpan w:val="2"/>
          </w:tcPr>
          <w:p w:rsidR="00BD27FA" w:rsidRPr="00BD27FA" w:rsidRDefault="00BD27FA" w:rsidP="006A50C8">
            <w:pPr>
              <w:pStyle w:val="TableBodyText"/>
              <w:rPr>
                <w:sz w:val="18"/>
                <w:szCs w:val="18"/>
              </w:rPr>
            </w:pPr>
            <w:r w:rsidRPr="00BD27FA">
              <w:rPr>
                <w:sz w:val="18"/>
                <w:szCs w:val="18"/>
              </w:rPr>
              <w:t>8.6</w:t>
            </w:r>
          </w:p>
        </w:tc>
        <w:tc>
          <w:tcPr>
            <w:tcW w:w="565" w:type="pct"/>
          </w:tcPr>
          <w:p w:rsidR="00BD27FA" w:rsidRPr="00BD27FA" w:rsidRDefault="00BD27FA" w:rsidP="004A3015">
            <w:pPr>
              <w:pStyle w:val="TableBodyText"/>
              <w:rPr>
                <w:sz w:val="18"/>
                <w:szCs w:val="18"/>
              </w:rPr>
            </w:pPr>
            <w:r w:rsidRPr="00BD27FA">
              <w:rPr>
                <w:sz w:val="18"/>
                <w:szCs w:val="18"/>
              </w:rPr>
              <w:t>10.1</w:t>
            </w:r>
          </w:p>
        </w:tc>
        <w:tc>
          <w:tcPr>
            <w:tcW w:w="563" w:type="pct"/>
            <w:shd w:val="clear" w:color="auto" w:fill="D9D9D9" w:themeFill="background1" w:themeFillShade="D9"/>
          </w:tcPr>
          <w:p w:rsidR="00BD27FA" w:rsidRPr="00BD27FA" w:rsidRDefault="00BD27FA" w:rsidP="00C76B67">
            <w:pPr>
              <w:pStyle w:val="TableBodyText"/>
              <w:rPr>
                <w:sz w:val="18"/>
                <w:szCs w:val="18"/>
              </w:rPr>
            </w:pPr>
            <w:r w:rsidRPr="00BD27FA">
              <w:rPr>
                <w:sz w:val="18"/>
                <w:szCs w:val="18"/>
              </w:rPr>
              <w:t>222.7</w:t>
            </w:r>
          </w:p>
        </w:tc>
      </w:tr>
      <w:tr w:rsidR="00BD27FA" w:rsidRPr="00E4707B" w:rsidTr="00BD27FA">
        <w:tc>
          <w:tcPr>
            <w:tcW w:w="1617" w:type="pct"/>
            <w:vAlign w:val="center"/>
          </w:tcPr>
          <w:p w:rsidR="00BD27FA" w:rsidRPr="00E4707B" w:rsidRDefault="00BD27FA" w:rsidP="006A50C8">
            <w:pPr>
              <w:pStyle w:val="TableBodyText"/>
              <w:jc w:val="left"/>
              <w:rPr>
                <w:sz w:val="18"/>
                <w:szCs w:val="18"/>
              </w:rPr>
            </w:pPr>
            <w:r w:rsidRPr="00E4707B">
              <w:rPr>
                <w:sz w:val="18"/>
                <w:szCs w:val="18"/>
              </w:rPr>
              <w:t>Metal and fabricated products</w:t>
            </w:r>
          </w:p>
        </w:tc>
        <w:tc>
          <w:tcPr>
            <w:tcW w:w="563" w:type="pct"/>
          </w:tcPr>
          <w:p w:rsidR="00BD27FA" w:rsidRPr="00B03E4B" w:rsidRDefault="00BD27FA" w:rsidP="006A50C8">
            <w:pPr>
              <w:pStyle w:val="TableBodyText"/>
              <w:rPr>
                <w:sz w:val="18"/>
                <w:szCs w:val="18"/>
              </w:rPr>
            </w:pPr>
            <w:r w:rsidRPr="00B03E4B">
              <w:rPr>
                <w:sz w:val="18"/>
                <w:szCs w:val="18"/>
              </w:rPr>
              <w:t>1780.4</w:t>
            </w:r>
          </w:p>
        </w:tc>
        <w:tc>
          <w:tcPr>
            <w:tcW w:w="563" w:type="pct"/>
            <w:gridSpan w:val="2"/>
          </w:tcPr>
          <w:p w:rsidR="00BD27FA" w:rsidRPr="00B03E4B" w:rsidRDefault="00BD27FA" w:rsidP="006A50C8">
            <w:pPr>
              <w:pStyle w:val="TableBodyText"/>
              <w:rPr>
                <w:sz w:val="18"/>
                <w:szCs w:val="18"/>
              </w:rPr>
            </w:pPr>
            <w:r w:rsidRPr="00B03E4B">
              <w:rPr>
                <w:sz w:val="18"/>
                <w:szCs w:val="18"/>
              </w:rPr>
              <w:t>-423.6</w:t>
            </w:r>
          </w:p>
        </w:tc>
        <w:tc>
          <w:tcPr>
            <w:tcW w:w="563" w:type="pct"/>
            <w:gridSpan w:val="2"/>
            <w:shd w:val="clear" w:color="auto" w:fill="D9D9D9" w:themeFill="background1" w:themeFillShade="D9"/>
          </w:tcPr>
          <w:p w:rsidR="00BD27FA" w:rsidRPr="00B03E4B" w:rsidRDefault="00BD27FA" w:rsidP="006A50C8">
            <w:pPr>
              <w:pStyle w:val="TableBodyText"/>
              <w:rPr>
                <w:sz w:val="18"/>
                <w:szCs w:val="18"/>
              </w:rPr>
            </w:pPr>
            <w:r w:rsidRPr="00B03E4B">
              <w:rPr>
                <w:sz w:val="18"/>
                <w:szCs w:val="18"/>
              </w:rPr>
              <w:t>1356.8</w:t>
            </w:r>
          </w:p>
        </w:tc>
        <w:tc>
          <w:tcPr>
            <w:tcW w:w="566" w:type="pct"/>
            <w:gridSpan w:val="2"/>
          </w:tcPr>
          <w:p w:rsidR="00BD27FA" w:rsidRPr="00BD27FA" w:rsidRDefault="00BD27FA" w:rsidP="00295C4B">
            <w:pPr>
              <w:pStyle w:val="TableBodyText"/>
              <w:rPr>
                <w:sz w:val="18"/>
                <w:szCs w:val="18"/>
              </w:rPr>
            </w:pPr>
            <w:r w:rsidRPr="00BD27FA">
              <w:rPr>
                <w:sz w:val="18"/>
                <w:szCs w:val="18"/>
              </w:rPr>
              <w:t>220.4</w:t>
            </w:r>
          </w:p>
        </w:tc>
        <w:tc>
          <w:tcPr>
            <w:tcW w:w="565" w:type="pct"/>
          </w:tcPr>
          <w:p w:rsidR="00BD27FA" w:rsidRPr="00BD27FA" w:rsidRDefault="00BD27FA" w:rsidP="004A3015">
            <w:pPr>
              <w:pStyle w:val="TableBodyText"/>
              <w:rPr>
                <w:sz w:val="18"/>
                <w:szCs w:val="18"/>
              </w:rPr>
            </w:pPr>
            <w:r w:rsidRPr="00BD27FA">
              <w:rPr>
                <w:sz w:val="18"/>
                <w:szCs w:val="18"/>
              </w:rPr>
              <w:t>45.5</w:t>
            </w:r>
          </w:p>
        </w:tc>
        <w:tc>
          <w:tcPr>
            <w:tcW w:w="563" w:type="pct"/>
            <w:shd w:val="clear" w:color="auto" w:fill="D9D9D9" w:themeFill="background1" w:themeFillShade="D9"/>
          </w:tcPr>
          <w:p w:rsidR="00BD27FA" w:rsidRPr="00BD27FA" w:rsidRDefault="00BD27FA" w:rsidP="00295C4B">
            <w:pPr>
              <w:pStyle w:val="TableBodyText"/>
              <w:rPr>
                <w:sz w:val="18"/>
                <w:szCs w:val="18"/>
              </w:rPr>
            </w:pPr>
            <w:r w:rsidRPr="00BD27FA">
              <w:rPr>
                <w:sz w:val="18"/>
                <w:szCs w:val="18"/>
              </w:rPr>
              <w:t>1622.7</w:t>
            </w:r>
          </w:p>
        </w:tc>
      </w:tr>
      <w:tr w:rsidR="00BD27FA" w:rsidRPr="00E4707B" w:rsidTr="00BD27FA">
        <w:tc>
          <w:tcPr>
            <w:tcW w:w="1617" w:type="pct"/>
            <w:vAlign w:val="center"/>
          </w:tcPr>
          <w:p w:rsidR="00BD27FA" w:rsidRPr="00E4707B" w:rsidRDefault="00BD27FA" w:rsidP="006A50C8">
            <w:pPr>
              <w:pStyle w:val="TableBodyText"/>
              <w:jc w:val="left"/>
              <w:rPr>
                <w:sz w:val="18"/>
                <w:szCs w:val="18"/>
              </w:rPr>
            </w:pPr>
            <w:r w:rsidRPr="00E4707B">
              <w:rPr>
                <w:sz w:val="18"/>
                <w:szCs w:val="18"/>
              </w:rPr>
              <w:t>Motor vehicle and parts</w:t>
            </w:r>
          </w:p>
        </w:tc>
        <w:tc>
          <w:tcPr>
            <w:tcW w:w="563" w:type="pct"/>
          </w:tcPr>
          <w:p w:rsidR="00BD27FA" w:rsidRPr="00B03E4B" w:rsidRDefault="00BD27FA" w:rsidP="006A50C8">
            <w:pPr>
              <w:pStyle w:val="TableBodyText"/>
              <w:rPr>
                <w:sz w:val="18"/>
                <w:szCs w:val="18"/>
              </w:rPr>
            </w:pPr>
            <w:r w:rsidRPr="00B03E4B">
              <w:rPr>
                <w:sz w:val="18"/>
                <w:szCs w:val="18"/>
              </w:rPr>
              <w:t>785.2</w:t>
            </w:r>
          </w:p>
        </w:tc>
        <w:tc>
          <w:tcPr>
            <w:tcW w:w="563" w:type="pct"/>
            <w:gridSpan w:val="2"/>
          </w:tcPr>
          <w:p w:rsidR="00BD27FA" w:rsidRPr="00B03E4B" w:rsidRDefault="00BD27FA" w:rsidP="006A50C8">
            <w:pPr>
              <w:pStyle w:val="TableBodyText"/>
              <w:rPr>
                <w:sz w:val="18"/>
                <w:szCs w:val="18"/>
              </w:rPr>
            </w:pPr>
            <w:r w:rsidRPr="00B03E4B">
              <w:rPr>
                <w:sz w:val="18"/>
                <w:szCs w:val="18"/>
              </w:rPr>
              <w:t>-289.2</w:t>
            </w:r>
          </w:p>
        </w:tc>
        <w:tc>
          <w:tcPr>
            <w:tcW w:w="563" w:type="pct"/>
            <w:gridSpan w:val="2"/>
            <w:shd w:val="clear" w:color="auto" w:fill="D9D9D9" w:themeFill="background1" w:themeFillShade="D9"/>
          </w:tcPr>
          <w:p w:rsidR="00BD27FA" w:rsidRPr="00B03E4B" w:rsidRDefault="00BD27FA" w:rsidP="006A50C8">
            <w:pPr>
              <w:pStyle w:val="TableBodyText"/>
              <w:rPr>
                <w:sz w:val="18"/>
                <w:szCs w:val="18"/>
              </w:rPr>
            </w:pPr>
            <w:r w:rsidRPr="00B03E4B">
              <w:rPr>
                <w:sz w:val="18"/>
                <w:szCs w:val="18"/>
              </w:rPr>
              <w:t>496.1</w:t>
            </w:r>
          </w:p>
        </w:tc>
        <w:tc>
          <w:tcPr>
            <w:tcW w:w="566" w:type="pct"/>
            <w:gridSpan w:val="2"/>
          </w:tcPr>
          <w:p w:rsidR="00BD27FA" w:rsidRPr="00BD27FA" w:rsidRDefault="00BD27FA" w:rsidP="0014396D">
            <w:pPr>
              <w:pStyle w:val="TableBodyText"/>
              <w:rPr>
                <w:sz w:val="18"/>
                <w:szCs w:val="18"/>
              </w:rPr>
            </w:pPr>
            <w:r w:rsidRPr="00BD27FA">
              <w:rPr>
                <w:sz w:val="18"/>
                <w:szCs w:val="18"/>
              </w:rPr>
              <w:t>579.9</w:t>
            </w:r>
          </w:p>
        </w:tc>
        <w:tc>
          <w:tcPr>
            <w:tcW w:w="565" w:type="pct"/>
          </w:tcPr>
          <w:p w:rsidR="00BD27FA" w:rsidRPr="00BD27FA" w:rsidRDefault="00BD27FA" w:rsidP="004A3015">
            <w:pPr>
              <w:pStyle w:val="TableBodyText"/>
              <w:rPr>
                <w:sz w:val="18"/>
                <w:szCs w:val="18"/>
              </w:rPr>
            </w:pPr>
            <w:r w:rsidRPr="00BD27FA">
              <w:rPr>
                <w:sz w:val="18"/>
                <w:szCs w:val="18"/>
              </w:rPr>
              <w:t>40.9</w:t>
            </w:r>
          </w:p>
        </w:tc>
        <w:tc>
          <w:tcPr>
            <w:tcW w:w="563" w:type="pct"/>
            <w:shd w:val="clear" w:color="auto" w:fill="D9D9D9" w:themeFill="background1" w:themeFillShade="D9"/>
          </w:tcPr>
          <w:p w:rsidR="00BD27FA" w:rsidRPr="00BD27FA" w:rsidRDefault="00BD27FA" w:rsidP="0014396D">
            <w:pPr>
              <w:pStyle w:val="TableBodyText"/>
              <w:rPr>
                <w:sz w:val="18"/>
                <w:szCs w:val="18"/>
              </w:rPr>
            </w:pPr>
            <w:r w:rsidRPr="00BD27FA">
              <w:rPr>
                <w:sz w:val="18"/>
                <w:szCs w:val="18"/>
              </w:rPr>
              <w:t>1116.8</w:t>
            </w:r>
          </w:p>
        </w:tc>
      </w:tr>
      <w:tr w:rsidR="00BD27FA" w:rsidRPr="00E4707B" w:rsidTr="00BD27FA">
        <w:tc>
          <w:tcPr>
            <w:tcW w:w="1617" w:type="pct"/>
            <w:vAlign w:val="center"/>
          </w:tcPr>
          <w:p w:rsidR="00BD27FA" w:rsidRPr="00E4707B" w:rsidRDefault="00BD27FA" w:rsidP="006A50C8">
            <w:pPr>
              <w:pStyle w:val="TableBodyText"/>
              <w:jc w:val="left"/>
              <w:rPr>
                <w:sz w:val="18"/>
                <w:szCs w:val="18"/>
              </w:rPr>
            </w:pPr>
            <w:r w:rsidRPr="00E4707B">
              <w:rPr>
                <w:sz w:val="18"/>
                <w:szCs w:val="18"/>
              </w:rPr>
              <w:t>Other transport equipment</w:t>
            </w:r>
          </w:p>
        </w:tc>
        <w:tc>
          <w:tcPr>
            <w:tcW w:w="563" w:type="pct"/>
          </w:tcPr>
          <w:p w:rsidR="00BD27FA" w:rsidRPr="00B03E4B" w:rsidRDefault="00BD27FA" w:rsidP="006A50C8">
            <w:pPr>
              <w:pStyle w:val="TableBodyText"/>
              <w:rPr>
                <w:sz w:val="18"/>
                <w:szCs w:val="18"/>
              </w:rPr>
            </w:pPr>
            <w:r w:rsidRPr="00B03E4B">
              <w:rPr>
                <w:sz w:val="18"/>
                <w:szCs w:val="18"/>
              </w:rPr>
              <w:t>68.6</w:t>
            </w:r>
          </w:p>
        </w:tc>
        <w:tc>
          <w:tcPr>
            <w:tcW w:w="563" w:type="pct"/>
            <w:gridSpan w:val="2"/>
          </w:tcPr>
          <w:p w:rsidR="00BD27FA" w:rsidRPr="00B03E4B" w:rsidRDefault="00BD27FA" w:rsidP="006A50C8">
            <w:pPr>
              <w:pStyle w:val="TableBodyText"/>
              <w:rPr>
                <w:sz w:val="18"/>
                <w:szCs w:val="18"/>
              </w:rPr>
            </w:pPr>
            <w:r w:rsidRPr="00B03E4B">
              <w:rPr>
                <w:sz w:val="18"/>
                <w:szCs w:val="18"/>
              </w:rPr>
              <w:t>-61.2</w:t>
            </w:r>
          </w:p>
        </w:tc>
        <w:tc>
          <w:tcPr>
            <w:tcW w:w="563" w:type="pct"/>
            <w:gridSpan w:val="2"/>
            <w:shd w:val="clear" w:color="auto" w:fill="D9D9D9" w:themeFill="background1" w:themeFillShade="D9"/>
          </w:tcPr>
          <w:p w:rsidR="00BD27FA" w:rsidRPr="00B03E4B" w:rsidRDefault="00BD27FA" w:rsidP="006A50C8">
            <w:pPr>
              <w:pStyle w:val="TableBodyText"/>
              <w:rPr>
                <w:sz w:val="18"/>
                <w:szCs w:val="18"/>
              </w:rPr>
            </w:pPr>
            <w:r w:rsidRPr="00B03E4B">
              <w:rPr>
                <w:sz w:val="18"/>
                <w:szCs w:val="18"/>
              </w:rPr>
              <w:t>7.4</w:t>
            </w:r>
          </w:p>
        </w:tc>
        <w:tc>
          <w:tcPr>
            <w:tcW w:w="566" w:type="pct"/>
            <w:gridSpan w:val="2"/>
          </w:tcPr>
          <w:p w:rsidR="00BD27FA" w:rsidRPr="00BD27FA" w:rsidRDefault="00BD27FA" w:rsidP="004A3015">
            <w:pPr>
              <w:pStyle w:val="TableBodyText"/>
              <w:rPr>
                <w:sz w:val="18"/>
                <w:szCs w:val="18"/>
              </w:rPr>
            </w:pPr>
            <w:r w:rsidRPr="00BD27FA">
              <w:rPr>
                <w:sz w:val="18"/>
                <w:szCs w:val="18"/>
              </w:rPr>
              <w:t>21.5</w:t>
            </w:r>
          </w:p>
        </w:tc>
        <w:tc>
          <w:tcPr>
            <w:tcW w:w="565" w:type="pct"/>
          </w:tcPr>
          <w:p w:rsidR="00BD27FA" w:rsidRPr="00BD27FA" w:rsidRDefault="00BD27FA" w:rsidP="004A3015">
            <w:pPr>
              <w:pStyle w:val="TableBodyText"/>
              <w:rPr>
                <w:sz w:val="18"/>
                <w:szCs w:val="18"/>
              </w:rPr>
            </w:pPr>
            <w:r w:rsidRPr="00BD27FA">
              <w:rPr>
                <w:sz w:val="18"/>
                <w:szCs w:val="18"/>
              </w:rPr>
              <w:t>7.9</w:t>
            </w:r>
          </w:p>
        </w:tc>
        <w:tc>
          <w:tcPr>
            <w:tcW w:w="563" w:type="pct"/>
            <w:shd w:val="clear" w:color="auto" w:fill="D9D9D9" w:themeFill="background1" w:themeFillShade="D9"/>
          </w:tcPr>
          <w:p w:rsidR="00BD27FA" w:rsidRPr="00BD27FA" w:rsidRDefault="00BD27FA" w:rsidP="00C76B67">
            <w:pPr>
              <w:pStyle w:val="TableBodyText"/>
              <w:rPr>
                <w:sz w:val="18"/>
                <w:szCs w:val="18"/>
              </w:rPr>
            </w:pPr>
            <w:r w:rsidRPr="00BD27FA">
              <w:rPr>
                <w:sz w:val="18"/>
                <w:szCs w:val="18"/>
              </w:rPr>
              <w:t>36.8</w:t>
            </w:r>
          </w:p>
        </w:tc>
      </w:tr>
      <w:tr w:rsidR="00BD27FA" w:rsidRPr="00E4707B" w:rsidTr="00BD27FA">
        <w:tc>
          <w:tcPr>
            <w:tcW w:w="1617" w:type="pct"/>
            <w:vAlign w:val="center"/>
          </w:tcPr>
          <w:p w:rsidR="00BD27FA" w:rsidRPr="00E4707B" w:rsidRDefault="00BD27FA" w:rsidP="006A50C8">
            <w:pPr>
              <w:pStyle w:val="TableBodyText"/>
              <w:jc w:val="left"/>
              <w:rPr>
                <w:sz w:val="18"/>
                <w:szCs w:val="18"/>
              </w:rPr>
            </w:pPr>
            <w:r w:rsidRPr="00E4707B">
              <w:rPr>
                <w:sz w:val="18"/>
                <w:szCs w:val="18"/>
              </w:rPr>
              <w:t>Machinery and equipment</w:t>
            </w:r>
          </w:p>
        </w:tc>
        <w:tc>
          <w:tcPr>
            <w:tcW w:w="563" w:type="pct"/>
          </w:tcPr>
          <w:p w:rsidR="00BD27FA" w:rsidRPr="00B03E4B" w:rsidRDefault="00BD27FA" w:rsidP="006A50C8">
            <w:pPr>
              <w:pStyle w:val="TableBodyText"/>
              <w:rPr>
                <w:sz w:val="18"/>
                <w:szCs w:val="18"/>
              </w:rPr>
            </w:pPr>
            <w:r w:rsidRPr="00B03E4B">
              <w:rPr>
                <w:sz w:val="18"/>
                <w:szCs w:val="18"/>
              </w:rPr>
              <w:t>641.7</w:t>
            </w:r>
          </w:p>
        </w:tc>
        <w:tc>
          <w:tcPr>
            <w:tcW w:w="563" w:type="pct"/>
            <w:gridSpan w:val="2"/>
          </w:tcPr>
          <w:p w:rsidR="00BD27FA" w:rsidRPr="00B03E4B" w:rsidRDefault="00BD27FA" w:rsidP="006A50C8">
            <w:pPr>
              <w:pStyle w:val="TableBodyText"/>
              <w:rPr>
                <w:sz w:val="18"/>
                <w:szCs w:val="18"/>
              </w:rPr>
            </w:pPr>
            <w:r w:rsidRPr="00B03E4B">
              <w:rPr>
                <w:sz w:val="18"/>
                <w:szCs w:val="18"/>
              </w:rPr>
              <w:t>-193.4</w:t>
            </w:r>
          </w:p>
        </w:tc>
        <w:tc>
          <w:tcPr>
            <w:tcW w:w="563" w:type="pct"/>
            <w:gridSpan w:val="2"/>
            <w:shd w:val="clear" w:color="auto" w:fill="D9D9D9" w:themeFill="background1" w:themeFillShade="D9"/>
          </w:tcPr>
          <w:p w:rsidR="00BD27FA" w:rsidRPr="00B03E4B" w:rsidRDefault="00BD27FA" w:rsidP="006A50C8">
            <w:pPr>
              <w:pStyle w:val="TableBodyText"/>
              <w:rPr>
                <w:sz w:val="18"/>
                <w:szCs w:val="18"/>
              </w:rPr>
            </w:pPr>
            <w:r w:rsidRPr="00B03E4B">
              <w:rPr>
                <w:sz w:val="18"/>
                <w:szCs w:val="18"/>
              </w:rPr>
              <w:t>448.3</w:t>
            </w:r>
          </w:p>
        </w:tc>
        <w:tc>
          <w:tcPr>
            <w:tcW w:w="566" w:type="pct"/>
            <w:gridSpan w:val="2"/>
          </w:tcPr>
          <w:p w:rsidR="00BD27FA" w:rsidRPr="00BD27FA" w:rsidRDefault="00BD27FA" w:rsidP="0014396D">
            <w:pPr>
              <w:pStyle w:val="TableBodyText"/>
              <w:rPr>
                <w:sz w:val="18"/>
                <w:szCs w:val="18"/>
              </w:rPr>
            </w:pPr>
            <w:r w:rsidRPr="00BD27FA">
              <w:rPr>
                <w:sz w:val="18"/>
                <w:szCs w:val="18"/>
              </w:rPr>
              <w:t>120.2</w:t>
            </w:r>
          </w:p>
        </w:tc>
        <w:tc>
          <w:tcPr>
            <w:tcW w:w="565" w:type="pct"/>
          </w:tcPr>
          <w:p w:rsidR="00BD27FA" w:rsidRPr="00BD27FA" w:rsidRDefault="00BD27FA" w:rsidP="004A3015">
            <w:pPr>
              <w:pStyle w:val="TableBodyText"/>
              <w:rPr>
                <w:sz w:val="18"/>
                <w:szCs w:val="18"/>
              </w:rPr>
            </w:pPr>
            <w:r w:rsidRPr="00BD27FA">
              <w:rPr>
                <w:sz w:val="18"/>
                <w:szCs w:val="18"/>
              </w:rPr>
              <w:t>62.4</w:t>
            </w:r>
          </w:p>
        </w:tc>
        <w:tc>
          <w:tcPr>
            <w:tcW w:w="563" w:type="pct"/>
            <w:shd w:val="clear" w:color="auto" w:fill="D9D9D9" w:themeFill="background1" w:themeFillShade="D9"/>
          </w:tcPr>
          <w:p w:rsidR="00BD27FA" w:rsidRPr="00BD27FA" w:rsidRDefault="00BD27FA" w:rsidP="0014396D">
            <w:pPr>
              <w:pStyle w:val="TableBodyText"/>
              <w:rPr>
                <w:sz w:val="18"/>
                <w:szCs w:val="18"/>
              </w:rPr>
            </w:pPr>
            <w:r w:rsidRPr="00BD27FA">
              <w:rPr>
                <w:sz w:val="18"/>
                <w:szCs w:val="18"/>
              </w:rPr>
              <w:t>630.9</w:t>
            </w:r>
          </w:p>
        </w:tc>
      </w:tr>
      <w:tr w:rsidR="00BD27FA" w:rsidRPr="00E4707B" w:rsidTr="00BD27FA">
        <w:tc>
          <w:tcPr>
            <w:tcW w:w="1617" w:type="pct"/>
            <w:vAlign w:val="center"/>
          </w:tcPr>
          <w:p w:rsidR="00BD27FA" w:rsidRPr="00E4707B" w:rsidRDefault="00BD27FA" w:rsidP="00EF4E74">
            <w:pPr>
              <w:pStyle w:val="TableBodyText"/>
              <w:jc w:val="left"/>
              <w:rPr>
                <w:sz w:val="18"/>
                <w:szCs w:val="18"/>
              </w:rPr>
            </w:pPr>
            <w:r w:rsidRPr="00E4707B">
              <w:rPr>
                <w:sz w:val="18"/>
                <w:szCs w:val="18"/>
              </w:rPr>
              <w:t xml:space="preserve">Furniture </w:t>
            </w:r>
            <w:r>
              <w:rPr>
                <w:sz w:val="18"/>
                <w:szCs w:val="18"/>
              </w:rPr>
              <w:t xml:space="preserve">and </w:t>
            </w:r>
            <w:r w:rsidRPr="00E4707B">
              <w:rPr>
                <w:sz w:val="18"/>
                <w:szCs w:val="18"/>
              </w:rPr>
              <w:t>other products</w:t>
            </w:r>
          </w:p>
        </w:tc>
        <w:tc>
          <w:tcPr>
            <w:tcW w:w="563" w:type="pct"/>
          </w:tcPr>
          <w:p w:rsidR="00BD27FA" w:rsidRPr="00B03E4B" w:rsidRDefault="00BD27FA" w:rsidP="006A50C8">
            <w:pPr>
              <w:pStyle w:val="TableBodyText"/>
              <w:rPr>
                <w:sz w:val="18"/>
                <w:szCs w:val="18"/>
              </w:rPr>
            </w:pPr>
            <w:r w:rsidRPr="00B03E4B">
              <w:rPr>
                <w:sz w:val="18"/>
                <w:szCs w:val="18"/>
              </w:rPr>
              <w:t>236.9</w:t>
            </w:r>
          </w:p>
        </w:tc>
        <w:tc>
          <w:tcPr>
            <w:tcW w:w="563" w:type="pct"/>
            <w:gridSpan w:val="2"/>
          </w:tcPr>
          <w:p w:rsidR="00BD27FA" w:rsidRPr="00B03E4B" w:rsidRDefault="00BD27FA" w:rsidP="006A50C8">
            <w:pPr>
              <w:pStyle w:val="TableBodyText"/>
              <w:rPr>
                <w:sz w:val="18"/>
                <w:szCs w:val="18"/>
              </w:rPr>
            </w:pPr>
            <w:r w:rsidRPr="00B03E4B">
              <w:rPr>
                <w:sz w:val="18"/>
                <w:szCs w:val="18"/>
              </w:rPr>
              <w:t>-57.7</w:t>
            </w:r>
          </w:p>
        </w:tc>
        <w:tc>
          <w:tcPr>
            <w:tcW w:w="563" w:type="pct"/>
            <w:gridSpan w:val="2"/>
            <w:shd w:val="clear" w:color="auto" w:fill="D9D9D9" w:themeFill="background1" w:themeFillShade="D9"/>
          </w:tcPr>
          <w:p w:rsidR="00BD27FA" w:rsidRPr="00B03E4B" w:rsidRDefault="00BD27FA" w:rsidP="006A50C8">
            <w:pPr>
              <w:pStyle w:val="TableBodyText"/>
              <w:rPr>
                <w:sz w:val="18"/>
                <w:szCs w:val="18"/>
              </w:rPr>
            </w:pPr>
            <w:r w:rsidRPr="00B03E4B">
              <w:rPr>
                <w:sz w:val="18"/>
                <w:szCs w:val="18"/>
              </w:rPr>
              <w:t>179.2</w:t>
            </w:r>
          </w:p>
        </w:tc>
        <w:tc>
          <w:tcPr>
            <w:tcW w:w="566" w:type="pct"/>
            <w:gridSpan w:val="2"/>
          </w:tcPr>
          <w:p w:rsidR="00BD27FA" w:rsidRPr="00BD27FA" w:rsidRDefault="00BD27FA" w:rsidP="00295C4B">
            <w:pPr>
              <w:pStyle w:val="TableBodyText"/>
              <w:rPr>
                <w:sz w:val="18"/>
                <w:szCs w:val="18"/>
              </w:rPr>
            </w:pPr>
            <w:r w:rsidRPr="00BD27FA">
              <w:rPr>
                <w:sz w:val="18"/>
                <w:szCs w:val="18"/>
              </w:rPr>
              <w:t>20.7</w:t>
            </w:r>
          </w:p>
        </w:tc>
        <w:tc>
          <w:tcPr>
            <w:tcW w:w="565" w:type="pct"/>
          </w:tcPr>
          <w:p w:rsidR="00BD27FA" w:rsidRPr="00BD27FA" w:rsidRDefault="00BD27FA" w:rsidP="004A3015">
            <w:pPr>
              <w:pStyle w:val="TableBodyText"/>
              <w:rPr>
                <w:sz w:val="18"/>
                <w:szCs w:val="18"/>
              </w:rPr>
            </w:pPr>
            <w:r w:rsidRPr="00BD27FA">
              <w:rPr>
                <w:sz w:val="18"/>
                <w:szCs w:val="18"/>
              </w:rPr>
              <w:t>5.6</w:t>
            </w:r>
          </w:p>
        </w:tc>
        <w:tc>
          <w:tcPr>
            <w:tcW w:w="563" w:type="pct"/>
            <w:shd w:val="clear" w:color="auto" w:fill="D9D9D9" w:themeFill="background1" w:themeFillShade="D9"/>
          </w:tcPr>
          <w:p w:rsidR="00BD27FA" w:rsidRPr="00BD27FA" w:rsidRDefault="00BD27FA" w:rsidP="00295C4B">
            <w:pPr>
              <w:pStyle w:val="TableBodyText"/>
              <w:rPr>
                <w:sz w:val="18"/>
                <w:szCs w:val="18"/>
              </w:rPr>
            </w:pPr>
            <w:r w:rsidRPr="00BD27FA">
              <w:rPr>
                <w:sz w:val="18"/>
                <w:szCs w:val="18"/>
              </w:rPr>
              <w:t>205.6</w:t>
            </w:r>
          </w:p>
        </w:tc>
      </w:tr>
      <w:tr w:rsidR="00BD27FA" w:rsidRPr="00E4707B" w:rsidTr="00BD27FA">
        <w:tc>
          <w:tcPr>
            <w:tcW w:w="1617" w:type="pct"/>
            <w:vAlign w:val="center"/>
          </w:tcPr>
          <w:p w:rsidR="00BD27FA" w:rsidRPr="00E4707B" w:rsidRDefault="00BD27FA" w:rsidP="006A50C8">
            <w:pPr>
              <w:pStyle w:val="TableBodyText"/>
              <w:jc w:val="left"/>
              <w:rPr>
                <w:sz w:val="18"/>
                <w:szCs w:val="18"/>
              </w:rPr>
            </w:pPr>
            <w:r w:rsidRPr="00E4707B">
              <w:rPr>
                <w:sz w:val="18"/>
                <w:szCs w:val="18"/>
              </w:rPr>
              <w:t xml:space="preserve">Unallocated </w:t>
            </w:r>
            <w:r>
              <w:rPr>
                <w:sz w:val="18"/>
                <w:szCs w:val="18"/>
              </w:rPr>
              <w:t>manufacturing</w:t>
            </w:r>
          </w:p>
        </w:tc>
        <w:tc>
          <w:tcPr>
            <w:tcW w:w="563" w:type="pct"/>
          </w:tcPr>
          <w:p w:rsidR="00BD27FA" w:rsidRPr="00B03E4B" w:rsidRDefault="00BD27FA" w:rsidP="006A50C8">
            <w:pPr>
              <w:pStyle w:val="TableBodyText"/>
              <w:rPr>
                <w:sz w:val="18"/>
                <w:szCs w:val="18"/>
              </w:rPr>
            </w:pPr>
            <w:r>
              <w:rPr>
                <w:sz w:val="18"/>
                <w:szCs w:val="18"/>
              </w:rPr>
              <w:t>–</w:t>
            </w:r>
          </w:p>
        </w:tc>
        <w:tc>
          <w:tcPr>
            <w:tcW w:w="563" w:type="pct"/>
            <w:gridSpan w:val="2"/>
          </w:tcPr>
          <w:p w:rsidR="00BD27FA" w:rsidRPr="00B03E4B" w:rsidRDefault="00BD27FA" w:rsidP="00E53072">
            <w:pPr>
              <w:pStyle w:val="TableBodyText"/>
              <w:rPr>
                <w:sz w:val="18"/>
                <w:szCs w:val="18"/>
              </w:rPr>
            </w:pPr>
            <w:r>
              <w:rPr>
                <w:sz w:val="18"/>
                <w:szCs w:val="18"/>
              </w:rPr>
              <w:t>–</w:t>
            </w:r>
          </w:p>
        </w:tc>
        <w:tc>
          <w:tcPr>
            <w:tcW w:w="563" w:type="pct"/>
            <w:gridSpan w:val="2"/>
            <w:shd w:val="clear" w:color="auto" w:fill="D9D9D9" w:themeFill="background1" w:themeFillShade="D9"/>
          </w:tcPr>
          <w:p w:rsidR="00BD27FA" w:rsidRPr="00B03E4B" w:rsidRDefault="00BD27FA" w:rsidP="004A3015">
            <w:pPr>
              <w:pStyle w:val="TableBodyText"/>
              <w:rPr>
                <w:sz w:val="18"/>
                <w:szCs w:val="18"/>
              </w:rPr>
            </w:pPr>
            <w:r>
              <w:rPr>
                <w:sz w:val="18"/>
                <w:szCs w:val="18"/>
              </w:rPr>
              <w:t>–</w:t>
            </w:r>
          </w:p>
        </w:tc>
        <w:tc>
          <w:tcPr>
            <w:tcW w:w="566" w:type="pct"/>
            <w:gridSpan w:val="2"/>
          </w:tcPr>
          <w:p w:rsidR="00BD27FA" w:rsidRPr="00BD27FA" w:rsidRDefault="00BD27FA" w:rsidP="00295C4B">
            <w:pPr>
              <w:pStyle w:val="TableBodyText"/>
              <w:rPr>
                <w:sz w:val="18"/>
                <w:szCs w:val="18"/>
              </w:rPr>
            </w:pPr>
            <w:r w:rsidRPr="00BD27FA">
              <w:rPr>
                <w:sz w:val="18"/>
                <w:szCs w:val="18"/>
              </w:rPr>
              <w:t>126.2</w:t>
            </w:r>
          </w:p>
        </w:tc>
        <w:tc>
          <w:tcPr>
            <w:tcW w:w="565" w:type="pct"/>
          </w:tcPr>
          <w:p w:rsidR="00BD27FA" w:rsidRPr="00BD27FA" w:rsidRDefault="00BD27FA" w:rsidP="004A3015">
            <w:pPr>
              <w:pStyle w:val="TableBodyText"/>
              <w:rPr>
                <w:sz w:val="18"/>
                <w:szCs w:val="18"/>
              </w:rPr>
            </w:pPr>
            <w:r w:rsidRPr="00BD27FA">
              <w:rPr>
                <w:sz w:val="18"/>
                <w:szCs w:val="18"/>
              </w:rPr>
              <w:t>62.5</w:t>
            </w:r>
          </w:p>
        </w:tc>
        <w:tc>
          <w:tcPr>
            <w:tcW w:w="563" w:type="pct"/>
            <w:shd w:val="clear" w:color="auto" w:fill="D9D9D9" w:themeFill="background1" w:themeFillShade="D9"/>
          </w:tcPr>
          <w:p w:rsidR="00BD27FA" w:rsidRPr="00BD27FA" w:rsidRDefault="00BD27FA" w:rsidP="00295C4B">
            <w:pPr>
              <w:pStyle w:val="TableBodyText"/>
              <w:rPr>
                <w:sz w:val="18"/>
                <w:szCs w:val="18"/>
              </w:rPr>
            </w:pPr>
            <w:r w:rsidRPr="00BD27FA">
              <w:rPr>
                <w:sz w:val="18"/>
                <w:szCs w:val="18"/>
              </w:rPr>
              <w:t>188.7</w:t>
            </w:r>
          </w:p>
        </w:tc>
      </w:tr>
      <w:tr w:rsidR="00BD27FA" w:rsidRPr="00E4707B" w:rsidTr="00BD27FA">
        <w:trPr>
          <w:trHeight w:val="283"/>
        </w:trPr>
        <w:tc>
          <w:tcPr>
            <w:tcW w:w="1617" w:type="pct"/>
            <w:vAlign w:val="center"/>
          </w:tcPr>
          <w:p w:rsidR="00BD27FA" w:rsidRPr="00E4707B" w:rsidRDefault="00BD27FA" w:rsidP="006A50C8">
            <w:pPr>
              <w:pStyle w:val="TableBodyText"/>
              <w:jc w:val="left"/>
              <w:rPr>
                <w:b/>
                <w:sz w:val="18"/>
                <w:szCs w:val="18"/>
              </w:rPr>
            </w:pPr>
            <w:r w:rsidRPr="00E4707B">
              <w:rPr>
                <w:b/>
                <w:sz w:val="18"/>
                <w:szCs w:val="18"/>
              </w:rPr>
              <w:t>Services</w:t>
            </w:r>
          </w:p>
        </w:tc>
        <w:tc>
          <w:tcPr>
            <w:tcW w:w="563" w:type="pct"/>
          </w:tcPr>
          <w:p w:rsidR="00BD27FA" w:rsidRPr="00B03E4B" w:rsidRDefault="00BD27FA" w:rsidP="006A50C8">
            <w:pPr>
              <w:pStyle w:val="TableBodyText"/>
              <w:rPr>
                <w:b/>
                <w:sz w:val="18"/>
                <w:szCs w:val="18"/>
              </w:rPr>
            </w:pPr>
            <w:r w:rsidRPr="00B03E4B">
              <w:rPr>
                <w:b/>
                <w:sz w:val="18"/>
                <w:szCs w:val="18"/>
              </w:rPr>
              <w:t>0.0</w:t>
            </w:r>
          </w:p>
        </w:tc>
        <w:tc>
          <w:tcPr>
            <w:tcW w:w="563" w:type="pct"/>
            <w:gridSpan w:val="2"/>
          </w:tcPr>
          <w:p w:rsidR="00BD27FA" w:rsidRPr="00B03E4B" w:rsidRDefault="00BD27FA" w:rsidP="006A50C8">
            <w:pPr>
              <w:pStyle w:val="TableBodyText"/>
              <w:rPr>
                <w:b/>
                <w:sz w:val="18"/>
                <w:szCs w:val="18"/>
              </w:rPr>
            </w:pPr>
            <w:r w:rsidRPr="00B03E4B">
              <w:rPr>
                <w:b/>
                <w:sz w:val="18"/>
                <w:szCs w:val="18"/>
              </w:rPr>
              <w:t>-4448.1</w:t>
            </w:r>
          </w:p>
        </w:tc>
        <w:tc>
          <w:tcPr>
            <w:tcW w:w="563" w:type="pct"/>
            <w:gridSpan w:val="2"/>
            <w:shd w:val="clear" w:color="auto" w:fill="D9D9D9" w:themeFill="background1" w:themeFillShade="D9"/>
          </w:tcPr>
          <w:p w:rsidR="00BD27FA" w:rsidRPr="00B03E4B" w:rsidRDefault="00BD27FA" w:rsidP="006A50C8">
            <w:pPr>
              <w:pStyle w:val="TableBodyText"/>
              <w:rPr>
                <w:b/>
                <w:sz w:val="18"/>
                <w:szCs w:val="18"/>
              </w:rPr>
            </w:pPr>
            <w:r w:rsidRPr="00B03E4B">
              <w:rPr>
                <w:b/>
                <w:sz w:val="18"/>
                <w:szCs w:val="18"/>
              </w:rPr>
              <w:t>-4448.1</w:t>
            </w:r>
          </w:p>
        </w:tc>
        <w:tc>
          <w:tcPr>
            <w:tcW w:w="566" w:type="pct"/>
            <w:gridSpan w:val="2"/>
          </w:tcPr>
          <w:p w:rsidR="00BD27FA" w:rsidRPr="00BD27FA" w:rsidRDefault="00BD27FA" w:rsidP="0014396D">
            <w:pPr>
              <w:pStyle w:val="TableBodyText"/>
              <w:rPr>
                <w:b/>
                <w:sz w:val="18"/>
                <w:szCs w:val="18"/>
              </w:rPr>
            </w:pPr>
            <w:r w:rsidRPr="00BD27FA">
              <w:rPr>
                <w:b/>
                <w:sz w:val="18"/>
                <w:szCs w:val="18"/>
              </w:rPr>
              <w:t>2091.1</w:t>
            </w:r>
          </w:p>
        </w:tc>
        <w:tc>
          <w:tcPr>
            <w:tcW w:w="565" w:type="pct"/>
          </w:tcPr>
          <w:p w:rsidR="00BD27FA" w:rsidRPr="00BD27FA" w:rsidRDefault="00BD27FA" w:rsidP="00295C4B">
            <w:pPr>
              <w:pStyle w:val="TableBodyText"/>
              <w:rPr>
                <w:b/>
                <w:sz w:val="18"/>
                <w:szCs w:val="18"/>
              </w:rPr>
            </w:pPr>
            <w:r w:rsidRPr="00BD27FA">
              <w:rPr>
                <w:b/>
                <w:sz w:val="18"/>
                <w:szCs w:val="18"/>
              </w:rPr>
              <w:t>2110.4</w:t>
            </w:r>
          </w:p>
        </w:tc>
        <w:tc>
          <w:tcPr>
            <w:tcW w:w="563" w:type="pct"/>
            <w:shd w:val="clear" w:color="auto" w:fill="D9D9D9" w:themeFill="background1" w:themeFillShade="D9"/>
          </w:tcPr>
          <w:p w:rsidR="00BD27FA" w:rsidRPr="00BD27FA" w:rsidRDefault="00BD27FA" w:rsidP="0014396D">
            <w:pPr>
              <w:pStyle w:val="TableBodyText"/>
              <w:rPr>
                <w:b/>
                <w:sz w:val="18"/>
                <w:szCs w:val="18"/>
              </w:rPr>
            </w:pPr>
            <w:r w:rsidRPr="00BD27FA">
              <w:rPr>
                <w:b/>
                <w:sz w:val="18"/>
                <w:szCs w:val="18"/>
              </w:rPr>
              <w:t>-246.6</w:t>
            </w:r>
          </w:p>
        </w:tc>
      </w:tr>
      <w:tr w:rsidR="00BD27FA" w:rsidRPr="00E4707B" w:rsidTr="00BD27FA">
        <w:tc>
          <w:tcPr>
            <w:tcW w:w="1617" w:type="pct"/>
            <w:vAlign w:val="center"/>
          </w:tcPr>
          <w:p w:rsidR="00BD27FA" w:rsidRPr="00E4707B" w:rsidRDefault="00BD27FA" w:rsidP="00EF4E74">
            <w:pPr>
              <w:pStyle w:val="TableBodyText"/>
              <w:jc w:val="left"/>
              <w:rPr>
                <w:sz w:val="18"/>
                <w:szCs w:val="18"/>
              </w:rPr>
            </w:pPr>
            <w:r w:rsidRPr="00E4707B">
              <w:rPr>
                <w:sz w:val="18"/>
                <w:szCs w:val="18"/>
              </w:rPr>
              <w:t xml:space="preserve">Electricity, gas, water </w:t>
            </w:r>
            <w:r>
              <w:rPr>
                <w:sz w:val="18"/>
                <w:szCs w:val="18"/>
              </w:rPr>
              <w:t xml:space="preserve">and </w:t>
            </w:r>
            <w:r w:rsidRPr="00E4707B">
              <w:rPr>
                <w:sz w:val="18"/>
                <w:szCs w:val="18"/>
              </w:rPr>
              <w:t>waste</w:t>
            </w:r>
          </w:p>
        </w:tc>
        <w:tc>
          <w:tcPr>
            <w:tcW w:w="563" w:type="pct"/>
          </w:tcPr>
          <w:p w:rsidR="00BD27FA" w:rsidRPr="00B03E4B" w:rsidRDefault="00BD27FA" w:rsidP="006A50C8">
            <w:pPr>
              <w:pStyle w:val="TableBodyText"/>
              <w:rPr>
                <w:sz w:val="18"/>
                <w:szCs w:val="18"/>
              </w:rPr>
            </w:pPr>
            <w:r>
              <w:rPr>
                <w:sz w:val="18"/>
                <w:szCs w:val="18"/>
              </w:rPr>
              <w:t>–</w:t>
            </w:r>
          </w:p>
        </w:tc>
        <w:tc>
          <w:tcPr>
            <w:tcW w:w="563" w:type="pct"/>
            <w:gridSpan w:val="2"/>
          </w:tcPr>
          <w:p w:rsidR="00BD27FA" w:rsidRPr="00B03E4B" w:rsidRDefault="00BD27FA" w:rsidP="006A50C8">
            <w:pPr>
              <w:pStyle w:val="TableBodyText"/>
              <w:rPr>
                <w:sz w:val="18"/>
                <w:szCs w:val="18"/>
              </w:rPr>
            </w:pPr>
            <w:r w:rsidRPr="00B03E4B">
              <w:rPr>
                <w:sz w:val="18"/>
                <w:szCs w:val="18"/>
              </w:rPr>
              <w:t>-77.6</w:t>
            </w:r>
          </w:p>
        </w:tc>
        <w:tc>
          <w:tcPr>
            <w:tcW w:w="563" w:type="pct"/>
            <w:gridSpan w:val="2"/>
            <w:shd w:val="clear" w:color="auto" w:fill="D9D9D9" w:themeFill="background1" w:themeFillShade="D9"/>
          </w:tcPr>
          <w:p w:rsidR="00BD27FA" w:rsidRPr="00B03E4B" w:rsidRDefault="00BD27FA" w:rsidP="006A50C8">
            <w:pPr>
              <w:pStyle w:val="TableBodyText"/>
              <w:rPr>
                <w:sz w:val="18"/>
                <w:szCs w:val="18"/>
              </w:rPr>
            </w:pPr>
            <w:r w:rsidRPr="00B03E4B">
              <w:rPr>
                <w:sz w:val="18"/>
                <w:szCs w:val="18"/>
              </w:rPr>
              <w:t>-77.6</w:t>
            </w:r>
          </w:p>
        </w:tc>
        <w:tc>
          <w:tcPr>
            <w:tcW w:w="566" w:type="pct"/>
            <w:gridSpan w:val="2"/>
          </w:tcPr>
          <w:p w:rsidR="00BD27FA" w:rsidRPr="00BD27FA" w:rsidRDefault="00BD27FA" w:rsidP="00295C4B">
            <w:pPr>
              <w:pStyle w:val="TableBodyText"/>
              <w:rPr>
                <w:sz w:val="18"/>
                <w:szCs w:val="18"/>
              </w:rPr>
            </w:pPr>
            <w:r w:rsidRPr="00BD27FA">
              <w:rPr>
                <w:sz w:val="18"/>
                <w:szCs w:val="18"/>
              </w:rPr>
              <w:t>1050.8</w:t>
            </w:r>
          </w:p>
        </w:tc>
        <w:tc>
          <w:tcPr>
            <w:tcW w:w="565" w:type="pct"/>
          </w:tcPr>
          <w:p w:rsidR="00BD27FA" w:rsidRPr="00BD27FA" w:rsidRDefault="00BD27FA" w:rsidP="004A3015">
            <w:pPr>
              <w:pStyle w:val="TableBodyText"/>
              <w:rPr>
                <w:sz w:val="18"/>
                <w:szCs w:val="18"/>
              </w:rPr>
            </w:pPr>
            <w:r w:rsidRPr="00BD27FA">
              <w:rPr>
                <w:sz w:val="18"/>
                <w:szCs w:val="18"/>
              </w:rPr>
              <w:t>26.6</w:t>
            </w:r>
          </w:p>
        </w:tc>
        <w:tc>
          <w:tcPr>
            <w:tcW w:w="563" w:type="pct"/>
            <w:shd w:val="clear" w:color="auto" w:fill="D9D9D9" w:themeFill="background1" w:themeFillShade="D9"/>
          </w:tcPr>
          <w:p w:rsidR="00BD27FA" w:rsidRPr="00BD27FA" w:rsidRDefault="00BD27FA" w:rsidP="00295C4B">
            <w:pPr>
              <w:pStyle w:val="TableBodyText"/>
              <w:rPr>
                <w:sz w:val="18"/>
                <w:szCs w:val="18"/>
              </w:rPr>
            </w:pPr>
            <w:r w:rsidRPr="00BD27FA">
              <w:rPr>
                <w:sz w:val="18"/>
                <w:szCs w:val="18"/>
              </w:rPr>
              <w:t>999.8</w:t>
            </w:r>
          </w:p>
        </w:tc>
      </w:tr>
      <w:tr w:rsidR="00BD27FA" w:rsidRPr="00E4707B" w:rsidTr="00BD27FA">
        <w:tc>
          <w:tcPr>
            <w:tcW w:w="1617" w:type="pct"/>
            <w:vAlign w:val="center"/>
          </w:tcPr>
          <w:p w:rsidR="00BD27FA" w:rsidRPr="00E4707B" w:rsidRDefault="00BD27FA" w:rsidP="006A50C8">
            <w:pPr>
              <w:pStyle w:val="TableBodyText"/>
              <w:jc w:val="left"/>
              <w:rPr>
                <w:sz w:val="18"/>
                <w:szCs w:val="18"/>
              </w:rPr>
            </w:pPr>
            <w:r w:rsidRPr="00E4707B">
              <w:rPr>
                <w:sz w:val="18"/>
                <w:szCs w:val="18"/>
              </w:rPr>
              <w:t>Construction</w:t>
            </w:r>
          </w:p>
        </w:tc>
        <w:tc>
          <w:tcPr>
            <w:tcW w:w="563" w:type="pct"/>
          </w:tcPr>
          <w:p w:rsidR="00BD27FA" w:rsidRPr="00B03E4B" w:rsidRDefault="00BD27FA" w:rsidP="006A50C8">
            <w:pPr>
              <w:pStyle w:val="TableBodyText"/>
              <w:rPr>
                <w:sz w:val="18"/>
                <w:szCs w:val="18"/>
              </w:rPr>
            </w:pPr>
            <w:r>
              <w:rPr>
                <w:sz w:val="18"/>
                <w:szCs w:val="18"/>
              </w:rPr>
              <w:t>–</w:t>
            </w:r>
          </w:p>
        </w:tc>
        <w:tc>
          <w:tcPr>
            <w:tcW w:w="563" w:type="pct"/>
            <w:gridSpan w:val="2"/>
          </w:tcPr>
          <w:p w:rsidR="00BD27FA" w:rsidRPr="00B03E4B" w:rsidRDefault="00BD27FA" w:rsidP="006A50C8">
            <w:pPr>
              <w:pStyle w:val="TableBodyText"/>
              <w:rPr>
                <w:sz w:val="18"/>
                <w:szCs w:val="18"/>
              </w:rPr>
            </w:pPr>
            <w:r w:rsidRPr="00B03E4B">
              <w:rPr>
                <w:sz w:val="18"/>
                <w:szCs w:val="18"/>
              </w:rPr>
              <w:t>-1542.6</w:t>
            </w:r>
          </w:p>
        </w:tc>
        <w:tc>
          <w:tcPr>
            <w:tcW w:w="563" w:type="pct"/>
            <w:gridSpan w:val="2"/>
            <w:shd w:val="clear" w:color="auto" w:fill="D9D9D9" w:themeFill="background1" w:themeFillShade="D9"/>
          </w:tcPr>
          <w:p w:rsidR="00BD27FA" w:rsidRPr="00B03E4B" w:rsidRDefault="00BD27FA" w:rsidP="006A50C8">
            <w:pPr>
              <w:pStyle w:val="TableBodyText"/>
              <w:rPr>
                <w:sz w:val="18"/>
                <w:szCs w:val="18"/>
              </w:rPr>
            </w:pPr>
            <w:r w:rsidRPr="00B03E4B">
              <w:rPr>
                <w:sz w:val="18"/>
                <w:szCs w:val="18"/>
              </w:rPr>
              <w:t>-1542.6</w:t>
            </w:r>
          </w:p>
        </w:tc>
        <w:tc>
          <w:tcPr>
            <w:tcW w:w="566" w:type="pct"/>
            <w:gridSpan w:val="2"/>
          </w:tcPr>
          <w:p w:rsidR="00BD27FA" w:rsidRPr="00BD27FA" w:rsidRDefault="00BD27FA" w:rsidP="004A3015">
            <w:pPr>
              <w:pStyle w:val="TableBodyText"/>
              <w:rPr>
                <w:sz w:val="18"/>
                <w:szCs w:val="18"/>
              </w:rPr>
            </w:pPr>
            <w:r w:rsidRPr="00BD27FA">
              <w:rPr>
                <w:sz w:val="18"/>
                <w:szCs w:val="18"/>
              </w:rPr>
              <w:t>24.2</w:t>
            </w:r>
          </w:p>
        </w:tc>
        <w:tc>
          <w:tcPr>
            <w:tcW w:w="565" w:type="pct"/>
          </w:tcPr>
          <w:p w:rsidR="00BD27FA" w:rsidRPr="00BD27FA" w:rsidRDefault="00BD27FA" w:rsidP="004A3015">
            <w:pPr>
              <w:pStyle w:val="TableBodyText"/>
              <w:rPr>
                <w:sz w:val="18"/>
                <w:szCs w:val="18"/>
              </w:rPr>
            </w:pPr>
            <w:r w:rsidRPr="00BD27FA">
              <w:rPr>
                <w:sz w:val="18"/>
                <w:szCs w:val="18"/>
              </w:rPr>
              <w:t>107.5</w:t>
            </w:r>
          </w:p>
        </w:tc>
        <w:tc>
          <w:tcPr>
            <w:tcW w:w="563" w:type="pct"/>
            <w:shd w:val="clear" w:color="auto" w:fill="D9D9D9" w:themeFill="background1" w:themeFillShade="D9"/>
          </w:tcPr>
          <w:p w:rsidR="00BD27FA" w:rsidRPr="00BD27FA" w:rsidRDefault="00BD27FA" w:rsidP="00C76B67">
            <w:pPr>
              <w:pStyle w:val="TableBodyText"/>
              <w:rPr>
                <w:sz w:val="18"/>
                <w:szCs w:val="18"/>
              </w:rPr>
            </w:pPr>
            <w:r w:rsidRPr="00BD27FA">
              <w:rPr>
                <w:sz w:val="18"/>
                <w:szCs w:val="18"/>
              </w:rPr>
              <w:t>-1410.9</w:t>
            </w:r>
          </w:p>
        </w:tc>
      </w:tr>
      <w:tr w:rsidR="00BD27FA" w:rsidRPr="00E4707B" w:rsidTr="00BD27FA">
        <w:tc>
          <w:tcPr>
            <w:tcW w:w="1617" w:type="pct"/>
            <w:vAlign w:val="center"/>
          </w:tcPr>
          <w:p w:rsidR="00BD27FA" w:rsidRPr="00E4707B" w:rsidRDefault="00BD27FA" w:rsidP="006A50C8">
            <w:pPr>
              <w:pStyle w:val="TableBodyText"/>
              <w:jc w:val="left"/>
              <w:rPr>
                <w:sz w:val="18"/>
                <w:szCs w:val="18"/>
              </w:rPr>
            </w:pPr>
            <w:r w:rsidRPr="00E4707B">
              <w:rPr>
                <w:sz w:val="18"/>
                <w:szCs w:val="18"/>
              </w:rPr>
              <w:t>Wholesale trade</w:t>
            </w:r>
          </w:p>
        </w:tc>
        <w:tc>
          <w:tcPr>
            <w:tcW w:w="563" w:type="pct"/>
          </w:tcPr>
          <w:p w:rsidR="00BD27FA" w:rsidRPr="00B03E4B" w:rsidRDefault="00BD27FA" w:rsidP="006A50C8">
            <w:pPr>
              <w:pStyle w:val="TableBodyText"/>
              <w:rPr>
                <w:sz w:val="18"/>
                <w:szCs w:val="18"/>
              </w:rPr>
            </w:pPr>
            <w:r>
              <w:rPr>
                <w:sz w:val="18"/>
                <w:szCs w:val="18"/>
              </w:rPr>
              <w:t>–</w:t>
            </w:r>
          </w:p>
        </w:tc>
        <w:tc>
          <w:tcPr>
            <w:tcW w:w="563" w:type="pct"/>
            <w:gridSpan w:val="2"/>
          </w:tcPr>
          <w:p w:rsidR="00BD27FA" w:rsidRPr="00B03E4B" w:rsidRDefault="00BD27FA" w:rsidP="006A50C8">
            <w:pPr>
              <w:pStyle w:val="TableBodyText"/>
              <w:rPr>
                <w:sz w:val="18"/>
                <w:szCs w:val="18"/>
              </w:rPr>
            </w:pPr>
            <w:r w:rsidRPr="00B03E4B">
              <w:rPr>
                <w:sz w:val="18"/>
                <w:szCs w:val="18"/>
              </w:rPr>
              <w:t>-267.7</w:t>
            </w:r>
          </w:p>
        </w:tc>
        <w:tc>
          <w:tcPr>
            <w:tcW w:w="563" w:type="pct"/>
            <w:gridSpan w:val="2"/>
            <w:shd w:val="clear" w:color="auto" w:fill="D9D9D9" w:themeFill="background1" w:themeFillShade="D9"/>
          </w:tcPr>
          <w:p w:rsidR="00BD27FA" w:rsidRPr="00B03E4B" w:rsidRDefault="00BD27FA" w:rsidP="006A50C8">
            <w:pPr>
              <w:pStyle w:val="TableBodyText"/>
              <w:rPr>
                <w:sz w:val="18"/>
                <w:szCs w:val="18"/>
              </w:rPr>
            </w:pPr>
            <w:r w:rsidRPr="00B03E4B">
              <w:rPr>
                <w:sz w:val="18"/>
                <w:szCs w:val="18"/>
              </w:rPr>
              <w:t>-267.7</w:t>
            </w:r>
          </w:p>
        </w:tc>
        <w:tc>
          <w:tcPr>
            <w:tcW w:w="566" w:type="pct"/>
            <w:gridSpan w:val="2"/>
          </w:tcPr>
          <w:p w:rsidR="00BD27FA" w:rsidRPr="00BD27FA" w:rsidRDefault="00BD27FA" w:rsidP="0014396D">
            <w:pPr>
              <w:pStyle w:val="TableBodyText"/>
              <w:rPr>
                <w:sz w:val="18"/>
                <w:szCs w:val="18"/>
              </w:rPr>
            </w:pPr>
            <w:r w:rsidRPr="00BD27FA">
              <w:rPr>
                <w:sz w:val="18"/>
                <w:szCs w:val="18"/>
              </w:rPr>
              <w:t>63.0</w:t>
            </w:r>
          </w:p>
        </w:tc>
        <w:tc>
          <w:tcPr>
            <w:tcW w:w="565" w:type="pct"/>
          </w:tcPr>
          <w:p w:rsidR="00BD27FA" w:rsidRPr="00BD27FA" w:rsidRDefault="00BD27FA" w:rsidP="004A3015">
            <w:pPr>
              <w:pStyle w:val="TableBodyText"/>
              <w:rPr>
                <w:sz w:val="18"/>
                <w:szCs w:val="18"/>
              </w:rPr>
            </w:pPr>
            <w:r w:rsidRPr="00BD27FA">
              <w:rPr>
                <w:sz w:val="18"/>
                <w:szCs w:val="18"/>
              </w:rPr>
              <w:t>162.5</w:t>
            </w:r>
          </w:p>
        </w:tc>
        <w:tc>
          <w:tcPr>
            <w:tcW w:w="563" w:type="pct"/>
            <w:shd w:val="clear" w:color="auto" w:fill="D9D9D9" w:themeFill="background1" w:themeFillShade="D9"/>
          </w:tcPr>
          <w:p w:rsidR="00BD27FA" w:rsidRPr="00BD27FA" w:rsidRDefault="00BD27FA" w:rsidP="0014396D">
            <w:pPr>
              <w:pStyle w:val="TableBodyText"/>
              <w:rPr>
                <w:sz w:val="18"/>
                <w:szCs w:val="18"/>
              </w:rPr>
            </w:pPr>
            <w:r w:rsidRPr="00BD27FA">
              <w:rPr>
                <w:sz w:val="18"/>
                <w:szCs w:val="18"/>
              </w:rPr>
              <w:t>-42.3</w:t>
            </w:r>
          </w:p>
        </w:tc>
      </w:tr>
      <w:tr w:rsidR="00BD27FA" w:rsidRPr="00E4707B" w:rsidTr="00BD27FA">
        <w:tc>
          <w:tcPr>
            <w:tcW w:w="1617" w:type="pct"/>
            <w:vAlign w:val="center"/>
          </w:tcPr>
          <w:p w:rsidR="00BD27FA" w:rsidRPr="00E4707B" w:rsidRDefault="00BD27FA" w:rsidP="006A50C8">
            <w:pPr>
              <w:pStyle w:val="TableBodyText"/>
              <w:jc w:val="left"/>
              <w:rPr>
                <w:sz w:val="18"/>
                <w:szCs w:val="18"/>
              </w:rPr>
            </w:pPr>
            <w:r w:rsidRPr="00E4707B">
              <w:rPr>
                <w:sz w:val="18"/>
                <w:szCs w:val="18"/>
              </w:rPr>
              <w:t>Retail trade</w:t>
            </w:r>
          </w:p>
        </w:tc>
        <w:tc>
          <w:tcPr>
            <w:tcW w:w="563" w:type="pct"/>
          </w:tcPr>
          <w:p w:rsidR="00BD27FA" w:rsidRPr="00B03E4B" w:rsidRDefault="00BD27FA" w:rsidP="006A50C8">
            <w:pPr>
              <w:pStyle w:val="TableBodyText"/>
              <w:rPr>
                <w:sz w:val="18"/>
                <w:szCs w:val="18"/>
              </w:rPr>
            </w:pPr>
            <w:r>
              <w:rPr>
                <w:sz w:val="18"/>
                <w:szCs w:val="18"/>
              </w:rPr>
              <w:t>–</w:t>
            </w:r>
          </w:p>
        </w:tc>
        <w:tc>
          <w:tcPr>
            <w:tcW w:w="563" w:type="pct"/>
            <w:gridSpan w:val="2"/>
          </w:tcPr>
          <w:p w:rsidR="00BD27FA" w:rsidRPr="00B03E4B" w:rsidRDefault="00BD27FA" w:rsidP="006A50C8">
            <w:pPr>
              <w:pStyle w:val="TableBodyText"/>
              <w:rPr>
                <w:sz w:val="18"/>
                <w:szCs w:val="18"/>
              </w:rPr>
            </w:pPr>
            <w:r w:rsidRPr="00B03E4B">
              <w:rPr>
                <w:sz w:val="18"/>
                <w:szCs w:val="18"/>
              </w:rPr>
              <w:t>-179.3</w:t>
            </w:r>
          </w:p>
        </w:tc>
        <w:tc>
          <w:tcPr>
            <w:tcW w:w="563" w:type="pct"/>
            <w:gridSpan w:val="2"/>
            <w:shd w:val="clear" w:color="auto" w:fill="D9D9D9" w:themeFill="background1" w:themeFillShade="D9"/>
          </w:tcPr>
          <w:p w:rsidR="00BD27FA" w:rsidRPr="00B03E4B" w:rsidRDefault="00BD27FA" w:rsidP="006A50C8">
            <w:pPr>
              <w:pStyle w:val="TableBodyText"/>
              <w:rPr>
                <w:sz w:val="18"/>
                <w:szCs w:val="18"/>
              </w:rPr>
            </w:pPr>
            <w:r w:rsidRPr="00B03E4B">
              <w:rPr>
                <w:sz w:val="18"/>
                <w:szCs w:val="18"/>
              </w:rPr>
              <w:t>-179.3</w:t>
            </w:r>
          </w:p>
        </w:tc>
        <w:tc>
          <w:tcPr>
            <w:tcW w:w="566" w:type="pct"/>
            <w:gridSpan w:val="2"/>
          </w:tcPr>
          <w:p w:rsidR="00BD27FA" w:rsidRPr="00BD27FA" w:rsidRDefault="00BD27FA" w:rsidP="006A50C8">
            <w:pPr>
              <w:pStyle w:val="TableBodyText"/>
              <w:rPr>
                <w:sz w:val="18"/>
                <w:szCs w:val="18"/>
              </w:rPr>
            </w:pPr>
            <w:r w:rsidRPr="00BD27FA">
              <w:rPr>
                <w:sz w:val="18"/>
                <w:szCs w:val="18"/>
              </w:rPr>
              <w:t>39.2</w:t>
            </w:r>
          </w:p>
        </w:tc>
        <w:tc>
          <w:tcPr>
            <w:tcW w:w="565" w:type="pct"/>
          </w:tcPr>
          <w:p w:rsidR="00BD27FA" w:rsidRPr="00BD27FA" w:rsidRDefault="00BD27FA" w:rsidP="0068234E">
            <w:pPr>
              <w:pStyle w:val="TableBodyText"/>
              <w:rPr>
                <w:sz w:val="18"/>
                <w:szCs w:val="18"/>
              </w:rPr>
            </w:pPr>
            <w:r w:rsidRPr="00BD27FA">
              <w:rPr>
                <w:sz w:val="18"/>
                <w:szCs w:val="18"/>
              </w:rPr>
              <w:t>91.8</w:t>
            </w:r>
          </w:p>
        </w:tc>
        <w:tc>
          <w:tcPr>
            <w:tcW w:w="563" w:type="pct"/>
            <w:shd w:val="clear" w:color="auto" w:fill="D9D9D9" w:themeFill="background1" w:themeFillShade="D9"/>
          </w:tcPr>
          <w:p w:rsidR="00BD27FA" w:rsidRPr="00BD27FA" w:rsidRDefault="00BD27FA" w:rsidP="00C76B67">
            <w:pPr>
              <w:pStyle w:val="TableBodyText"/>
              <w:rPr>
                <w:sz w:val="18"/>
                <w:szCs w:val="18"/>
              </w:rPr>
            </w:pPr>
            <w:r w:rsidRPr="00BD27FA">
              <w:rPr>
                <w:sz w:val="18"/>
                <w:szCs w:val="18"/>
              </w:rPr>
              <w:t>-48.3</w:t>
            </w:r>
          </w:p>
        </w:tc>
      </w:tr>
      <w:tr w:rsidR="00BD27FA" w:rsidRPr="00E4707B" w:rsidTr="00BD27FA">
        <w:tc>
          <w:tcPr>
            <w:tcW w:w="1617" w:type="pct"/>
            <w:vAlign w:val="center"/>
          </w:tcPr>
          <w:p w:rsidR="00BD27FA" w:rsidRPr="00E4707B" w:rsidRDefault="00BD27FA" w:rsidP="00EF4E74">
            <w:pPr>
              <w:pStyle w:val="TableBodyText"/>
              <w:jc w:val="left"/>
              <w:rPr>
                <w:sz w:val="18"/>
                <w:szCs w:val="18"/>
              </w:rPr>
            </w:pPr>
            <w:r w:rsidRPr="00E4707B">
              <w:rPr>
                <w:sz w:val="18"/>
                <w:szCs w:val="18"/>
              </w:rPr>
              <w:t xml:space="preserve">Accommodation </w:t>
            </w:r>
            <w:r>
              <w:rPr>
                <w:sz w:val="18"/>
                <w:szCs w:val="18"/>
              </w:rPr>
              <w:t xml:space="preserve">&amp; </w:t>
            </w:r>
            <w:r w:rsidRPr="00E4707B">
              <w:rPr>
                <w:sz w:val="18"/>
                <w:szCs w:val="18"/>
              </w:rPr>
              <w:t>food services</w:t>
            </w:r>
          </w:p>
        </w:tc>
        <w:tc>
          <w:tcPr>
            <w:tcW w:w="563" w:type="pct"/>
          </w:tcPr>
          <w:p w:rsidR="00BD27FA" w:rsidRPr="00B03E4B" w:rsidRDefault="00BD27FA" w:rsidP="006A50C8">
            <w:pPr>
              <w:pStyle w:val="TableBodyText"/>
              <w:rPr>
                <w:sz w:val="18"/>
                <w:szCs w:val="18"/>
              </w:rPr>
            </w:pPr>
            <w:r>
              <w:rPr>
                <w:sz w:val="18"/>
                <w:szCs w:val="18"/>
              </w:rPr>
              <w:t>–</w:t>
            </w:r>
          </w:p>
        </w:tc>
        <w:tc>
          <w:tcPr>
            <w:tcW w:w="563" w:type="pct"/>
            <w:gridSpan w:val="2"/>
          </w:tcPr>
          <w:p w:rsidR="00BD27FA" w:rsidRPr="00B03E4B" w:rsidRDefault="00BD27FA" w:rsidP="006A50C8">
            <w:pPr>
              <w:pStyle w:val="TableBodyText"/>
              <w:rPr>
                <w:sz w:val="18"/>
                <w:szCs w:val="18"/>
              </w:rPr>
            </w:pPr>
            <w:r w:rsidRPr="00B03E4B">
              <w:rPr>
                <w:sz w:val="18"/>
                <w:szCs w:val="18"/>
              </w:rPr>
              <w:t>-520.9</w:t>
            </w:r>
          </w:p>
        </w:tc>
        <w:tc>
          <w:tcPr>
            <w:tcW w:w="563" w:type="pct"/>
            <w:gridSpan w:val="2"/>
            <w:shd w:val="clear" w:color="auto" w:fill="D9D9D9" w:themeFill="background1" w:themeFillShade="D9"/>
          </w:tcPr>
          <w:p w:rsidR="00BD27FA" w:rsidRPr="00B03E4B" w:rsidRDefault="00BD27FA" w:rsidP="006A50C8">
            <w:pPr>
              <w:pStyle w:val="TableBodyText"/>
              <w:rPr>
                <w:sz w:val="18"/>
                <w:szCs w:val="18"/>
              </w:rPr>
            </w:pPr>
            <w:r w:rsidRPr="00B03E4B">
              <w:rPr>
                <w:sz w:val="18"/>
                <w:szCs w:val="18"/>
              </w:rPr>
              <w:t>-520.9</w:t>
            </w:r>
          </w:p>
        </w:tc>
        <w:tc>
          <w:tcPr>
            <w:tcW w:w="566" w:type="pct"/>
            <w:gridSpan w:val="2"/>
          </w:tcPr>
          <w:p w:rsidR="00BD27FA" w:rsidRPr="00BD27FA" w:rsidRDefault="00BD27FA" w:rsidP="004A3015">
            <w:pPr>
              <w:pStyle w:val="TableBodyText"/>
              <w:rPr>
                <w:sz w:val="18"/>
                <w:szCs w:val="18"/>
              </w:rPr>
            </w:pPr>
            <w:r w:rsidRPr="00BD27FA">
              <w:rPr>
                <w:sz w:val="18"/>
                <w:szCs w:val="18"/>
              </w:rPr>
              <w:t>4.8</w:t>
            </w:r>
          </w:p>
        </w:tc>
        <w:tc>
          <w:tcPr>
            <w:tcW w:w="565" w:type="pct"/>
          </w:tcPr>
          <w:p w:rsidR="00BD27FA" w:rsidRPr="00BD27FA" w:rsidRDefault="00BD27FA" w:rsidP="0068234E">
            <w:pPr>
              <w:pStyle w:val="TableBodyText"/>
              <w:rPr>
                <w:sz w:val="18"/>
                <w:szCs w:val="18"/>
              </w:rPr>
            </w:pPr>
            <w:r w:rsidRPr="00BD27FA">
              <w:rPr>
                <w:sz w:val="18"/>
                <w:szCs w:val="18"/>
              </w:rPr>
              <w:t>35.2</w:t>
            </w:r>
          </w:p>
        </w:tc>
        <w:tc>
          <w:tcPr>
            <w:tcW w:w="563" w:type="pct"/>
            <w:shd w:val="clear" w:color="auto" w:fill="D9D9D9" w:themeFill="background1" w:themeFillShade="D9"/>
          </w:tcPr>
          <w:p w:rsidR="00BD27FA" w:rsidRPr="00BD27FA" w:rsidRDefault="00BD27FA" w:rsidP="00C76B67">
            <w:pPr>
              <w:pStyle w:val="TableBodyText"/>
              <w:rPr>
                <w:sz w:val="18"/>
                <w:szCs w:val="18"/>
              </w:rPr>
            </w:pPr>
            <w:r w:rsidRPr="00BD27FA">
              <w:rPr>
                <w:sz w:val="18"/>
                <w:szCs w:val="18"/>
              </w:rPr>
              <w:t>-480.9</w:t>
            </w:r>
          </w:p>
        </w:tc>
      </w:tr>
      <w:tr w:rsidR="00BD27FA" w:rsidRPr="00E4707B" w:rsidTr="00BD27FA">
        <w:tc>
          <w:tcPr>
            <w:tcW w:w="1617" w:type="pct"/>
            <w:vAlign w:val="center"/>
          </w:tcPr>
          <w:p w:rsidR="00BD27FA" w:rsidRPr="00E4707B" w:rsidRDefault="00BD27FA" w:rsidP="006A50C8">
            <w:pPr>
              <w:pStyle w:val="TableBodyText"/>
              <w:jc w:val="left"/>
              <w:rPr>
                <w:sz w:val="18"/>
                <w:szCs w:val="18"/>
              </w:rPr>
            </w:pPr>
            <w:r w:rsidRPr="00E4707B">
              <w:rPr>
                <w:sz w:val="18"/>
                <w:szCs w:val="18"/>
              </w:rPr>
              <w:t xml:space="preserve">Transport, postal </w:t>
            </w:r>
            <w:r>
              <w:rPr>
                <w:sz w:val="18"/>
                <w:szCs w:val="18"/>
              </w:rPr>
              <w:t>&amp;</w:t>
            </w:r>
            <w:r w:rsidRPr="00E4707B">
              <w:rPr>
                <w:sz w:val="18"/>
                <w:szCs w:val="18"/>
              </w:rPr>
              <w:t xml:space="preserve"> warehousing</w:t>
            </w:r>
          </w:p>
        </w:tc>
        <w:tc>
          <w:tcPr>
            <w:tcW w:w="563" w:type="pct"/>
          </w:tcPr>
          <w:p w:rsidR="00BD27FA" w:rsidRPr="00B03E4B" w:rsidRDefault="00BD27FA" w:rsidP="006A50C8">
            <w:pPr>
              <w:pStyle w:val="TableBodyText"/>
              <w:rPr>
                <w:sz w:val="18"/>
                <w:szCs w:val="18"/>
              </w:rPr>
            </w:pPr>
            <w:r>
              <w:rPr>
                <w:sz w:val="18"/>
                <w:szCs w:val="18"/>
              </w:rPr>
              <w:t>–</w:t>
            </w:r>
          </w:p>
        </w:tc>
        <w:tc>
          <w:tcPr>
            <w:tcW w:w="563" w:type="pct"/>
            <w:gridSpan w:val="2"/>
          </w:tcPr>
          <w:p w:rsidR="00BD27FA" w:rsidRPr="00B03E4B" w:rsidRDefault="00BD27FA" w:rsidP="006A50C8">
            <w:pPr>
              <w:pStyle w:val="TableBodyText"/>
              <w:rPr>
                <w:sz w:val="18"/>
                <w:szCs w:val="18"/>
              </w:rPr>
            </w:pPr>
            <w:r w:rsidRPr="00B03E4B">
              <w:rPr>
                <w:sz w:val="18"/>
                <w:szCs w:val="18"/>
              </w:rPr>
              <w:t>-190.9</w:t>
            </w:r>
          </w:p>
        </w:tc>
        <w:tc>
          <w:tcPr>
            <w:tcW w:w="563" w:type="pct"/>
            <w:gridSpan w:val="2"/>
            <w:shd w:val="clear" w:color="auto" w:fill="D9D9D9" w:themeFill="background1" w:themeFillShade="D9"/>
          </w:tcPr>
          <w:p w:rsidR="00BD27FA" w:rsidRPr="00B03E4B" w:rsidRDefault="00BD27FA" w:rsidP="006A50C8">
            <w:pPr>
              <w:pStyle w:val="TableBodyText"/>
              <w:rPr>
                <w:sz w:val="18"/>
                <w:szCs w:val="18"/>
              </w:rPr>
            </w:pPr>
            <w:r w:rsidRPr="00B03E4B">
              <w:rPr>
                <w:sz w:val="18"/>
                <w:szCs w:val="18"/>
              </w:rPr>
              <w:t>-190.9</w:t>
            </w:r>
          </w:p>
        </w:tc>
        <w:tc>
          <w:tcPr>
            <w:tcW w:w="566" w:type="pct"/>
            <w:gridSpan w:val="2"/>
          </w:tcPr>
          <w:p w:rsidR="00BD27FA" w:rsidRPr="00BD27FA" w:rsidRDefault="00BD27FA" w:rsidP="00295C4B">
            <w:pPr>
              <w:pStyle w:val="TableBodyText"/>
              <w:rPr>
                <w:sz w:val="18"/>
                <w:szCs w:val="18"/>
              </w:rPr>
            </w:pPr>
            <w:r w:rsidRPr="00BD27FA">
              <w:rPr>
                <w:sz w:val="18"/>
                <w:szCs w:val="18"/>
              </w:rPr>
              <w:t>56.2</w:t>
            </w:r>
          </w:p>
        </w:tc>
        <w:tc>
          <w:tcPr>
            <w:tcW w:w="565" w:type="pct"/>
          </w:tcPr>
          <w:p w:rsidR="00BD27FA" w:rsidRPr="00BD27FA" w:rsidRDefault="00BD27FA" w:rsidP="0068234E">
            <w:pPr>
              <w:pStyle w:val="TableBodyText"/>
              <w:rPr>
                <w:sz w:val="18"/>
                <w:szCs w:val="18"/>
              </w:rPr>
            </w:pPr>
            <w:r w:rsidRPr="00BD27FA">
              <w:rPr>
                <w:sz w:val="18"/>
                <w:szCs w:val="18"/>
              </w:rPr>
              <w:t>55.8</w:t>
            </w:r>
          </w:p>
        </w:tc>
        <w:tc>
          <w:tcPr>
            <w:tcW w:w="563" w:type="pct"/>
            <w:shd w:val="clear" w:color="auto" w:fill="D9D9D9" w:themeFill="background1" w:themeFillShade="D9"/>
          </w:tcPr>
          <w:p w:rsidR="00BD27FA" w:rsidRPr="00BD27FA" w:rsidRDefault="00BD27FA" w:rsidP="00295C4B">
            <w:pPr>
              <w:pStyle w:val="TableBodyText"/>
              <w:rPr>
                <w:sz w:val="18"/>
                <w:szCs w:val="18"/>
              </w:rPr>
            </w:pPr>
            <w:r w:rsidRPr="00BD27FA">
              <w:rPr>
                <w:sz w:val="18"/>
                <w:szCs w:val="18"/>
              </w:rPr>
              <w:t>-79.0</w:t>
            </w:r>
          </w:p>
        </w:tc>
      </w:tr>
      <w:tr w:rsidR="00BD27FA" w:rsidRPr="00E4707B" w:rsidTr="00BD27FA">
        <w:tc>
          <w:tcPr>
            <w:tcW w:w="1617" w:type="pct"/>
            <w:vAlign w:val="center"/>
          </w:tcPr>
          <w:p w:rsidR="00BD27FA" w:rsidRPr="00E4707B" w:rsidRDefault="00BD27FA" w:rsidP="006A50C8">
            <w:pPr>
              <w:pStyle w:val="TableBodyText"/>
              <w:jc w:val="left"/>
              <w:rPr>
                <w:sz w:val="18"/>
                <w:szCs w:val="18"/>
              </w:rPr>
            </w:pPr>
            <w:r w:rsidRPr="00E4707B">
              <w:rPr>
                <w:sz w:val="18"/>
                <w:szCs w:val="18"/>
              </w:rPr>
              <w:t xml:space="preserve">Information </w:t>
            </w:r>
            <w:r>
              <w:rPr>
                <w:sz w:val="18"/>
                <w:szCs w:val="18"/>
              </w:rPr>
              <w:t xml:space="preserve">&amp; </w:t>
            </w:r>
            <w:r w:rsidRPr="00E4707B">
              <w:rPr>
                <w:sz w:val="18"/>
                <w:szCs w:val="18"/>
              </w:rPr>
              <w:t>telecommunications</w:t>
            </w:r>
          </w:p>
        </w:tc>
        <w:tc>
          <w:tcPr>
            <w:tcW w:w="563" w:type="pct"/>
          </w:tcPr>
          <w:p w:rsidR="00BD27FA" w:rsidRPr="00B03E4B" w:rsidRDefault="00BD27FA" w:rsidP="006A50C8">
            <w:pPr>
              <w:pStyle w:val="TableBodyText"/>
              <w:rPr>
                <w:sz w:val="18"/>
                <w:szCs w:val="18"/>
              </w:rPr>
            </w:pPr>
            <w:r>
              <w:rPr>
                <w:sz w:val="18"/>
                <w:szCs w:val="18"/>
              </w:rPr>
              <w:t>–</w:t>
            </w:r>
          </w:p>
        </w:tc>
        <w:tc>
          <w:tcPr>
            <w:tcW w:w="563" w:type="pct"/>
            <w:gridSpan w:val="2"/>
          </w:tcPr>
          <w:p w:rsidR="00BD27FA" w:rsidRPr="00B03E4B" w:rsidRDefault="00BD27FA" w:rsidP="006A50C8">
            <w:pPr>
              <w:pStyle w:val="TableBodyText"/>
              <w:rPr>
                <w:sz w:val="18"/>
                <w:szCs w:val="18"/>
              </w:rPr>
            </w:pPr>
            <w:r w:rsidRPr="00B03E4B">
              <w:rPr>
                <w:sz w:val="18"/>
                <w:szCs w:val="18"/>
              </w:rPr>
              <w:t>-144.3</w:t>
            </w:r>
          </w:p>
        </w:tc>
        <w:tc>
          <w:tcPr>
            <w:tcW w:w="563" w:type="pct"/>
            <w:gridSpan w:val="2"/>
            <w:shd w:val="clear" w:color="auto" w:fill="D9D9D9" w:themeFill="background1" w:themeFillShade="D9"/>
          </w:tcPr>
          <w:p w:rsidR="00BD27FA" w:rsidRPr="00B03E4B" w:rsidRDefault="00BD27FA" w:rsidP="006A50C8">
            <w:pPr>
              <w:pStyle w:val="TableBodyText"/>
              <w:rPr>
                <w:sz w:val="18"/>
                <w:szCs w:val="18"/>
              </w:rPr>
            </w:pPr>
            <w:r w:rsidRPr="00B03E4B">
              <w:rPr>
                <w:sz w:val="18"/>
                <w:szCs w:val="18"/>
              </w:rPr>
              <w:t>-144.3</w:t>
            </w:r>
          </w:p>
        </w:tc>
        <w:tc>
          <w:tcPr>
            <w:tcW w:w="566" w:type="pct"/>
            <w:gridSpan w:val="2"/>
          </w:tcPr>
          <w:p w:rsidR="00BD27FA" w:rsidRPr="00BD27FA" w:rsidRDefault="00BD27FA" w:rsidP="004A3015">
            <w:pPr>
              <w:pStyle w:val="TableBodyText"/>
              <w:rPr>
                <w:sz w:val="18"/>
                <w:szCs w:val="18"/>
              </w:rPr>
            </w:pPr>
            <w:r w:rsidRPr="00BD27FA">
              <w:rPr>
                <w:sz w:val="18"/>
                <w:szCs w:val="18"/>
              </w:rPr>
              <w:t>105.8</w:t>
            </w:r>
          </w:p>
        </w:tc>
        <w:tc>
          <w:tcPr>
            <w:tcW w:w="565" w:type="pct"/>
          </w:tcPr>
          <w:p w:rsidR="00BD27FA" w:rsidRPr="00BD27FA" w:rsidRDefault="00BD27FA" w:rsidP="0068234E">
            <w:pPr>
              <w:pStyle w:val="TableBodyText"/>
              <w:rPr>
                <w:sz w:val="18"/>
                <w:szCs w:val="18"/>
              </w:rPr>
            </w:pPr>
            <w:r w:rsidRPr="00BD27FA">
              <w:rPr>
                <w:sz w:val="18"/>
                <w:szCs w:val="18"/>
              </w:rPr>
              <w:t>40.3</w:t>
            </w:r>
          </w:p>
        </w:tc>
        <w:tc>
          <w:tcPr>
            <w:tcW w:w="563" w:type="pct"/>
            <w:shd w:val="clear" w:color="auto" w:fill="D9D9D9" w:themeFill="background1" w:themeFillShade="D9"/>
          </w:tcPr>
          <w:p w:rsidR="00BD27FA" w:rsidRPr="00BD27FA" w:rsidRDefault="00BD27FA" w:rsidP="004C366A">
            <w:pPr>
              <w:pStyle w:val="TableBodyText"/>
              <w:rPr>
                <w:sz w:val="18"/>
                <w:szCs w:val="18"/>
              </w:rPr>
            </w:pPr>
            <w:r w:rsidRPr="00BD27FA">
              <w:rPr>
                <w:sz w:val="18"/>
                <w:szCs w:val="18"/>
              </w:rPr>
              <w:t>1.8</w:t>
            </w:r>
          </w:p>
        </w:tc>
      </w:tr>
      <w:tr w:rsidR="00BD27FA" w:rsidRPr="00E4707B" w:rsidTr="00BD27FA">
        <w:tc>
          <w:tcPr>
            <w:tcW w:w="1617" w:type="pct"/>
            <w:vAlign w:val="center"/>
          </w:tcPr>
          <w:p w:rsidR="00BD27FA" w:rsidRPr="00E4707B" w:rsidRDefault="00BD27FA" w:rsidP="006A50C8">
            <w:pPr>
              <w:pStyle w:val="TableBodyText"/>
              <w:jc w:val="left"/>
              <w:rPr>
                <w:sz w:val="18"/>
                <w:szCs w:val="18"/>
              </w:rPr>
            </w:pPr>
            <w:r w:rsidRPr="00E4707B">
              <w:rPr>
                <w:sz w:val="18"/>
                <w:szCs w:val="18"/>
              </w:rPr>
              <w:t>Financial and insurance services</w:t>
            </w:r>
          </w:p>
        </w:tc>
        <w:tc>
          <w:tcPr>
            <w:tcW w:w="563" w:type="pct"/>
          </w:tcPr>
          <w:p w:rsidR="00BD27FA" w:rsidRPr="00B03E4B" w:rsidRDefault="00BD27FA" w:rsidP="006A50C8">
            <w:pPr>
              <w:pStyle w:val="TableBodyText"/>
              <w:rPr>
                <w:sz w:val="18"/>
                <w:szCs w:val="18"/>
              </w:rPr>
            </w:pPr>
            <w:r>
              <w:rPr>
                <w:sz w:val="18"/>
                <w:szCs w:val="18"/>
              </w:rPr>
              <w:t>–</w:t>
            </w:r>
          </w:p>
        </w:tc>
        <w:tc>
          <w:tcPr>
            <w:tcW w:w="563" w:type="pct"/>
            <w:gridSpan w:val="2"/>
          </w:tcPr>
          <w:p w:rsidR="00BD27FA" w:rsidRPr="00B03E4B" w:rsidRDefault="00BD27FA" w:rsidP="006A50C8">
            <w:pPr>
              <w:pStyle w:val="TableBodyText"/>
              <w:rPr>
                <w:sz w:val="18"/>
                <w:szCs w:val="18"/>
              </w:rPr>
            </w:pPr>
            <w:r w:rsidRPr="00B03E4B">
              <w:rPr>
                <w:sz w:val="18"/>
                <w:szCs w:val="18"/>
              </w:rPr>
              <w:t>-10.0</w:t>
            </w:r>
          </w:p>
        </w:tc>
        <w:tc>
          <w:tcPr>
            <w:tcW w:w="563" w:type="pct"/>
            <w:gridSpan w:val="2"/>
            <w:shd w:val="clear" w:color="auto" w:fill="D9D9D9" w:themeFill="background1" w:themeFillShade="D9"/>
          </w:tcPr>
          <w:p w:rsidR="00BD27FA" w:rsidRPr="00B03E4B" w:rsidRDefault="00BD27FA" w:rsidP="006A50C8">
            <w:pPr>
              <w:pStyle w:val="TableBodyText"/>
              <w:rPr>
                <w:sz w:val="18"/>
                <w:szCs w:val="18"/>
              </w:rPr>
            </w:pPr>
            <w:r w:rsidRPr="00B03E4B">
              <w:rPr>
                <w:sz w:val="18"/>
                <w:szCs w:val="18"/>
              </w:rPr>
              <w:t>-10.0</w:t>
            </w:r>
          </w:p>
        </w:tc>
        <w:tc>
          <w:tcPr>
            <w:tcW w:w="566" w:type="pct"/>
            <w:gridSpan w:val="2"/>
          </w:tcPr>
          <w:p w:rsidR="00BD27FA" w:rsidRPr="00BD27FA" w:rsidRDefault="00BD27FA" w:rsidP="004A3015">
            <w:pPr>
              <w:pStyle w:val="TableBodyText"/>
              <w:rPr>
                <w:sz w:val="18"/>
                <w:szCs w:val="18"/>
              </w:rPr>
            </w:pPr>
            <w:r w:rsidRPr="00BD27FA">
              <w:rPr>
                <w:sz w:val="18"/>
                <w:szCs w:val="18"/>
              </w:rPr>
              <w:t>69.7</w:t>
            </w:r>
          </w:p>
        </w:tc>
        <w:tc>
          <w:tcPr>
            <w:tcW w:w="565" w:type="pct"/>
          </w:tcPr>
          <w:p w:rsidR="00BD27FA" w:rsidRPr="00BD27FA" w:rsidRDefault="00BD27FA" w:rsidP="00295C4B">
            <w:pPr>
              <w:pStyle w:val="TableBodyText"/>
              <w:rPr>
                <w:sz w:val="18"/>
                <w:szCs w:val="18"/>
              </w:rPr>
            </w:pPr>
            <w:r w:rsidRPr="00BD27FA">
              <w:rPr>
                <w:sz w:val="18"/>
                <w:szCs w:val="18"/>
              </w:rPr>
              <w:t>845.1</w:t>
            </w:r>
          </w:p>
        </w:tc>
        <w:tc>
          <w:tcPr>
            <w:tcW w:w="563" w:type="pct"/>
            <w:shd w:val="clear" w:color="auto" w:fill="D9D9D9" w:themeFill="background1" w:themeFillShade="D9"/>
          </w:tcPr>
          <w:p w:rsidR="00BD27FA" w:rsidRPr="00BD27FA" w:rsidRDefault="00BD27FA" w:rsidP="00295C4B">
            <w:pPr>
              <w:pStyle w:val="TableBodyText"/>
              <w:rPr>
                <w:sz w:val="18"/>
                <w:szCs w:val="18"/>
              </w:rPr>
            </w:pPr>
            <w:r w:rsidRPr="00BD27FA">
              <w:rPr>
                <w:sz w:val="18"/>
                <w:szCs w:val="18"/>
              </w:rPr>
              <w:t>904.8</w:t>
            </w:r>
          </w:p>
        </w:tc>
      </w:tr>
      <w:tr w:rsidR="00BD27FA" w:rsidRPr="00E4707B" w:rsidTr="00BD27FA">
        <w:tc>
          <w:tcPr>
            <w:tcW w:w="1617" w:type="pct"/>
            <w:vAlign w:val="center"/>
          </w:tcPr>
          <w:p w:rsidR="00BD27FA" w:rsidRPr="00E4707B" w:rsidRDefault="00BD27FA" w:rsidP="00EF4E74">
            <w:pPr>
              <w:pStyle w:val="TableBodyText"/>
              <w:jc w:val="left"/>
              <w:rPr>
                <w:sz w:val="18"/>
                <w:szCs w:val="18"/>
              </w:rPr>
            </w:pPr>
            <w:r w:rsidRPr="00E4707B">
              <w:rPr>
                <w:sz w:val="18"/>
                <w:szCs w:val="18"/>
              </w:rPr>
              <w:t xml:space="preserve">Property, professional </w:t>
            </w:r>
            <w:r>
              <w:rPr>
                <w:sz w:val="18"/>
                <w:szCs w:val="18"/>
              </w:rPr>
              <w:t xml:space="preserve">and admin. </w:t>
            </w:r>
          </w:p>
        </w:tc>
        <w:tc>
          <w:tcPr>
            <w:tcW w:w="563" w:type="pct"/>
          </w:tcPr>
          <w:p w:rsidR="00BD27FA" w:rsidRPr="00B03E4B" w:rsidRDefault="00BD27FA" w:rsidP="006A50C8">
            <w:pPr>
              <w:pStyle w:val="TableBodyText"/>
              <w:rPr>
                <w:sz w:val="18"/>
                <w:szCs w:val="18"/>
              </w:rPr>
            </w:pPr>
            <w:r>
              <w:rPr>
                <w:sz w:val="18"/>
                <w:szCs w:val="18"/>
              </w:rPr>
              <w:t>–</w:t>
            </w:r>
          </w:p>
        </w:tc>
        <w:tc>
          <w:tcPr>
            <w:tcW w:w="563" w:type="pct"/>
            <w:gridSpan w:val="2"/>
          </w:tcPr>
          <w:p w:rsidR="00BD27FA" w:rsidRPr="00B03E4B" w:rsidRDefault="00BD27FA" w:rsidP="006A50C8">
            <w:pPr>
              <w:pStyle w:val="TableBodyText"/>
              <w:rPr>
                <w:sz w:val="18"/>
                <w:szCs w:val="18"/>
              </w:rPr>
            </w:pPr>
            <w:r w:rsidRPr="00B03E4B">
              <w:rPr>
                <w:sz w:val="18"/>
                <w:szCs w:val="18"/>
              </w:rPr>
              <w:t>-596.4</w:t>
            </w:r>
          </w:p>
        </w:tc>
        <w:tc>
          <w:tcPr>
            <w:tcW w:w="563" w:type="pct"/>
            <w:gridSpan w:val="2"/>
            <w:shd w:val="clear" w:color="auto" w:fill="D9D9D9" w:themeFill="background1" w:themeFillShade="D9"/>
          </w:tcPr>
          <w:p w:rsidR="00BD27FA" w:rsidRPr="00B03E4B" w:rsidRDefault="00BD27FA" w:rsidP="006A50C8">
            <w:pPr>
              <w:pStyle w:val="TableBodyText"/>
              <w:rPr>
                <w:sz w:val="18"/>
                <w:szCs w:val="18"/>
              </w:rPr>
            </w:pPr>
            <w:r w:rsidRPr="00B03E4B">
              <w:rPr>
                <w:sz w:val="18"/>
                <w:szCs w:val="18"/>
              </w:rPr>
              <w:t>-596.4</w:t>
            </w:r>
          </w:p>
        </w:tc>
        <w:tc>
          <w:tcPr>
            <w:tcW w:w="566" w:type="pct"/>
            <w:gridSpan w:val="2"/>
          </w:tcPr>
          <w:p w:rsidR="00BD27FA" w:rsidRPr="00BD27FA" w:rsidRDefault="00BD27FA" w:rsidP="0014396D">
            <w:pPr>
              <w:pStyle w:val="TableBodyText"/>
              <w:rPr>
                <w:sz w:val="18"/>
                <w:szCs w:val="18"/>
              </w:rPr>
            </w:pPr>
            <w:r w:rsidRPr="00BD27FA">
              <w:rPr>
                <w:sz w:val="18"/>
                <w:szCs w:val="18"/>
              </w:rPr>
              <w:t>193.7</w:t>
            </w:r>
          </w:p>
        </w:tc>
        <w:tc>
          <w:tcPr>
            <w:tcW w:w="565" w:type="pct"/>
          </w:tcPr>
          <w:p w:rsidR="00BD27FA" w:rsidRPr="00BD27FA" w:rsidRDefault="00BD27FA" w:rsidP="0068234E">
            <w:pPr>
              <w:pStyle w:val="TableBodyText"/>
              <w:rPr>
                <w:sz w:val="18"/>
                <w:szCs w:val="18"/>
              </w:rPr>
            </w:pPr>
            <w:r w:rsidRPr="00BD27FA">
              <w:rPr>
                <w:sz w:val="18"/>
                <w:szCs w:val="18"/>
              </w:rPr>
              <w:t>417.6</w:t>
            </w:r>
          </w:p>
        </w:tc>
        <w:tc>
          <w:tcPr>
            <w:tcW w:w="563" w:type="pct"/>
            <w:shd w:val="clear" w:color="auto" w:fill="D9D9D9" w:themeFill="background1" w:themeFillShade="D9"/>
          </w:tcPr>
          <w:p w:rsidR="00BD27FA" w:rsidRPr="00BD27FA" w:rsidRDefault="00BD27FA" w:rsidP="0014396D">
            <w:pPr>
              <w:pStyle w:val="TableBodyText"/>
              <w:rPr>
                <w:sz w:val="18"/>
                <w:szCs w:val="18"/>
              </w:rPr>
            </w:pPr>
            <w:r w:rsidRPr="00BD27FA">
              <w:rPr>
                <w:sz w:val="18"/>
                <w:szCs w:val="18"/>
              </w:rPr>
              <w:t>14.9</w:t>
            </w:r>
          </w:p>
        </w:tc>
      </w:tr>
      <w:tr w:rsidR="00BD27FA" w:rsidRPr="00E4707B" w:rsidTr="00BD27FA">
        <w:tc>
          <w:tcPr>
            <w:tcW w:w="1617" w:type="pct"/>
            <w:vAlign w:val="center"/>
          </w:tcPr>
          <w:p w:rsidR="00BD27FA" w:rsidRPr="00E4707B" w:rsidRDefault="00BD27FA" w:rsidP="006A50C8">
            <w:pPr>
              <w:pStyle w:val="TableBodyText"/>
              <w:jc w:val="left"/>
              <w:rPr>
                <w:sz w:val="18"/>
                <w:szCs w:val="18"/>
              </w:rPr>
            </w:pPr>
            <w:r w:rsidRPr="00E4707B">
              <w:rPr>
                <w:sz w:val="18"/>
                <w:szCs w:val="18"/>
              </w:rPr>
              <w:t>Public administration and safety</w:t>
            </w:r>
          </w:p>
        </w:tc>
        <w:tc>
          <w:tcPr>
            <w:tcW w:w="563" w:type="pct"/>
          </w:tcPr>
          <w:p w:rsidR="00BD27FA" w:rsidRPr="00B03E4B" w:rsidRDefault="00BD27FA" w:rsidP="006A50C8">
            <w:pPr>
              <w:pStyle w:val="TableBodyText"/>
              <w:rPr>
                <w:sz w:val="18"/>
                <w:szCs w:val="18"/>
              </w:rPr>
            </w:pPr>
            <w:r>
              <w:rPr>
                <w:sz w:val="18"/>
                <w:szCs w:val="18"/>
              </w:rPr>
              <w:t>–</w:t>
            </w:r>
          </w:p>
        </w:tc>
        <w:tc>
          <w:tcPr>
            <w:tcW w:w="563" w:type="pct"/>
            <w:gridSpan w:val="2"/>
          </w:tcPr>
          <w:p w:rsidR="00BD27FA" w:rsidRPr="00B03E4B" w:rsidRDefault="00BD27FA" w:rsidP="006A50C8">
            <w:pPr>
              <w:pStyle w:val="TableBodyText"/>
              <w:rPr>
                <w:sz w:val="18"/>
                <w:szCs w:val="18"/>
              </w:rPr>
            </w:pPr>
            <w:r w:rsidRPr="00B03E4B">
              <w:rPr>
                <w:sz w:val="18"/>
                <w:szCs w:val="18"/>
              </w:rPr>
              <w:t>-203.4</w:t>
            </w:r>
          </w:p>
        </w:tc>
        <w:tc>
          <w:tcPr>
            <w:tcW w:w="563" w:type="pct"/>
            <w:gridSpan w:val="2"/>
            <w:shd w:val="clear" w:color="auto" w:fill="D9D9D9" w:themeFill="background1" w:themeFillShade="D9"/>
          </w:tcPr>
          <w:p w:rsidR="00BD27FA" w:rsidRPr="00B03E4B" w:rsidRDefault="00BD27FA" w:rsidP="006A50C8">
            <w:pPr>
              <w:pStyle w:val="TableBodyText"/>
              <w:rPr>
                <w:sz w:val="18"/>
                <w:szCs w:val="18"/>
              </w:rPr>
            </w:pPr>
            <w:r w:rsidRPr="00B03E4B">
              <w:rPr>
                <w:sz w:val="18"/>
                <w:szCs w:val="18"/>
              </w:rPr>
              <w:t>-203.4</w:t>
            </w:r>
          </w:p>
        </w:tc>
        <w:tc>
          <w:tcPr>
            <w:tcW w:w="566" w:type="pct"/>
            <w:gridSpan w:val="2"/>
          </w:tcPr>
          <w:p w:rsidR="00BD27FA" w:rsidRPr="00BD27FA" w:rsidRDefault="00BD27FA" w:rsidP="004A3015">
            <w:pPr>
              <w:pStyle w:val="TableBodyText"/>
              <w:rPr>
                <w:sz w:val="18"/>
                <w:szCs w:val="18"/>
              </w:rPr>
            </w:pPr>
            <w:r w:rsidRPr="00BD27FA">
              <w:rPr>
                <w:sz w:val="18"/>
                <w:szCs w:val="18"/>
              </w:rPr>
              <w:t>30.9</w:t>
            </w:r>
          </w:p>
        </w:tc>
        <w:tc>
          <w:tcPr>
            <w:tcW w:w="565" w:type="pct"/>
          </w:tcPr>
          <w:p w:rsidR="00BD27FA" w:rsidRPr="00BD27FA" w:rsidRDefault="00BD27FA" w:rsidP="0068234E">
            <w:pPr>
              <w:pStyle w:val="TableBodyText"/>
              <w:rPr>
                <w:sz w:val="18"/>
                <w:szCs w:val="18"/>
              </w:rPr>
            </w:pPr>
            <w:r w:rsidRPr="00BD27FA">
              <w:rPr>
                <w:sz w:val="18"/>
                <w:szCs w:val="18"/>
              </w:rPr>
              <w:t>2.5</w:t>
            </w:r>
          </w:p>
        </w:tc>
        <w:tc>
          <w:tcPr>
            <w:tcW w:w="563" w:type="pct"/>
            <w:shd w:val="clear" w:color="auto" w:fill="D9D9D9" w:themeFill="background1" w:themeFillShade="D9"/>
          </w:tcPr>
          <w:p w:rsidR="00BD27FA" w:rsidRPr="00BD27FA" w:rsidRDefault="00BD27FA" w:rsidP="00C76B67">
            <w:pPr>
              <w:pStyle w:val="TableBodyText"/>
              <w:rPr>
                <w:sz w:val="18"/>
                <w:szCs w:val="18"/>
              </w:rPr>
            </w:pPr>
            <w:r w:rsidRPr="00BD27FA">
              <w:rPr>
                <w:sz w:val="18"/>
                <w:szCs w:val="18"/>
              </w:rPr>
              <w:t>-170.1</w:t>
            </w:r>
          </w:p>
        </w:tc>
      </w:tr>
      <w:tr w:rsidR="00BD27FA" w:rsidRPr="00E4707B" w:rsidTr="00BD27FA">
        <w:tc>
          <w:tcPr>
            <w:tcW w:w="1617" w:type="pct"/>
            <w:vAlign w:val="center"/>
          </w:tcPr>
          <w:p w:rsidR="00BD27FA" w:rsidRPr="00E4707B" w:rsidRDefault="00BD27FA" w:rsidP="006A50C8">
            <w:pPr>
              <w:pStyle w:val="TableBodyText"/>
              <w:jc w:val="left"/>
              <w:rPr>
                <w:sz w:val="18"/>
                <w:szCs w:val="18"/>
              </w:rPr>
            </w:pPr>
            <w:r w:rsidRPr="00E4707B">
              <w:rPr>
                <w:sz w:val="18"/>
                <w:szCs w:val="18"/>
              </w:rPr>
              <w:t>Education and training</w:t>
            </w:r>
          </w:p>
        </w:tc>
        <w:tc>
          <w:tcPr>
            <w:tcW w:w="563" w:type="pct"/>
          </w:tcPr>
          <w:p w:rsidR="00BD27FA" w:rsidRPr="00B03E4B" w:rsidRDefault="00BD27FA" w:rsidP="006A50C8">
            <w:pPr>
              <w:pStyle w:val="TableBodyText"/>
              <w:rPr>
                <w:sz w:val="18"/>
                <w:szCs w:val="18"/>
              </w:rPr>
            </w:pPr>
            <w:r>
              <w:rPr>
                <w:sz w:val="18"/>
                <w:szCs w:val="18"/>
              </w:rPr>
              <w:t>–</w:t>
            </w:r>
          </w:p>
        </w:tc>
        <w:tc>
          <w:tcPr>
            <w:tcW w:w="563" w:type="pct"/>
            <w:gridSpan w:val="2"/>
          </w:tcPr>
          <w:p w:rsidR="00BD27FA" w:rsidRPr="00B03E4B" w:rsidRDefault="00BD27FA" w:rsidP="006A50C8">
            <w:pPr>
              <w:pStyle w:val="TableBodyText"/>
              <w:rPr>
                <w:sz w:val="18"/>
                <w:szCs w:val="18"/>
              </w:rPr>
            </w:pPr>
            <w:r w:rsidRPr="00B03E4B">
              <w:rPr>
                <w:sz w:val="18"/>
                <w:szCs w:val="18"/>
              </w:rPr>
              <w:t>-110.5</w:t>
            </w:r>
          </w:p>
        </w:tc>
        <w:tc>
          <w:tcPr>
            <w:tcW w:w="563" w:type="pct"/>
            <w:gridSpan w:val="2"/>
            <w:shd w:val="clear" w:color="auto" w:fill="D9D9D9" w:themeFill="background1" w:themeFillShade="D9"/>
          </w:tcPr>
          <w:p w:rsidR="00BD27FA" w:rsidRPr="00B03E4B" w:rsidRDefault="00BD27FA" w:rsidP="006A50C8">
            <w:pPr>
              <w:pStyle w:val="TableBodyText"/>
              <w:rPr>
                <w:sz w:val="18"/>
                <w:szCs w:val="18"/>
              </w:rPr>
            </w:pPr>
            <w:r w:rsidRPr="00B03E4B">
              <w:rPr>
                <w:sz w:val="18"/>
                <w:szCs w:val="18"/>
              </w:rPr>
              <w:t>-110.5</w:t>
            </w:r>
          </w:p>
        </w:tc>
        <w:tc>
          <w:tcPr>
            <w:tcW w:w="566" w:type="pct"/>
            <w:gridSpan w:val="2"/>
          </w:tcPr>
          <w:p w:rsidR="00BD27FA" w:rsidRPr="00BD27FA" w:rsidRDefault="00BD27FA" w:rsidP="004A3015">
            <w:pPr>
              <w:pStyle w:val="TableBodyText"/>
              <w:rPr>
                <w:sz w:val="18"/>
                <w:szCs w:val="18"/>
              </w:rPr>
            </w:pPr>
            <w:r w:rsidRPr="00BD27FA">
              <w:rPr>
                <w:sz w:val="18"/>
                <w:szCs w:val="18"/>
              </w:rPr>
              <w:t>18.5</w:t>
            </w:r>
          </w:p>
        </w:tc>
        <w:tc>
          <w:tcPr>
            <w:tcW w:w="565" w:type="pct"/>
          </w:tcPr>
          <w:p w:rsidR="00BD27FA" w:rsidRPr="00BD27FA" w:rsidRDefault="00BD27FA" w:rsidP="0068234E">
            <w:pPr>
              <w:pStyle w:val="TableBodyText"/>
              <w:rPr>
                <w:sz w:val="18"/>
                <w:szCs w:val="18"/>
              </w:rPr>
            </w:pPr>
            <w:r w:rsidRPr="00BD27FA">
              <w:rPr>
                <w:sz w:val="18"/>
                <w:szCs w:val="18"/>
              </w:rPr>
              <w:t>10.8</w:t>
            </w:r>
          </w:p>
        </w:tc>
        <w:tc>
          <w:tcPr>
            <w:tcW w:w="563" w:type="pct"/>
            <w:shd w:val="clear" w:color="auto" w:fill="D9D9D9" w:themeFill="background1" w:themeFillShade="D9"/>
          </w:tcPr>
          <w:p w:rsidR="00BD27FA" w:rsidRPr="00BD27FA" w:rsidRDefault="00BD27FA" w:rsidP="00C76B67">
            <w:pPr>
              <w:pStyle w:val="TableBodyText"/>
              <w:rPr>
                <w:sz w:val="18"/>
                <w:szCs w:val="18"/>
              </w:rPr>
            </w:pPr>
            <w:r w:rsidRPr="00BD27FA">
              <w:rPr>
                <w:sz w:val="18"/>
                <w:szCs w:val="18"/>
              </w:rPr>
              <w:t>-81.2</w:t>
            </w:r>
          </w:p>
        </w:tc>
      </w:tr>
      <w:tr w:rsidR="00BD27FA" w:rsidRPr="00E4707B" w:rsidTr="00BD27FA">
        <w:tc>
          <w:tcPr>
            <w:tcW w:w="1617" w:type="pct"/>
            <w:vAlign w:val="center"/>
          </w:tcPr>
          <w:p w:rsidR="00BD27FA" w:rsidRPr="00E4707B" w:rsidRDefault="00BD27FA" w:rsidP="006A50C8">
            <w:pPr>
              <w:pStyle w:val="TableBodyText"/>
              <w:jc w:val="left"/>
              <w:rPr>
                <w:sz w:val="18"/>
                <w:szCs w:val="18"/>
              </w:rPr>
            </w:pPr>
            <w:r w:rsidRPr="00E4707B">
              <w:rPr>
                <w:sz w:val="18"/>
                <w:szCs w:val="18"/>
              </w:rPr>
              <w:t>Health care and social assistance</w:t>
            </w:r>
          </w:p>
        </w:tc>
        <w:tc>
          <w:tcPr>
            <w:tcW w:w="563" w:type="pct"/>
          </w:tcPr>
          <w:p w:rsidR="00BD27FA" w:rsidRPr="00B03E4B" w:rsidRDefault="00BD27FA" w:rsidP="006A50C8">
            <w:pPr>
              <w:pStyle w:val="TableBodyText"/>
              <w:rPr>
                <w:sz w:val="18"/>
                <w:szCs w:val="18"/>
              </w:rPr>
            </w:pPr>
            <w:r>
              <w:rPr>
                <w:sz w:val="18"/>
                <w:szCs w:val="18"/>
              </w:rPr>
              <w:t>–</w:t>
            </w:r>
          </w:p>
        </w:tc>
        <w:tc>
          <w:tcPr>
            <w:tcW w:w="563" w:type="pct"/>
            <w:gridSpan w:val="2"/>
          </w:tcPr>
          <w:p w:rsidR="00BD27FA" w:rsidRPr="00B03E4B" w:rsidRDefault="00BD27FA" w:rsidP="006A50C8">
            <w:pPr>
              <w:pStyle w:val="TableBodyText"/>
              <w:rPr>
                <w:sz w:val="18"/>
                <w:szCs w:val="18"/>
              </w:rPr>
            </w:pPr>
            <w:r w:rsidRPr="00B03E4B">
              <w:rPr>
                <w:sz w:val="18"/>
                <w:szCs w:val="18"/>
              </w:rPr>
              <w:t>-256.2</w:t>
            </w:r>
          </w:p>
        </w:tc>
        <w:tc>
          <w:tcPr>
            <w:tcW w:w="563" w:type="pct"/>
            <w:gridSpan w:val="2"/>
            <w:shd w:val="clear" w:color="auto" w:fill="D9D9D9" w:themeFill="background1" w:themeFillShade="D9"/>
          </w:tcPr>
          <w:p w:rsidR="00BD27FA" w:rsidRPr="00B03E4B" w:rsidRDefault="00BD27FA" w:rsidP="006A50C8">
            <w:pPr>
              <w:pStyle w:val="TableBodyText"/>
              <w:rPr>
                <w:sz w:val="18"/>
                <w:szCs w:val="18"/>
              </w:rPr>
            </w:pPr>
            <w:r w:rsidRPr="00B03E4B">
              <w:rPr>
                <w:sz w:val="18"/>
                <w:szCs w:val="18"/>
              </w:rPr>
              <w:t>-256.2</w:t>
            </w:r>
          </w:p>
        </w:tc>
        <w:tc>
          <w:tcPr>
            <w:tcW w:w="566" w:type="pct"/>
            <w:gridSpan w:val="2"/>
          </w:tcPr>
          <w:p w:rsidR="00BD27FA" w:rsidRPr="00BD27FA" w:rsidRDefault="00BD27FA" w:rsidP="004A3015">
            <w:pPr>
              <w:pStyle w:val="TableBodyText"/>
              <w:rPr>
                <w:sz w:val="18"/>
                <w:szCs w:val="18"/>
              </w:rPr>
            </w:pPr>
            <w:r w:rsidRPr="00BD27FA">
              <w:rPr>
                <w:sz w:val="18"/>
                <w:szCs w:val="18"/>
              </w:rPr>
              <w:t>111.6</w:t>
            </w:r>
          </w:p>
        </w:tc>
        <w:tc>
          <w:tcPr>
            <w:tcW w:w="565" w:type="pct"/>
          </w:tcPr>
          <w:p w:rsidR="00BD27FA" w:rsidRPr="00BD27FA" w:rsidRDefault="00BD27FA" w:rsidP="0068234E">
            <w:pPr>
              <w:pStyle w:val="TableBodyText"/>
              <w:rPr>
                <w:sz w:val="18"/>
                <w:szCs w:val="18"/>
              </w:rPr>
            </w:pPr>
            <w:r w:rsidRPr="00BD27FA">
              <w:rPr>
                <w:sz w:val="18"/>
                <w:szCs w:val="18"/>
              </w:rPr>
              <w:t>51.7</w:t>
            </w:r>
          </w:p>
        </w:tc>
        <w:tc>
          <w:tcPr>
            <w:tcW w:w="563" w:type="pct"/>
            <w:shd w:val="clear" w:color="auto" w:fill="D9D9D9" w:themeFill="background1" w:themeFillShade="D9"/>
          </w:tcPr>
          <w:p w:rsidR="00BD27FA" w:rsidRPr="00BD27FA" w:rsidRDefault="00BD27FA" w:rsidP="00C76B67">
            <w:pPr>
              <w:pStyle w:val="TableBodyText"/>
              <w:rPr>
                <w:sz w:val="18"/>
                <w:szCs w:val="18"/>
              </w:rPr>
            </w:pPr>
            <w:r w:rsidRPr="00BD27FA">
              <w:rPr>
                <w:sz w:val="18"/>
                <w:szCs w:val="18"/>
              </w:rPr>
              <w:t>-92.9</w:t>
            </w:r>
          </w:p>
        </w:tc>
      </w:tr>
      <w:tr w:rsidR="00BD27FA" w:rsidRPr="00E4707B" w:rsidTr="00BD27FA">
        <w:tc>
          <w:tcPr>
            <w:tcW w:w="1617" w:type="pct"/>
            <w:vAlign w:val="center"/>
          </w:tcPr>
          <w:p w:rsidR="00BD27FA" w:rsidRPr="00E4707B" w:rsidRDefault="00BD27FA" w:rsidP="006A50C8">
            <w:pPr>
              <w:pStyle w:val="TableBodyText"/>
              <w:jc w:val="left"/>
              <w:rPr>
                <w:sz w:val="18"/>
                <w:szCs w:val="18"/>
              </w:rPr>
            </w:pPr>
            <w:r w:rsidRPr="00E4707B">
              <w:rPr>
                <w:sz w:val="18"/>
                <w:szCs w:val="18"/>
              </w:rPr>
              <w:t>Arts and recreation services</w:t>
            </w:r>
          </w:p>
        </w:tc>
        <w:tc>
          <w:tcPr>
            <w:tcW w:w="563" w:type="pct"/>
          </w:tcPr>
          <w:p w:rsidR="00BD27FA" w:rsidRPr="00B03E4B" w:rsidRDefault="00BD27FA" w:rsidP="006A50C8">
            <w:pPr>
              <w:pStyle w:val="TableBodyText"/>
              <w:rPr>
                <w:sz w:val="18"/>
                <w:szCs w:val="18"/>
              </w:rPr>
            </w:pPr>
            <w:r>
              <w:rPr>
                <w:sz w:val="18"/>
                <w:szCs w:val="18"/>
              </w:rPr>
              <w:t>–</w:t>
            </w:r>
          </w:p>
        </w:tc>
        <w:tc>
          <w:tcPr>
            <w:tcW w:w="563" w:type="pct"/>
            <w:gridSpan w:val="2"/>
          </w:tcPr>
          <w:p w:rsidR="00BD27FA" w:rsidRPr="00B03E4B" w:rsidRDefault="00BD27FA" w:rsidP="006A50C8">
            <w:pPr>
              <w:pStyle w:val="TableBodyText"/>
              <w:rPr>
                <w:sz w:val="18"/>
                <w:szCs w:val="18"/>
              </w:rPr>
            </w:pPr>
            <w:r w:rsidRPr="00B03E4B">
              <w:rPr>
                <w:sz w:val="18"/>
                <w:szCs w:val="18"/>
              </w:rPr>
              <w:t>-77.2</w:t>
            </w:r>
          </w:p>
        </w:tc>
        <w:tc>
          <w:tcPr>
            <w:tcW w:w="563" w:type="pct"/>
            <w:gridSpan w:val="2"/>
            <w:shd w:val="clear" w:color="auto" w:fill="D9D9D9" w:themeFill="background1" w:themeFillShade="D9"/>
          </w:tcPr>
          <w:p w:rsidR="00BD27FA" w:rsidRPr="00B03E4B" w:rsidRDefault="00BD27FA" w:rsidP="006A50C8">
            <w:pPr>
              <w:pStyle w:val="TableBodyText"/>
              <w:rPr>
                <w:sz w:val="18"/>
                <w:szCs w:val="18"/>
              </w:rPr>
            </w:pPr>
            <w:r w:rsidRPr="00B03E4B">
              <w:rPr>
                <w:sz w:val="18"/>
                <w:szCs w:val="18"/>
              </w:rPr>
              <w:t>-77.2</w:t>
            </w:r>
          </w:p>
        </w:tc>
        <w:tc>
          <w:tcPr>
            <w:tcW w:w="566" w:type="pct"/>
            <w:gridSpan w:val="2"/>
          </w:tcPr>
          <w:p w:rsidR="00BD27FA" w:rsidRPr="00BD27FA" w:rsidRDefault="00BD27FA" w:rsidP="00295C4B">
            <w:pPr>
              <w:pStyle w:val="TableBodyText"/>
              <w:rPr>
                <w:sz w:val="18"/>
                <w:szCs w:val="18"/>
              </w:rPr>
            </w:pPr>
            <w:r w:rsidRPr="00BD27FA">
              <w:rPr>
                <w:sz w:val="18"/>
                <w:szCs w:val="18"/>
              </w:rPr>
              <w:t>117.7</w:t>
            </w:r>
          </w:p>
        </w:tc>
        <w:tc>
          <w:tcPr>
            <w:tcW w:w="565" w:type="pct"/>
          </w:tcPr>
          <w:p w:rsidR="00BD27FA" w:rsidRPr="00BD27FA" w:rsidRDefault="00BD27FA" w:rsidP="0068234E">
            <w:pPr>
              <w:pStyle w:val="TableBodyText"/>
              <w:rPr>
                <w:sz w:val="18"/>
                <w:szCs w:val="18"/>
              </w:rPr>
            </w:pPr>
            <w:r w:rsidRPr="00BD27FA">
              <w:rPr>
                <w:sz w:val="18"/>
                <w:szCs w:val="18"/>
              </w:rPr>
              <w:t>233.7</w:t>
            </w:r>
          </w:p>
        </w:tc>
        <w:tc>
          <w:tcPr>
            <w:tcW w:w="563" w:type="pct"/>
            <w:shd w:val="clear" w:color="auto" w:fill="D9D9D9" w:themeFill="background1" w:themeFillShade="D9"/>
          </w:tcPr>
          <w:p w:rsidR="00BD27FA" w:rsidRPr="00BD27FA" w:rsidRDefault="00BD27FA" w:rsidP="00295C4B">
            <w:pPr>
              <w:pStyle w:val="TableBodyText"/>
              <w:rPr>
                <w:sz w:val="18"/>
                <w:szCs w:val="18"/>
              </w:rPr>
            </w:pPr>
            <w:r w:rsidRPr="00BD27FA">
              <w:rPr>
                <w:sz w:val="18"/>
                <w:szCs w:val="18"/>
              </w:rPr>
              <w:t>274.2</w:t>
            </w:r>
          </w:p>
        </w:tc>
      </w:tr>
      <w:tr w:rsidR="00BD27FA" w:rsidRPr="00E4707B" w:rsidTr="00BD27FA">
        <w:tc>
          <w:tcPr>
            <w:tcW w:w="1617" w:type="pct"/>
            <w:vAlign w:val="center"/>
          </w:tcPr>
          <w:p w:rsidR="00BD27FA" w:rsidRPr="00E4707B" w:rsidRDefault="00BD27FA" w:rsidP="006A50C8">
            <w:pPr>
              <w:pStyle w:val="TableBodyText"/>
              <w:jc w:val="left"/>
              <w:rPr>
                <w:sz w:val="18"/>
                <w:szCs w:val="18"/>
              </w:rPr>
            </w:pPr>
            <w:r w:rsidRPr="00E4707B">
              <w:rPr>
                <w:sz w:val="18"/>
                <w:szCs w:val="18"/>
              </w:rPr>
              <w:t>Other services</w:t>
            </w:r>
          </w:p>
        </w:tc>
        <w:tc>
          <w:tcPr>
            <w:tcW w:w="563" w:type="pct"/>
          </w:tcPr>
          <w:p w:rsidR="00BD27FA" w:rsidRPr="00B03E4B" w:rsidRDefault="00BD27FA" w:rsidP="006A50C8">
            <w:pPr>
              <w:pStyle w:val="TableBodyText"/>
              <w:rPr>
                <w:sz w:val="18"/>
                <w:szCs w:val="18"/>
              </w:rPr>
            </w:pPr>
            <w:r>
              <w:rPr>
                <w:sz w:val="18"/>
                <w:szCs w:val="18"/>
              </w:rPr>
              <w:t>–</w:t>
            </w:r>
          </w:p>
        </w:tc>
        <w:tc>
          <w:tcPr>
            <w:tcW w:w="563" w:type="pct"/>
            <w:gridSpan w:val="2"/>
          </w:tcPr>
          <w:p w:rsidR="00BD27FA" w:rsidRPr="00B03E4B" w:rsidRDefault="00BD27FA" w:rsidP="006A50C8">
            <w:pPr>
              <w:pStyle w:val="TableBodyText"/>
              <w:rPr>
                <w:sz w:val="18"/>
                <w:szCs w:val="18"/>
              </w:rPr>
            </w:pPr>
            <w:r w:rsidRPr="00B03E4B">
              <w:rPr>
                <w:sz w:val="18"/>
                <w:szCs w:val="18"/>
              </w:rPr>
              <w:t>-271.3</w:t>
            </w:r>
          </w:p>
        </w:tc>
        <w:tc>
          <w:tcPr>
            <w:tcW w:w="563" w:type="pct"/>
            <w:gridSpan w:val="2"/>
            <w:shd w:val="clear" w:color="auto" w:fill="D9D9D9" w:themeFill="background1" w:themeFillShade="D9"/>
          </w:tcPr>
          <w:p w:rsidR="00BD27FA" w:rsidRPr="00B03E4B" w:rsidRDefault="00BD27FA" w:rsidP="006A50C8">
            <w:pPr>
              <w:pStyle w:val="TableBodyText"/>
              <w:rPr>
                <w:sz w:val="18"/>
                <w:szCs w:val="18"/>
              </w:rPr>
            </w:pPr>
            <w:r w:rsidRPr="00B03E4B">
              <w:rPr>
                <w:sz w:val="18"/>
                <w:szCs w:val="18"/>
              </w:rPr>
              <w:t>-271.3</w:t>
            </w:r>
          </w:p>
        </w:tc>
        <w:tc>
          <w:tcPr>
            <w:tcW w:w="566" w:type="pct"/>
            <w:gridSpan w:val="2"/>
          </w:tcPr>
          <w:p w:rsidR="00BD27FA" w:rsidRPr="00BD27FA" w:rsidRDefault="00BD27FA" w:rsidP="00295C4B">
            <w:pPr>
              <w:pStyle w:val="TableBodyText"/>
              <w:rPr>
                <w:sz w:val="18"/>
                <w:szCs w:val="18"/>
              </w:rPr>
            </w:pPr>
            <w:r w:rsidRPr="00BD27FA">
              <w:rPr>
                <w:sz w:val="18"/>
                <w:szCs w:val="18"/>
              </w:rPr>
              <w:t>24.9</w:t>
            </w:r>
          </w:p>
        </w:tc>
        <w:tc>
          <w:tcPr>
            <w:tcW w:w="565" w:type="pct"/>
          </w:tcPr>
          <w:p w:rsidR="00BD27FA" w:rsidRPr="00BD27FA" w:rsidRDefault="00BD27FA" w:rsidP="0068234E">
            <w:pPr>
              <w:pStyle w:val="TableBodyText"/>
              <w:rPr>
                <w:sz w:val="18"/>
                <w:szCs w:val="18"/>
              </w:rPr>
            </w:pPr>
            <w:r w:rsidRPr="00BD27FA">
              <w:rPr>
                <w:sz w:val="18"/>
                <w:szCs w:val="18"/>
              </w:rPr>
              <w:t>29.5</w:t>
            </w:r>
          </w:p>
        </w:tc>
        <w:tc>
          <w:tcPr>
            <w:tcW w:w="563" w:type="pct"/>
            <w:shd w:val="clear" w:color="auto" w:fill="D9D9D9" w:themeFill="background1" w:themeFillShade="D9"/>
          </w:tcPr>
          <w:p w:rsidR="00BD27FA" w:rsidRPr="00BD27FA" w:rsidRDefault="00BD27FA" w:rsidP="00295C4B">
            <w:pPr>
              <w:pStyle w:val="TableBodyText"/>
              <w:rPr>
                <w:sz w:val="18"/>
                <w:szCs w:val="18"/>
              </w:rPr>
            </w:pPr>
            <w:r w:rsidRPr="00BD27FA">
              <w:rPr>
                <w:sz w:val="18"/>
                <w:szCs w:val="18"/>
              </w:rPr>
              <w:t>-216.8</w:t>
            </w:r>
          </w:p>
        </w:tc>
      </w:tr>
      <w:tr w:rsidR="00BD27FA" w:rsidRPr="00E4707B" w:rsidTr="00BD27FA">
        <w:tc>
          <w:tcPr>
            <w:tcW w:w="1617" w:type="pct"/>
            <w:vAlign w:val="center"/>
          </w:tcPr>
          <w:p w:rsidR="00BD27FA" w:rsidRPr="00E4707B" w:rsidRDefault="00BD27FA" w:rsidP="006A50C8">
            <w:pPr>
              <w:pStyle w:val="TableBodyText"/>
              <w:jc w:val="left"/>
              <w:rPr>
                <w:sz w:val="18"/>
                <w:szCs w:val="18"/>
              </w:rPr>
            </w:pPr>
            <w:r w:rsidRPr="00E4707B">
              <w:rPr>
                <w:sz w:val="18"/>
                <w:szCs w:val="18"/>
              </w:rPr>
              <w:t>Unallocated services</w:t>
            </w:r>
          </w:p>
        </w:tc>
        <w:tc>
          <w:tcPr>
            <w:tcW w:w="563" w:type="pct"/>
          </w:tcPr>
          <w:p w:rsidR="00BD27FA" w:rsidRPr="00B03E4B" w:rsidRDefault="00BD27FA" w:rsidP="006A50C8">
            <w:pPr>
              <w:pStyle w:val="TableBodyText"/>
              <w:rPr>
                <w:sz w:val="18"/>
                <w:szCs w:val="18"/>
              </w:rPr>
            </w:pPr>
            <w:r>
              <w:rPr>
                <w:sz w:val="18"/>
                <w:szCs w:val="18"/>
              </w:rPr>
              <w:t>–</w:t>
            </w:r>
          </w:p>
        </w:tc>
        <w:tc>
          <w:tcPr>
            <w:tcW w:w="563" w:type="pct"/>
            <w:gridSpan w:val="2"/>
          </w:tcPr>
          <w:p w:rsidR="00BD27FA" w:rsidRPr="00B03E4B" w:rsidRDefault="00BD27FA" w:rsidP="004A3015">
            <w:pPr>
              <w:pStyle w:val="TableBodyText"/>
              <w:rPr>
                <w:sz w:val="18"/>
                <w:szCs w:val="18"/>
              </w:rPr>
            </w:pPr>
            <w:r>
              <w:rPr>
                <w:sz w:val="18"/>
                <w:szCs w:val="18"/>
              </w:rPr>
              <w:t>–</w:t>
            </w:r>
          </w:p>
        </w:tc>
        <w:tc>
          <w:tcPr>
            <w:tcW w:w="563" w:type="pct"/>
            <w:gridSpan w:val="2"/>
            <w:shd w:val="clear" w:color="auto" w:fill="D9D9D9" w:themeFill="background1" w:themeFillShade="D9"/>
          </w:tcPr>
          <w:p w:rsidR="00BD27FA" w:rsidRPr="00B03E4B" w:rsidRDefault="00BD27FA" w:rsidP="004A3015">
            <w:pPr>
              <w:pStyle w:val="TableBodyText"/>
              <w:rPr>
                <w:sz w:val="18"/>
                <w:szCs w:val="18"/>
              </w:rPr>
            </w:pPr>
            <w:r>
              <w:rPr>
                <w:sz w:val="18"/>
                <w:szCs w:val="18"/>
              </w:rPr>
              <w:t>–</w:t>
            </w:r>
          </w:p>
        </w:tc>
        <w:tc>
          <w:tcPr>
            <w:tcW w:w="566" w:type="pct"/>
            <w:gridSpan w:val="2"/>
          </w:tcPr>
          <w:p w:rsidR="00BD27FA" w:rsidRPr="00BD27FA" w:rsidRDefault="00BD27FA" w:rsidP="006A50C8">
            <w:pPr>
              <w:pStyle w:val="TableBodyText"/>
              <w:rPr>
                <w:sz w:val="18"/>
                <w:szCs w:val="18"/>
              </w:rPr>
            </w:pPr>
            <w:r w:rsidRPr="00BD27FA">
              <w:rPr>
                <w:sz w:val="18"/>
                <w:szCs w:val="18"/>
              </w:rPr>
              <w:t>180.3</w:t>
            </w:r>
          </w:p>
        </w:tc>
        <w:tc>
          <w:tcPr>
            <w:tcW w:w="565" w:type="pct"/>
          </w:tcPr>
          <w:p w:rsidR="00BD27FA" w:rsidRPr="00BD27FA" w:rsidRDefault="00BD27FA" w:rsidP="00BD27FA">
            <w:pPr>
              <w:pStyle w:val="TableBodyText"/>
              <w:rPr>
                <w:sz w:val="18"/>
                <w:szCs w:val="18"/>
              </w:rPr>
            </w:pPr>
            <w:r>
              <w:rPr>
                <w:sz w:val="18"/>
                <w:szCs w:val="18"/>
              </w:rPr>
              <w:t>–</w:t>
            </w:r>
          </w:p>
        </w:tc>
        <w:tc>
          <w:tcPr>
            <w:tcW w:w="563" w:type="pct"/>
            <w:shd w:val="clear" w:color="auto" w:fill="D9D9D9" w:themeFill="background1" w:themeFillShade="D9"/>
          </w:tcPr>
          <w:p w:rsidR="00BD27FA" w:rsidRPr="00BD27FA" w:rsidRDefault="00BD27FA" w:rsidP="00C76B67">
            <w:pPr>
              <w:pStyle w:val="TableBodyText"/>
              <w:rPr>
                <w:sz w:val="18"/>
                <w:szCs w:val="18"/>
              </w:rPr>
            </w:pPr>
            <w:r w:rsidRPr="00BD27FA">
              <w:rPr>
                <w:sz w:val="18"/>
                <w:szCs w:val="18"/>
              </w:rPr>
              <w:t>180.3</w:t>
            </w:r>
          </w:p>
        </w:tc>
      </w:tr>
      <w:tr w:rsidR="00BD27FA" w:rsidRPr="00E4707B" w:rsidTr="00BD27FA">
        <w:tc>
          <w:tcPr>
            <w:tcW w:w="1617" w:type="pct"/>
            <w:vAlign w:val="center"/>
          </w:tcPr>
          <w:p w:rsidR="00BD27FA" w:rsidRPr="00E4707B" w:rsidRDefault="00BD27FA" w:rsidP="006A50C8">
            <w:pPr>
              <w:pStyle w:val="TableBodyText"/>
              <w:jc w:val="left"/>
              <w:rPr>
                <w:sz w:val="18"/>
                <w:szCs w:val="18"/>
              </w:rPr>
            </w:pPr>
            <w:r w:rsidRPr="00E4707B">
              <w:rPr>
                <w:sz w:val="18"/>
                <w:szCs w:val="18"/>
              </w:rPr>
              <w:t>Unallocated other</w:t>
            </w:r>
          </w:p>
        </w:tc>
        <w:tc>
          <w:tcPr>
            <w:tcW w:w="563" w:type="pct"/>
          </w:tcPr>
          <w:p w:rsidR="00BD27FA" w:rsidRPr="00B03E4B" w:rsidRDefault="00BD27FA" w:rsidP="006A50C8">
            <w:pPr>
              <w:pStyle w:val="TableBodyText"/>
              <w:rPr>
                <w:sz w:val="18"/>
                <w:szCs w:val="18"/>
              </w:rPr>
            </w:pPr>
            <w:r>
              <w:rPr>
                <w:sz w:val="18"/>
                <w:szCs w:val="18"/>
              </w:rPr>
              <w:t>–</w:t>
            </w:r>
          </w:p>
        </w:tc>
        <w:tc>
          <w:tcPr>
            <w:tcW w:w="563" w:type="pct"/>
            <w:gridSpan w:val="2"/>
          </w:tcPr>
          <w:p w:rsidR="00BD27FA" w:rsidRPr="00B03E4B" w:rsidRDefault="00BD27FA" w:rsidP="004A3015">
            <w:pPr>
              <w:pStyle w:val="TableBodyText"/>
              <w:rPr>
                <w:sz w:val="18"/>
                <w:szCs w:val="18"/>
              </w:rPr>
            </w:pPr>
            <w:r>
              <w:rPr>
                <w:sz w:val="18"/>
                <w:szCs w:val="18"/>
              </w:rPr>
              <w:t>–</w:t>
            </w:r>
          </w:p>
        </w:tc>
        <w:tc>
          <w:tcPr>
            <w:tcW w:w="563" w:type="pct"/>
            <w:gridSpan w:val="2"/>
            <w:shd w:val="clear" w:color="auto" w:fill="D9D9D9" w:themeFill="background1" w:themeFillShade="D9"/>
          </w:tcPr>
          <w:p w:rsidR="00BD27FA" w:rsidRPr="00B03E4B" w:rsidRDefault="00BD27FA" w:rsidP="004A3015">
            <w:pPr>
              <w:pStyle w:val="TableBodyText"/>
              <w:rPr>
                <w:sz w:val="18"/>
                <w:szCs w:val="18"/>
              </w:rPr>
            </w:pPr>
            <w:r>
              <w:rPr>
                <w:sz w:val="18"/>
                <w:szCs w:val="18"/>
              </w:rPr>
              <w:t>–</w:t>
            </w:r>
          </w:p>
        </w:tc>
        <w:tc>
          <w:tcPr>
            <w:tcW w:w="566" w:type="pct"/>
            <w:gridSpan w:val="2"/>
          </w:tcPr>
          <w:p w:rsidR="00BD27FA" w:rsidRPr="00BD27FA" w:rsidRDefault="00BD27FA" w:rsidP="00295C4B">
            <w:pPr>
              <w:pStyle w:val="TableBodyText"/>
              <w:rPr>
                <w:sz w:val="18"/>
                <w:szCs w:val="18"/>
              </w:rPr>
            </w:pPr>
            <w:r w:rsidRPr="00BD27FA">
              <w:rPr>
                <w:sz w:val="18"/>
                <w:szCs w:val="18"/>
              </w:rPr>
              <w:t>355.6</w:t>
            </w:r>
          </w:p>
        </w:tc>
        <w:tc>
          <w:tcPr>
            <w:tcW w:w="565" w:type="pct"/>
          </w:tcPr>
          <w:p w:rsidR="00BD27FA" w:rsidRPr="00BD27FA" w:rsidRDefault="00BD27FA" w:rsidP="00295C4B">
            <w:pPr>
              <w:pStyle w:val="TableBodyText"/>
              <w:rPr>
                <w:sz w:val="18"/>
                <w:szCs w:val="18"/>
              </w:rPr>
            </w:pPr>
            <w:r w:rsidRPr="00BD27FA">
              <w:rPr>
                <w:sz w:val="18"/>
                <w:szCs w:val="18"/>
              </w:rPr>
              <w:t>970.4</w:t>
            </w:r>
          </w:p>
        </w:tc>
        <w:tc>
          <w:tcPr>
            <w:tcW w:w="563" w:type="pct"/>
            <w:shd w:val="clear" w:color="auto" w:fill="D9D9D9" w:themeFill="background1" w:themeFillShade="D9"/>
          </w:tcPr>
          <w:p w:rsidR="00BD27FA" w:rsidRPr="00BD27FA" w:rsidRDefault="00BD27FA" w:rsidP="00295C4B">
            <w:pPr>
              <w:pStyle w:val="TableBodyText"/>
              <w:rPr>
                <w:sz w:val="18"/>
                <w:szCs w:val="18"/>
              </w:rPr>
            </w:pPr>
            <w:r w:rsidRPr="00BD27FA">
              <w:rPr>
                <w:sz w:val="18"/>
                <w:szCs w:val="18"/>
              </w:rPr>
              <w:t>1326.0</w:t>
            </w:r>
          </w:p>
        </w:tc>
      </w:tr>
      <w:tr w:rsidR="00BD27FA" w:rsidRPr="00E4707B" w:rsidTr="00BD27FA">
        <w:trPr>
          <w:trHeight w:val="283"/>
        </w:trPr>
        <w:tc>
          <w:tcPr>
            <w:tcW w:w="1617" w:type="pct"/>
            <w:tcBorders>
              <w:bottom w:val="single" w:sz="6" w:space="0" w:color="auto"/>
            </w:tcBorders>
            <w:shd w:val="clear" w:color="auto" w:fill="auto"/>
            <w:vAlign w:val="center"/>
          </w:tcPr>
          <w:p w:rsidR="00BD27FA" w:rsidRPr="00E4707B" w:rsidRDefault="00BD27FA" w:rsidP="006A50C8">
            <w:pPr>
              <w:pStyle w:val="TableBodyText"/>
              <w:jc w:val="left"/>
              <w:rPr>
                <w:b/>
                <w:sz w:val="18"/>
                <w:szCs w:val="18"/>
              </w:rPr>
            </w:pPr>
            <w:r w:rsidRPr="00E4707B">
              <w:rPr>
                <w:b/>
                <w:sz w:val="18"/>
                <w:szCs w:val="18"/>
              </w:rPr>
              <w:t>Total</w:t>
            </w:r>
          </w:p>
        </w:tc>
        <w:tc>
          <w:tcPr>
            <w:tcW w:w="563" w:type="pct"/>
            <w:tcBorders>
              <w:bottom w:val="single" w:sz="6" w:space="0" w:color="auto"/>
            </w:tcBorders>
            <w:shd w:val="clear" w:color="auto" w:fill="auto"/>
          </w:tcPr>
          <w:p w:rsidR="00BD27FA" w:rsidRPr="00B03E4B" w:rsidRDefault="00BD27FA" w:rsidP="006A50C8">
            <w:pPr>
              <w:pStyle w:val="TableBodyText"/>
              <w:rPr>
                <w:b/>
                <w:sz w:val="18"/>
                <w:szCs w:val="18"/>
              </w:rPr>
            </w:pPr>
            <w:r w:rsidRPr="00B03E4B">
              <w:rPr>
                <w:b/>
                <w:sz w:val="18"/>
                <w:szCs w:val="18"/>
              </w:rPr>
              <w:t>7895.0</w:t>
            </w:r>
          </w:p>
        </w:tc>
        <w:tc>
          <w:tcPr>
            <w:tcW w:w="563" w:type="pct"/>
            <w:gridSpan w:val="2"/>
            <w:tcBorders>
              <w:bottom w:val="single" w:sz="6" w:space="0" w:color="auto"/>
            </w:tcBorders>
          </w:tcPr>
          <w:p w:rsidR="00BD27FA" w:rsidRPr="00B03E4B" w:rsidRDefault="00BD27FA" w:rsidP="006A50C8">
            <w:pPr>
              <w:pStyle w:val="TableBodyText"/>
              <w:rPr>
                <w:b/>
                <w:sz w:val="18"/>
                <w:szCs w:val="18"/>
              </w:rPr>
            </w:pPr>
            <w:r w:rsidRPr="00B03E4B">
              <w:rPr>
                <w:b/>
                <w:sz w:val="18"/>
                <w:szCs w:val="18"/>
              </w:rPr>
              <w:t>-6813.8</w:t>
            </w:r>
          </w:p>
        </w:tc>
        <w:tc>
          <w:tcPr>
            <w:tcW w:w="563" w:type="pct"/>
            <w:gridSpan w:val="2"/>
            <w:tcBorders>
              <w:bottom w:val="single" w:sz="6" w:space="0" w:color="auto"/>
            </w:tcBorders>
            <w:shd w:val="clear" w:color="auto" w:fill="D9D9D9" w:themeFill="background1" w:themeFillShade="D9"/>
          </w:tcPr>
          <w:p w:rsidR="00BD27FA" w:rsidRPr="00B03E4B" w:rsidRDefault="00BD27FA" w:rsidP="006A50C8">
            <w:pPr>
              <w:pStyle w:val="TableBodyText"/>
              <w:rPr>
                <w:b/>
                <w:sz w:val="18"/>
                <w:szCs w:val="18"/>
              </w:rPr>
            </w:pPr>
            <w:r w:rsidRPr="00B03E4B">
              <w:rPr>
                <w:b/>
                <w:sz w:val="18"/>
                <w:szCs w:val="18"/>
              </w:rPr>
              <w:t>1081.2</w:t>
            </w:r>
          </w:p>
        </w:tc>
        <w:tc>
          <w:tcPr>
            <w:tcW w:w="566" w:type="pct"/>
            <w:gridSpan w:val="2"/>
            <w:tcBorders>
              <w:bottom w:val="single" w:sz="6" w:space="0" w:color="auto"/>
            </w:tcBorders>
          </w:tcPr>
          <w:p w:rsidR="00BD27FA" w:rsidRPr="00BD27FA" w:rsidRDefault="00BD27FA" w:rsidP="0014396D">
            <w:pPr>
              <w:pStyle w:val="TableBodyText"/>
              <w:rPr>
                <w:b/>
                <w:sz w:val="18"/>
                <w:szCs w:val="18"/>
              </w:rPr>
            </w:pPr>
            <w:r w:rsidRPr="00BD27FA">
              <w:rPr>
                <w:b/>
                <w:sz w:val="18"/>
                <w:szCs w:val="18"/>
              </w:rPr>
              <w:t>5128.7</w:t>
            </w:r>
          </w:p>
        </w:tc>
        <w:tc>
          <w:tcPr>
            <w:tcW w:w="565" w:type="pct"/>
            <w:tcBorders>
              <w:bottom w:val="single" w:sz="6" w:space="0" w:color="auto"/>
            </w:tcBorders>
          </w:tcPr>
          <w:p w:rsidR="00BD27FA" w:rsidRPr="00BD27FA" w:rsidRDefault="00BD27FA" w:rsidP="00295C4B">
            <w:pPr>
              <w:pStyle w:val="TableBodyText"/>
              <w:rPr>
                <w:b/>
                <w:sz w:val="18"/>
                <w:szCs w:val="18"/>
              </w:rPr>
            </w:pPr>
            <w:r w:rsidRPr="00BD27FA">
              <w:rPr>
                <w:b/>
                <w:sz w:val="18"/>
                <w:szCs w:val="18"/>
              </w:rPr>
              <w:t>4291.2</w:t>
            </w:r>
          </w:p>
        </w:tc>
        <w:tc>
          <w:tcPr>
            <w:tcW w:w="563" w:type="pct"/>
            <w:tcBorders>
              <w:bottom w:val="single" w:sz="6" w:space="0" w:color="auto"/>
            </w:tcBorders>
            <w:shd w:val="clear" w:color="auto" w:fill="D9D9D9" w:themeFill="background1" w:themeFillShade="D9"/>
          </w:tcPr>
          <w:p w:rsidR="00BD27FA" w:rsidRPr="00BD27FA" w:rsidRDefault="00BD27FA" w:rsidP="0014396D">
            <w:pPr>
              <w:pStyle w:val="TableBodyText"/>
              <w:rPr>
                <w:b/>
                <w:sz w:val="18"/>
                <w:szCs w:val="18"/>
              </w:rPr>
            </w:pPr>
            <w:r w:rsidRPr="00BD27FA">
              <w:rPr>
                <w:b/>
                <w:sz w:val="18"/>
                <w:szCs w:val="18"/>
              </w:rPr>
              <w:t>10501.1</w:t>
            </w:r>
          </w:p>
        </w:tc>
      </w:tr>
    </w:tbl>
    <w:p w:rsidR="006A50C8" w:rsidRDefault="006A50C8" w:rsidP="006A50C8">
      <w:pPr>
        <w:pStyle w:val="Note"/>
      </w:pPr>
      <w:r w:rsidRPr="00AC2CC6">
        <w:t>– </w:t>
      </w:r>
      <w:r>
        <w:t>N</w:t>
      </w:r>
      <w:r w:rsidRPr="00AC2CC6">
        <w:t>il</w:t>
      </w:r>
      <w:r>
        <w:t xml:space="preserve">.  </w:t>
      </w:r>
      <w:r w:rsidRPr="008E77FE">
        <w:rPr>
          <w:rStyle w:val="NoteLabel"/>
        </w:rPr>
        <w:t>a</w:t>
      </w:r>
      <w:r>
        <w:t xml:space="preserve"> Read in conjunction with notes to tables </w:t>
      </w:r>
      <w:r>
        <w:fldChar w:fldCharType="begin"/>
      </w:r>
      <w:r>
        <w:instrText xml:space="preserve"> LINK </w:instrText>
      </w:r>
      <w:r w:rsidR="00655E7D">
        <w:instrText xml:space="preserve">Word.Document.12 "\\\\nch1\\esb\\T A R\\2011-12\\AAreport\\12 - Ch2 - Assistance estimates.docx" OLE_LINK2 </w:instrText>
      </w:r>
      <w:r>
        <w:instrText xml:space="preserve">\a \t </w:instrText>
      </w:r>
      <w:r>
        <w:fldChar w:fldCharType="separate"/>
      </w:r>
      <w:r w:rsidR="00655E7D">
        <w:t>2.2</w:t>
      </w:r>
      <w:r>
        <w:fldChar w:fldCharType="end"/>
      </w:r>
      <w:r>
        <w:t xml:space="preserve"> and </w:t>
      </w:r>
      <w:r>
        <w:fldChar w:fldCharType="begin"/>
      </w:r>
      <w:r>
        <w:instrText xml:space="preserve"> LINK </w:instrText>
      </w:r>
      <w:r w:rsidR="00655E7D">
        <w:instrText xml:space="preserve">Word.Document.12 "\\\\nch1\\esb\\T A R\\2011-12\\AAreport\\12 - Ch2 - Assistance estimates.docx" OLE_LINK15 </w:instrText>
      </w:r>
      <w:r>
        <w:instrText xml:space="preserve">\a \t </w:instrText>
      </w:r>
      <w:r>
        <w:fldChar w:fldCharType="separate"/>
      </w:r>
      <w:r w:rsidR="00655E7D">
        <w:t>2.4</w:t>
      </w:r>
      <w:r>
        <w:fldChar w:fldCharType="end"/>
      </w:r>
      <w:r>
        <w:t xml:space="preserve">. </w:t>
      </w:r>
    </w:p>
    <w:p w:rsidR="006A50C8" w:rsidRPr="008E77FE" w:rsidRDefault="006A50C8" w:rsidP="006A50C8">
      <w:pPr>
        <w:pStyle w:val="Source"/>
      </w:pPr>
      <w:r>
        <w:rPr>
          <w:i/>
        </w:rPr>
        <w:t>Source</w:t>
      </w:r>
      <w:r>
        <w:t xml:space="preserve">: Commission estimates. </w:t>
      </w:r>
    </w:p>
    <w:p w:rsidR="004361A9" w:rsidRDefault="004361A9" w:rsidP="004361A9">
      <w:pPr>
        <w:pStyle w:val="Heading3"/>
      </w:pPr>
      <w:r>
        <w:lastRenderedPageBreak/>
        <w:t>Effective rates of (combined) assistance</w:t>
      </w:r>
    </w:p>
    <w:p w:rsidR="006A50C8" w:rsidRDefault="006A50C8" w:rsidP="006A50C8">
      <w:pPr>
        <w:pStyle w:val="Heading4"/>
      </w:pPr>
      <w:r>
        <w:t>Estimated effective rates of combined assistance by industry</w:t>
      </w:r>
      <w:r w:rsidR="00C02F93">
        <w:t xml:space="preserve"> grouping</w:t>
      </w:r>
    </w:p>
    <w:p w:rsidR="006A50C8" w:rsidRDefault="006A50C8" w:rsidP="006A50C8">
      <w:pPr>
        <w:pStyle w:val="BodyText"/>
      </w:pPr>
      <w:r>
        <w:t xml:space="preserve">For the manufacturing sector, the estimated effective rate of assistance — that is, the value of assistance as a proportion of (unassisted) value added — was </w:t>
      </w:r>
      <w:r w:rsidR="00543FE1">
        <w:t>4</w:t>
      </w:r>
      <w:r w:rsidR="007379EC">
        <w:t>.</w:t>
      </w:r>
      <w:r w:rsidR="00BD27FA">
        <w:t>1</w:t>
      </w:r>
      <w:r>
        <w:t> per cent in 2011</w:t>
      </w:r>
      <w:r>
        <w:noBreakHyphen/>
        <w:t>12,</w:t>
      </w:r>
      <w:r w:rsidR="00ED2C7F">
        <w:t xml:space="preserve"> and</w:t>
      </w:r>
      <w:r>
        <w:t xml:space="preserve"> </w:t>
      </w:r>
      <w:r w:rsidR="00ED2C7F">
        <w:t>in line with the estimate for previous years</w:t>
      </w:r>
      <w:r>
        <w:t xml:space="preserve"> (table </w:t>
      </w:r>
      <w:r w:rsidR="00796F18">
        <w:fldChar w:fldCharType="begin"/>
      </w:r>
      <w:r w:rsidR="00796F18">
        <w:instrText xml:space="preserve"> LINK </w:instrText>
      </w:r>
      <w:r w:rsidR="00655E7D">
        <w:instrText xml:space="preserve">Word.Document.12 "\\\\nch1\\esb\\T A R\\2011-12\\AAreport\\12 - Ch2 - Assistance estimates.docx" OLE_LINK18 </w:instrText>
      </w:r>
      <w:r w:rsidR="00796F18">
        <w:instrText xml:space="preserve">\a \t \u </w:instrText>
      </w:r>
      <w:r w:rsidR="00796F18">
        <w:fldChar w:fldCharType="separate"/>
      </w:r>
      <w:r w:rsidR="00655E7D">
        <w:t>2.7</w:t>
      </w:r>
      <w:r w:rsidR="00796F18">
        <w:fldChar w:fldCharType="end"/>
      </w:r>
      <w:r>
        <w:t>). The effective rate for the primary sector in 2011</w:t>
      </w:r>
      <w:r>
        <w:noBreakHyphen/>
        <w:t>12 was 3.</w:t>
      </w:r>
      <w:r w:rsidR="00BD27FA">
        <w:t>3</w:t>
      </w:r>
      <w:r>
        <w:t> per cent. (It had reached 6.4 per cent in 2007</w:t>
      </w:r>
      <w:r>
        <w:noBreakHyphen/>
        <w:t xml:space="preserve">08, reflecting assistance </w:t>
      </w:r>
      <w:r w:rsidR="00C02F93">
        <w:t xml:space="preserve">afforded the industry </w:t>
      </w:r>
      <w:r>
        <w:t xml:space="preserve">for drought relief). The estimated effective rate of assistance from tariff and budgetary assistance for mining </w:t>
      </w:r>
      <w:r w:rsidR="00ED2C7F">
        <w:t>is</w:t>
      </w:r>
      <w:r>
        <w:t xml:space="preserve"> negligible. </w:t>
      </w:r>
    </w:p>
    <w:p w:rsidR="006A50C8" w:rsidRDefault="006A50C8" w:rsidP="006A50C8">
      <w:pPr>
        <w:pStyle w:val="TableTitle"/>
      </w:pPr>
      <w:r>
        <w:rPr>
          <w:b w:val="0"/>
        </w:rPr>
        <w:t xml:space="preserve">Table </w:t>
      </w:r>
      <w:bookmarkStart w:id="20" w:name="OLE_LINK18"/>
      <w:r>
        <w:rPr>
          <w:b w:val="0"/>
        </w:rPr>
        <w:fldChar w:fldCharType="begin"/>
      </w:r>
      <w:r>
        <w:rPr>
          <w:b w:val="0"/>
        </w:rPr>
        <w:instrText xml:space="preserve"> COMMENTS  \* MERGEFORMAT </w:instrText>
      </w:r>
      <w:r>
        <w:rPr>
          <w:b w:val="0"/>
        </w:rPr>
        <w:fldChar w:fldCharType="separate"/>
      </w:r>
      <w:r w:rsidR="00655E7D">
        <w:rPr>
          <w:b w:val="0"/>
        </w:rPr>
        <w:t>2.</w:t>
      </w:r>
      <w:r>
        <w:rPr>
          <w:b w:val="0"/>
        </w:rPr>
        <w:fldChar w:fldCharType="end"/>
      </w:r>
      <w:r>
        <w:rPr>
          <w:b w:val="0"/>
        </w:rPr>
        <w:fldChar w:fldCharType="begin"/>
      </w:r>
      <w:r>
        <w:rPr>
          <w:b w:val="0"/>
        </w:rPr>
        <w:instrText xml:space="preserve"> SEQ Table \* ARABIC </w:instrText>
      </w:r>
      <w:r>
        <w:rPr>
          <w:b w:val="0"/>
        </w:rPr>
        <w:fldChar w:fldCharType="separate"/>
      </w:r>
      <w:r w:rsidR="00E12ECE">
        <w:rPr>
          <w:b w:val="0"/>
          <w:noProof/>
        </w:rPr>
        <w:t>7</w:t>
      </w:r>
      <w:r>
        <w:rPr>
          <w:b w:val="0"/>
        </w:rPr>
        <w:fldChar w:fldCharType="end"/>
      </w:r>
      <w:bookmarkEnd w:id="20"/>
      <w:r>
        <w:tab/>
        <w:t>Effective rate of combined assistance by industry grouping, 2006</w:t>
      </w:r>
      <w:r>
        <w:noBreakHyphen/>
        <w:t>07 to 2011</w:t>
      </w:r>
      <w:r>
        <w:noBreakHyphen/>
        <w:t>12</w:t>
      </w:r>
      <w:r w:rsidRPr="000567A8">
        <w:rPr>
          <w:rStyle w:val="NoteLabel"/>
        </w:rPr>
        <w:t>a</w:t>
      </w:r>
    </w:p>
    <w:p w:rsidR="006A50C8" w:rsidRDefault="006A50C8" w:rsidP="006A50C8">
      <w:pPr>
        <w:pStyle w:val="Subtitle"/>
      </w:pPr>
      <w:r>
        <w:t>per cent</w:t>
      </w:r>
    </w:p>
    <w:tbl>
      <w:tblPr>
        <w:tblW w:w="4999" w:type="pct"/>
        <w:tblCellMar>
          <w:left w:w="0" w:type="dxa"/>
          <w:right w:w="0" w:type="dxa"/>
        </w:tblCellMar>
        <w:tblLook w:val="0000" w:firstRow="0" w:lastRow="0" w:firstColumn="0" w:lastColumn="0" w:noHBand="0" w:noVBand="0"/>
      </w:tblPr>
      <w:tblGrid>
        <w:gridCol w:w="2839"/>
        <w:gridCol w:w="992"/>
        <w:gridCol w:w="992"/>
        <w:gridCol w:w="991"/>
        <w:gridCol w:w="991"/>
        <w:gridCol w:w="991"/>
        <w:gridCol w:w="991"/>
      </w:tblGrid>
      <w:tr w:rsidR="006A50C8" w:rsidTr="006A50C8">
        <w:tc>
          <w:tcPr>
            <w:tcW w:w="1615" w:type="pct"/>
            <w:tcBorders>
              <w:top w:val="single" w:sz="6" w:space="0" w:color="auto"/>
              <w:bottom w:val="single" w:sz="6" w:space="0" w:color="auto"/>
            </w:tcBorders>
            <w:shd w:val="clear" w:color="auto" w:fill="auto"/>
          </w:tcPr>
          <w:p w:rsidR="006A50C8" w:rsidRDefault="006A50C8" w:rsidP="006A50C8">
            <w:pPr>
              <w:pStyle w:val="TableColumnHeading"/>
              <w:jc w:val="left"/>
            </w:pPr>
          </w:p>
        </w:tc>
        <w:tc>
          <w:tcPr>
            <w:tcW w:w="564" w:type="pct"/>
            <w:tcBorders>
              <w:top w:val="single" w:sz="6" w:space="0" w:color="auto"/>
              <w:bottom w:val="single" w:sz="6" w:space="0" w:color="auto"/>
            </w:tcBorders>
            <w:shd w:val="clear" w:color="auto" w:fill="auto"/>
          </w:tcPr>
          <w:p w:rsidR="006A50C8" w:rsidRDefault="006A50C8" w:rsidP="006A50C8">
            <w:pPr>
              <w:pStyle w:val="TableColumnHeading"/>
            </w:pPr>
            <w:r>
              <w:t>2006</w:t>
            </w:r>
            <w:r>
              <w:noBreakHyphen/>
              <w:t>07</w:t>
            </w:r>
          </w:p>
        </w:tc>
        <w:tc>
          <w:tcPr>
            <w:tcW w:w="564" w:type="pct"/>
            <w:tcBorders>
              <w:top w:val="single" w:sz="6" w:space="0" w:color="auto"/>
              <w:bottom w:val="single" w:sz="6" w:space="0" w:color="auto"/>
            </w:tcBorders>
          </w:tcPr>
          <w:p w:rsidR="006A50C8" w:rsidRDefault="006A50C8" w:rsidP="006A50C8">
            <w:pPr>
              <w:pStyle w:val="TableColumnHeading"/>
              <w:ind w:right="28"/>
            </w:pPr>
            <w:r>
              <w:t>2007</w:t>
            </w:r>
            <w:r>
              <w:noBreakHyphen/>
              <w:t>08</w:t>
            </w:r>
          </w:p>
        </w:tc>
        <w:tc>
          <w:tcPr>
            <w:tcW w:w="564" w:type="pct"/>
            <w:tcBorders>
              <w:top w:val="single" w:sz="6" w:space="0" w:color="auto"/>
              <w:bottom w:val="single" w:sz="6" w:space="0" w:color="auto"/>
            </w:tcBorders>
          </w:tcPr>
          <w:p w:rsidR="006A50C8" w:rsidRDefault="006A50C8" w:rsidP="006A50C8">
            <w:pPr>
              <w:pStyle w:val="TableColumnHeading"/>
              <w:ind w:right="28"/>
            </w:pPr>
            <w:r>
              <w:t>2008</w:t>
            </w:r>
            <w:r>
              <w:noBreakHyphen/>
              <w:t>09</w:t>
            </w:r>
          </w:p>
        </w:tc>
        <w:tc>
          <w:tcPr>
            <w:tcW w:w="564" w:type="pct"/>
            <w:tcBorders>
              <w:top w:val="single" w:sz="6" w:space="0" w:color="auto"/>
              <w:bottom w:val="single" w:sz="6" w:space="0" w:color="auto"/>
            </w:tcBorders>
          </w:tcPr>
          <w:p w:rsidR="006A50C8" w:rsidRDefault="006A50C8" w:rsidP="006A50C8">
            <w:pPr>
              <w:pStyle w:val="TableColumnHeading"/>
              <w:ind w:right="28"/>
            </w:pPr>
            <w:r>
              <w:t>2009</w:t>
            </w:r>
            <w:r>
              <w:noBreakHyphen/>
              <w:t>10</w:t>
            </w:r>
          </w:p>
        </w:tc>
        <w:tc>
          <w:tcPr>
            <w:tcW w:w="564" w:type="pct"/>
            <w:tcBorders>
              <w:top w:val="single" w:sz="6" w:space="0" w:color="auto"/>
              <w:bottom w:val="single" w:sz="6" w:space="0" w:color="auto"/>
            </w:tcBorders>
          </w:tcPr>
          <w:p w:rsidR="006A50C8" w:rsidRDefault="006A50C8" w:rsidP="006A50C8">
            <w:pPr>
              <w:pStyle w:val="TableColumnHeading"/>
              <w:ind w:right="28"/>
            </w:pPr>
            <w:r>
              <w:t>2010</w:t>
            </w:r>
            <w:r>
              <w:noBreakHyphen/>
              <w:t>11</w:t>
            </w:r>
          </w:p>
        </w:tc>
        <w:tc>
          <w:tcPr>
            <w:tcW w:w="564" w:type="pct"/>
            <w:tcBorders>
              <w:top w:val="single" w:sz="6" w:space="0" w:color="auto"/>
              <w:bottom w:val="single" w:sz="6" w:space="0" w:color="auto"/>
            </w:tcBorders>
            <w:shd w:val="clear" w:color="auto" w:fill="auto"/>
          </w:tcPr>
          <w:p w:rsidR="006A50C8" w:rsidRDefault="006A50C8" w:rsidP="006A50C8">
            <w:pPr>
              <w:pStyle w:val="TableColumnHeading"/>
              <w:ind w:right="28"/>
            </w:pPr>
            <w:r>
              <w:t>2011</w:t>
            </w:r>
            <w:r>
              <w:noBreakHyphen/>
              <w:t>12</w:t>
            </w:r>
          </w:p>
        </w:tc>
      </w:tr>
      <w:tr w:rsidR="006A50C8" w:rsidTr="006A50C8">
        <w:tc>
          <w:tcPr>
            <w:tcW w:w="1615" w:type="pct"/>
            <w:vAlign w:val="center"/>
          </w:tcPr>
          <w:p w:rsidR="006A50C8" w:rsidRPr="00ED5AA3" w:rsidRDefault="006A50C8" w:rsidP="006A50C8">
            <w:pPr>
              <w:pStyle w:val="TableBodyText"/>
              <w:jc w:val="left"/>
              <w:rPr>
                <w:b/>
              </w:rPr>
            </w:pPr>
            <w:r w:rsidRPr="00ED5AA3">
              <w:rPr>
                <w:b/>
              </w:rPr>
              <w:t xml:space="preserve">Primary </w:t>
            </w:r>
            <w:r w:rsidR="00C02F93">
              <w:rPr>
                <w:b/>
              </w:rPr>
              <w:t>production</w:t>
            </w:r>
            <w:r w:rsidR="00E1556D" w:rsidRPr="000567A8">
              <w:rPr>
                <w:rStyle w:val="NoteLabel"/>
              </w:rPr>
              <w:t>b</w:t>
            </w:r>
          </w:p>
        </w:tc>
        <w:tc>
          <w:tcPr>
            <w:tcW w:w="564" w:type="pct"/>
            <w:vAlign w:val="center"/>
          </w:tcPr>
          <w:p w:rsidR="006A50C8" w:rsidRPr="009F0434" w:rsidRDefault="006A50C8" w:rsidP="006A50C8">
            <w:pPr>
              <w:pStyle w:val="TableBodyText"/>
              <w:rPr>
                <w:b/>
              </w:rPr>
            </w:pPr>
            <w:r w:rsidRPr="009F0434">
              <w:rPr>
                <w:b/>
              </w:rPr>
              <w:t>5.9</w:t>
            </w:r>
          </w:p>
        </w:tc>
        <w:tc>
          <w:tcPr>
            <w:tcW w:w="564" w:type="pct"/>
            <w:vAlign w:val="center"/>
          </w:tcPr>
          <w:p w:rsidR="006A50C8" w:rsidRPr="009F0434" w:rsidRDefault="006A50C8" w:rsidP="006A50C8">
            <w:pPr>
              <w:pStyle w:val="TableBodyText"/>
              <w:rPr>
                <w:b/>
              </w:rPr>
            </w:pPr>
            <w:r w:rsidRPr="009F0434">
              <w:rPr>
                <w:b/>
              </w:rPr>
              <w:t>6.4</w:t>
            </w:r>
          </w:p>
        </w:tc>
        <w:tc>
          <w:tcPr>
            <w:tcW w:w="564" w:type="pct"/>
            <w:vAlign w:val="center"/>
          </w:tcPr>
          <w:p w:rsidR="006A50C8" w:rsidRPr="009F0434" w:rsidRDefault="006A50C8" w:rsidP="006A50C8">
            <w:pPr>
              <w:pStyle w:val="TableBodyText"/>
              <w:rPr>
                <w:b/>
              </w:rPr>
            </w:pPr>
            <w:r w:rsidRPr="009F0434">
              <w:rPr>
                <w:b/>
              </w:rPr>
              <w:t>4.7</w:t>
            </w:r>
          </w:p>
        </w:tc>
        <w:tc>
          <w:tcPr>
            <w:tcW w:w="564" w:type="pct"/>
            <w:vAlign w:val="center"/>
          </w:tcPr>
          <w:p w:rsidR="006A50C8" w:rsidRPr="009F0434" w:rsidRDefault="006A50C8" w:rsidP="00BD27FA">
            <w:pPr>
              <w:pStyle w:val="TableBodyText"/>
              <w:rPr>
                <w:b/>
              </w:rPr>
            </w:pPr>
            <w:r w:rsidRPr="009F0434">
              <w:rPr>
                <w:b/>
              </w:rPr>
              <w:t>4.</w:t>
            </w:r>
            <w:r w:rsidR="00BD27FA">
              <w:rPr>
                <w:b/>
              </w:rPr>
              <w:t>4</w:t>
            </w:r>
          </w:p>
        </w:tc>
        <w:tc>
          <w:tcPr>
            <w:tcW w:w="564" w:type="pct"/>
            <w:vAlign w:val="center"/>
          </w:tcPr>
          <w:p w:rsidR="006A50C8" w:rsidRPr="009F0434" w:rsidRDefault="006A50C8" w:rsidP="00BD27FA">
            <w:pPr>
              <w:pStyle w:val="TableBodyText"/>
              <w:rPr>
                <w:b/>
              </w:rPr>
            </w:pPr>
            <w:r w:rsidRPr="009F0434">
              <w:rPr>
                <w:b/>
              </w:rPr>
              <w:t>3.</w:t>
            </w:r>
            <w:r w:rsidR="00BD27FA">
              <w:rPr>
                <w:b/>
              </w:rPr>
              <w:t>4</w:t>
            </w:r>
          </w:p>
        </w:tc>
        <w:tc>
          <w:tcPr>
            <w:tcW w:w="564" w:type="pct"/>
            <w:vAlign w:val="center"/>
          </w:tcPr>
          <w:p w:rsidR="006A50C8" w:rsidRPr="009F0434" w:rsidRDefault="006A50C8" w:rsidP="00A44BE6">
            <w:pPr>
              <w:pStyle w:val="TableBodyText"/>
              <w:rPr>
                <w:b/>
              </w:rPr>
            </w:pPr>
            <w:r w:rsidRPr="009F0434">
              <w:rPr>
                <w:b/>
              </w:rPr>
              <w:t>3.</w:t>
            </w:r>
            <w:r w:rsidR="00A44BE6">
              <w:rPr>
                <w:b/>
              </w:rPr>
              <w:t>3</w:t>
            </w:r>
          </w:p>
        </w:tc>
      </w:tr>
      <w:tr w:rsidR="006A50C8" w:rsidTr="006A50C8">
        <w:tc>
          <w:tcPr>
            <w:tcW w:w="1615" w:type="pct"/>
            <w:vAlign w:val="center"/>
          </w:tcPr>
          <w:p w:rsidR="006A50C8" w:rsidRDefault="006A50C8" w:rsidP="006A50C8">
            <w:pPr>
              <w:pStyle w:val="TableBodyText"/>
              <w:jc w:val="left"/>
            </w:pPr>
            <w:r>
              <w:t>Horticulture and fruit growing</w:t>
            </w:r>
          </w:p>
        </w:tc>
        <w:tc>
          <w:tcPr>
            <w:tcW w:w="564" w:type="pct"/>
            <w:vAlign w:val="center"/>
          </w:tcPr>
          <w:p w:rsidR="006A50C8" w:rsidRDefault="006A50C8" w:rsidP="006A50C8">
            <w:pPr>
              <w:pStyle w:val="TableBodyText"/>
            </w:pPr>
            <w:r>
              <w:t>4.1</w:t>
            </w:r>
          </w:p>
        </w:tc>
        <w:tc>
          <w:tcPr>
            <w:tcW w:w="564" w:type="pct"/>
            <w:vAlign w:val="center"/>
          </w:tcPr>
          <w:p w:rsidR="006A50C8" w:rsidRDefault="006A50C8" w:rsidP="006A50C8">
            <w:pPr>
              <w:pStyle w:val="TableBodyText"/>
            </w:pPr>
            <w:r>
              <w:t>4.2</w:t>
            </w:r>
          </w:p>
        </w:tc>
        <w:tc>
          <w:tcPr>
            <w:tcW w:w="564" w:type="pct"/>
            <w:vAlign w:val="center"/>
          </w:tcPr>
          <w:p w:rsidR="006A50C8" w:rsidRDefault="006A50C8" w:rsidP="006A50C8">
            <w:pPr>
              <w:pStyle w:val="TableBodyText"/>
            </w:pPr>
            <w:r>
              <w:t>4.4</w:t>
            </w:r>
          </w:p>
        </w:tc>
        <w:tc>
          <w:tcPr>
            <w:tcW w:w="564" w:type="pct"/>
            <w:vAlign w:val="center"/>
          </w:tcPr>
          <w:p w:rsidR="006A50C8" w:rsidRDefault="00BD27FA" w:rsidP="00BD27FA">
            <w:pPr>
              <w:pStyle w:val="TableBodyText"/>
            </w:pPr>
            <w:r>
              <w:t>4.0</w:t>
            </w:r>
          </w:p>
        </w:tc>
        <w:tc>
          <w:tcPr>
            <w:tcW w:w="564" w:type="pct"/>
            <w:vAlign w:val="center"/>
          </w:tcPr>
          <w:p w:rsidR="006A50C8" w:rsidRDefault="006A50C8" w:rsidP="006A50C8">
            <w:pPr>
              <w:pStyle w:val="TableBodyText"/>
            </w:pPr>
            <w:r>
              <w:t>3.7</w:t>
            </w:r>
          </w:p>
        </w:tc>
        <w:tc>
          <w:tcPr>
            <w:tcW w:w="564" w:type="pct"/>
            <w:vAlign w:val="center"/>
          </w:tcPr>
          <w:p w:rsidR="006A50C8" w:rsidRDefault="006A50C8" w:rsidP="00543FE1">
            <w:pPr>
              <w:pStyle w:val="TableBodyText"/>
            </w:pPr>
            <w:r>
              <w:t>3.</w:t>
            </w:r>
            <w:r w:rsidR="00543FE1">
              <w:t>5</w:t>
            </w:r>
          </w:p>
        </w:tc>
      </w:tr>
      <w:tr w:rsidR="006A50C8" w:rsidTr="006A50C8">
        <w:tc>
          <w:tcPr>
            <w:tcW w:w="1615" w:type="pct"/>
            <w:vAlign w:val="center"/>
          </w:tcPr>
          <w:p w:rsidR="006A50C8" w:rsidRDefault="006A50C8" w:rsidP="006A50C8">
            <w:pPr>
              <w:pStyle w:val="TableBodyText"/>
              <w:jc w:val="left"/>
            </w:pPr>
            <w:r>
              <w:t>Sheep, beef cattle and grain</w:t>
            </w:r>
          </w:p>
        </w:tc>
        <w:tc>
          <w:tcPr>
            <w:tcW w:w="564" w:type="pct"/>
            <w:vAlign w:val="center"/>
          </w:tcPr>
          <w:p w:rsidR="006A50C8" w:rsidRDefault="006A50C8" w:rsidP="006A50C8">
            <w:pPr>
              <w:pStyle w:val="TableBodyText"/>
            </w:pPr>
            <w:r>
              <w:t>5.7</w:t>
            </w:r>
          </w:p>
        </w:tc>
        <w:tc>
          <w:tcPr>
            <w:tcW w:w="564" w:type="pct"/>
            <w:vAlign w:val="center"/>
          </w:tcPr>
          <w:p w:rsidR="006A50C8" w:rsidRDefault="006A50C8" w:rsidP="006A50C8">
            <w:pPr>
              <w:pStyle w:val="TableBodyText"/>
            </w:pPr>
            <w:r>
              <w:t>6.3</w:t>
            </w:r>
          </w:p>
        </w:tc>
        <w:tc>
          <w:tcPr>
            <w:tcW w:w="564" w:type="pct"/>
            <w:vAlign w:val="center"/>
          </w:tcPr>
          <w:p w:rsidR="006A50C8" w:rsidRDefault="006A50C8" w:rsidP="006A50C8">
            <w:pPr>
              <w:pStyle w:val="TableBodyText"/>
            </w:pPr>
            <w:r>
              <w:t>6.3</w:t>
            </w:r>
          </w:p>
        </w:tc>
        <w:tc>
          <w:tcPr>
            <w:tcW w:w="564" w:type="pct"/>
            <w:vAlign w:val="center"/>
          </w:tcPr>
          <w:p w:rsidR="006A50C8" w:rsidRDefault="006A50C8" w:rsidP="006A50C8">
            <w:pPr>
              <w:pStyle w:val="TableBodyText"/>
            </w:pPr>
            <w:r>
              <w:t>5.2</w:t>
            </w:r>
          </w:p>
        </w:tc>
        <w:tc>
          <w:tcPr>
            <w:tcW w:w="564" w:type="pct"/>
            <w:vAlign w:val="center"/>
          </w:tcPr>
          <w:p w:rsidR="006A50C8" w:rsidRDefault="006A50C8" w:rsidP="006A50C8">
            <w:pPr>
              <w:pStyle w:val="TableBodyText"/>
            </w:pPr>
            <w:r>
              <w:t>3.4</w:t>
            </w:r>
          </w:p>
        </w:tc>
        <w:tc>
          <w:tcPr>
            <w:tcW w:w="564" w:type="pct"/>
            <w:vAlign w:val="center"/>
          </w:tcPr>
          <w:p w:rsidR="006A50C8" w:rsidRDefault="006A50C8" w:rsidP="006A50C8">
            <w:pPr>
              <w:pStyle w:val="TableBodyText"/>
            </w:pPr>
            <w:r>
              <w:t>2.7</w:t>
            </w:r>
          </w:p>
        </w:tc>
      </w:tr>
      <w:tr w:rsidR="006A50C8" w:rsidTr="006A50C8">
        <w:tc>
          <w:tcPr>
            <w:tcW w:w="1615" w:type="pct"/>
            <w:vAlign w:val="center"/>
          </w:tcPr>
          <w:p w:rsidR="006A50C8" w:rsidRDefault="006A50C8" w:rsidP="006A50C8">
            <w:pPr>
              <w:pStyle w:val="TableBodyText"/>
              <w:jc w:val="left"/>
            </w:pPr>
            <w:r>
              <w:t>Other crop growing</w:t>
            </w:r>
          </w:p>
        </w:tc>
        <w:tc>
          <w:tcPr>
            <w:tcW w:w="564" w:type="pct"/>
            <w:vAlign w:val="center"/>
          </w:tcPr>
          <w:p w:rsidR="006A50C8" w:rsidRDefault="006A50C8" w:rsidP="006A50C8">
            <w:pPr>
              <w:pStyle w:val="TableBodyText"/>
            </w:pPr>
            <w:r>
              <w:t>7.6</w:t>
            </w:r>
          </w:p>
        </w:tc>
        <w:tc>
          <w:tcPr>
            <w:tcW w:w="564" w:type="pct"/>
            <w:vAlign w:val="center"/>
          </w:tcPr>
          <w:p w:rsidR="006A50C8" w:rsidRDefault="006A50C8" w:rsidP="006A50C8">
            <w:pPr>
              <w:pStyle w:val="TableBodyText"/>
            </w:pPr>
            <w:r>
              <w:t>6.9</w:t>
            </w:r>
          </w:p>
        </w:tc>
        <w:tc>
          <w:tcPr>
            <w:tcW w:w="564" w:type="pct"/>
            <w:vAlign w:val="center"/>
          </w:tcPr>
          <w:p w:rsidR="006A50C8" w:rsidRDefault="006A50C8" w:rsidP="006A50C8">
            <w:pPr>
              <w:pStyle w:val="TableBodyText"/>
            </w:pPr>
            <w:r>
              <w:t>2.0</w:t>
            </w:r>
          </w:p>
        </w:tc>
        <w:tc>
          <w:tcPr>
            <w:tcW w:w="564" w:type="pct"/>
            <w:vAlign w:val="center"/>
          </w:tcPr>
          <w:p w:rsidR="006A50C8" w:rsidRDefault="006A50C8" w:rsidP="00BD27FA">
            <w:pPr>
              <w:pStyle w:val="TableBodyText"/>
            </w:pPr>
            <w:r>
              <w:t>2.</w:t>
            </w:r>
            <w:r w:rsidR="00BD27FA">
              <w:t>1</w:t>
            </w:r>
          </w:p>
        </w:tc>
        <w:tc>
          <w:tcPr>
            <w:tcW w:w="564" w:type="pct"/>
            <w:vAlign w:val="center"/>
          </w:tcPr>
          <w:p w:rsidR="006A50C8" w:rsidRDefault="006A50C8" w:rsidP="00BD27FA">
            <w:pPr>
              <w:pStyle w:val="TableBodyText"/>
            </w:pPr>
            <w:r>
              <w:t>1.</w:t>
            </w:r>
            <w:r w:rsidR="00BD27FA">
              <w:t>2</w:t>
            </w:r>
          </w:p>
        </w:tc>
        <w:tc>
          <w:tcPr>
            <w:tcW w:w="564" w:type="pct"/>
            <w:vAlign w:val="center"/>
          </w:tcPr>
          <w:p w:rsidR="006A50C8" w:rsidRDefault="006A50C8" w:rsidP="00A44BE6">
            <w:pPr>
              <w:pStyle w:val="TableBodyText"/>
            </w:pPr>
            <w:r>
              <w:t>1.</w:t>
            </w:r>
            <w:r w:rsidR="00A44BE6">
              <w:t>6</w:t>
            </w:r>
          </w:p>
        </w:tc>
      </w:tr>
      <w:tr w:rsidR="006A50C8" w:rsidTr="006A50C8">
        <w:tc>
          <w:tcPr>
            <w:tcW w:w="1615" w:type="pct"/>
            <w:vAlign w:val="center"/>
          </w:tcPr>
          <w:p w:rsidR="006A50C8" w:rsidRDefault="006A50C8" w:rsidP="006A50C8">
            <w:pPr>
              <w:pStyle w:val="TableBodyText"/>
              <w:jc w:val="left"/>
            </w:pPr>
            <w:r>
              <w:t>Dairy cattle farming</w:t>
            </w:r>
          </w:p>
        </w:tc>
        <w:tc>
          <w:tcPr>
            <w:tcW w:w="564" w:type="pct"/>
            <w:vAlign w:val="center"/>
          </w:tcPr>
          <w:p w:rsidR="006A50C8" w:rsidRDefault="006A50C8" w:rsidP="006A50C8">
            <w:pPr>
              <w:pStyle w:val="TableBodyText"/>
            </w:pPr>
            <w:r>
              <w:t>12.5</w:t>
            </w:r>
          </w:p>
        </w:tc>
        <w:tc>
          <w:tcPr>
            <w:tcW w:w="564" w:type="pct"/>
            <w:vAlign w:val="center"/>
          </w:tcPr>
          <w:p w:rsidR="006A50C8" w:rsidRDefault="006A50C8" w:rsidP="006A50C8">
            <w:pPr>
              <w:pStyle w:val="TableBodyText"/>
            </w:pPr>
            <w:r>
              <w:t>13.2</w:t>
            </w:r>
          </w:p>
        </w:tc>
        <w:tc>
          <w:tcPr>
            <w:tcW w:w="564" w:type="pct"/>
            <w:vAlign w:val="center"/>
          </w:tcPr>
          <w:p w:rsidR="006A50C8" w:rsidRDefault="006A50C8" w:rsidP="006A50C8">
            <w:pPr>
              <w:pStyle w:val="TableBodyText"/>
            </w:pPr>
            <w:r>
              <w:t>4.5</w:t>
            </w:r>
          </w:p>
        </w:tc>
        <w:tc>
          <w:tcPr>
            <w:tcW w:w="564" w:type="pct"/>
            <w:vAlign w:val="center"/>
          </w:tcPr>
          <w:p w:rsidR="006A50C8" w:rsidRDefault="006A50C8" w:rsidP="006A50C8">
            <w:pPr>
              <w:pStyle w:val="TableBodyText"/>
            </w:pPr>
            <w:r>
              <w:t>4.3</w:t>
            </w:r>
          </w:p>
        </w:tc>
        <w:tc>
          <w:tcPr>
            <w:tcW w:w="564" w:type="pct"/>
            <w:vAlign w:val="center"/>
          </w:tcPr>
          <w:p w:rsidR="006A50C8" w:rsidRDefault="006A50C8" w:rsidP="00BD27FA">
            <w:pPr>
              <w:pStyle w:val="TableBodyText"/>
            </w:pPr>
            <w:r>
              <w:t>2.</w:t>
            </w:r>
            <w:r w:rsidR="00BD27FA">
              <w:t>6</w:t>
            </w:r>
          </w:p>
        </w:tc>
        <w:tc>
          <w:tcPr>
            <w:tcW w:w="564" w:type="pct"/>
            <w:vAlign w:val="center"/>
          </w:tcPr>
          <w:p w:rsidR="006A50C8" w:rsidRDefault="006A50C8" w:rsidP="00543FE1">
            <w:pPr>
              <w:pStyle w:val="TableBodyText"/>
            </w:pPr>
            <w:r>
              <w:t>1.</w:t>
            </w:r>
            <w:r w:rsidR="00543FE1">
              <w:t>8</w:t>
            </w:r>
          </w:p>
        </w:tc>
      </w:tr>
      <w:tr w:rsidR="006A50C8" w:rsidTr="006A50C8">
        <w:tc>
          <w:tcPr>
            <w:tcW w:w="1615" w:type="pct"/>
            <w:vAlign w:val="center"/>
          </w:tcPr>
          <w:p w:rsidR="006A50C8" w:rsidRDefault="006A50C8" w:rsidP="006A50C8">
            <w:pPr>
              <w:pStyle w:val="TableBodyText"/>
              <w:jc w:val="left"/>
            </w:pPr>
            <w:r>
              <w:t>Other livestock farming</w:t>
            </w:r>
          </w:p>
        </w:tc>
        <w:tc>
          <w:tcPr>
            <w:tcW w:w="564" w:type="pct"/>
            <w:vAlign w:val="center"/>
          </w:tcPr>
          <w:p w:rsidR="006A50C8" w:rsidRDefault="006A50C8" w:rsidP="006A50C8">
            <w:pPr>
              <w:pStyle w:val="TableBodyText"/>
            </w:pPr>
            <w:r>
              <w:t>1.8</w:t>
            </w:r>
          </w:p>
        </w:tc>
        <w:tc>
          <w:tcPr>
            <w:tcW w:w="564" w:type="pct"/>
            <w:vAlign w:val="center"/>
          </w:tcPr>
          <w:p w:rsidR="006A50C8" w:rsidRDefault="006A50C8" w:rsidP="006A50C8">
            <w:pPr>
              <w:pStyle w:val="TableBodyText"/>
            </w:pPr>
            <w:r>
              <w:t>1.7</w:t>
            </w:r>
          </w:p>
        </w:tc>
        <w:tc>
          <w:tcPr>
            <w:tcW w:w="564" w:type="pct"/>
            <w:vAlign w:val="center"/>
          </w:tcPr>
          <w:p w:rsidR="006A50C8" w:rsidRDefault="006A50C8" w:rsidP="006A50C8">
            <w:pPr>
              <w:pStyle w:val="TableBodyText"/>
            </w:pPr>
            <w:r>
              <w:t>1.2</w:t>
            </w:r>
          </w:p>
        </w:tc>
        <w:tc>
          <w:tcPr>
            <w:tcW w:w="564" w:type="pct"/>
            <w:vAlign w:val="center"/>
          </w:tcPr>
          <w:p w:rsidR="006A50C8" w:rsidRDefault="006A50C8" w:rsidP="006A50C8">
            <w:pPr>
              <w:pStyle w:val="TableBodyText"/>
            </w:pPr>
            <w:r>
              <w:t>1.0</w:t>
            </w:r>
          </w:p>
        </w:tc>
        <w:tc>
          <w:tcPr>
            <w:tcW w:w="564" w:type="pct"/>
            <w:vAlign w:val="center"/>
          </w:tcPr>
          <w:p w:rsidR="006A50C8" w:rsidRDefault="006A50C8" w:rsidP="006A50C8">
            <w:pPr>
              <w:pStyle w:val="TableBodyText"/>
            </w:pPr>
            <w:r>
              <w:t>0.9</w:t>
            </w:r>
          </w:p>
        </w:tc>
        <w:tc>
          <w:tcPr>
            <w:tcW w:w="564" w:type="pct"/>
            <w:vAlign w:val="center"/>
          </w:tcPr>
          <w:p w:rsidR="006A50C8" w:rsidRDefault="006A50C8" w:rsidP="00A44BE6">
            <w:pPr>
              <w:pStyle w:val="TableBodyText"/>
            </w:pPr>
            <w:r>
              <w:t>1.</w:t>
            </w:r>
            <w:r w:rsidR="00A44BE6">
              <w:t>1</w:t>
            </w:r>
          </w:p>
        </w:tc>
      </w:tr>
      <w:tr w:rsidR="006A50C8" w:rsidTr="006A50C8">
        <w:tc>
          <w:tcPr>
            <w:tcW w:w="1615" w:type="pct"/>
            <w:vAlign w:val="center"/>
          </w:tcPr>
          <w:p w:rsidR="006A50C8" w:rsidRDefault="006A50C8" w:rsidP="006A50C8">
            <w:pPr>
              <w:pStyle w:val="TableBodyText"/>
              <w:jc w:val="left"/>
            </w:pPr>
            <w:r>
              <w:t>Aquaculture and fishing</w:t>
            </w:r>
          </w:p>
        </w:tc>
        <w:tc>
          <w:tcPr>
            <w:tcW w:w="564" w:type="pct"/>
            <w:vAlign w:val="center"/>
          </w:tcPr>
          <w:p w:rsidR="006A50C8" w:rsidRDefault="006A50C8" w:rsidP="006A50C8">
            <w:pPr>
              <w:pStyle w:val="TableBodyText"/>
            </w:pPr>
            <w:r>
              <w:t>12.0</w:t>
            </w:r>
          </w:p>
        </w:tc>
        <w:tc>
          <w:tcPr>
            <w:tcW w:w="564" w:type="pct"/>
            <w:vAlign w:val="center"/>
          </w:tcPr>
          <w:p w:rsidR="006A50C8" w:rsidRDefault="006A50C8" w:rsidP="006A50C8">
            <w:pPr>
              <w:pStyle w:val="TableBodyText"/>
            </w:pPr>
            <w:r>
              <w:t>6.9</w:t>
            </w:r>
          </w:p>
        </w:tc>
        <w:tc>
          <w:tcPr>
            <w:tcW w:w="564" w:type="pct"/>
            <w:vAlign w:val="center"/>
          </w:tcPr>
          <w:p w:rsidR="006A50C8" w:rsidRDefault="006A50C8" w:rsidP="006A50C8">
            <w:pPr>
              <w:pStyle w:val="TableBodyText"/>
            </w:pPr>
            <w:r>
              <w:t>3.5</w:t>
            </w:r>
          </w:p>
        </w:tc>
        <w:tc>
          <w:tcPr>
            <w:tcW w:w="564" w:type="pct"/>
            <w:vAlign w:val="center"/>
          </w:tcPr>
          <w:p w:rsidR="006A50C8" w:rsidRDefault="006A50C8" w:rsidP="00BD27FA">
            <w:pPr>
              <w:pStyle w:val="TableBodyText"/>
            </w:pPr>
            <w:r>
              <w:t>3.</w:t>
            </w:r>
            <w:r w:rsidR="00BD27FA">
              <w:t>8</w:t>
            </w:r>
          </w:p>
        </w:tc>
        <w:tc>
          <w:tcPr>
            <w:tcW w:w="564" w:type="pct"/>
            <w:vAlign w:val="center"/>
          </w:tcPr>
          <w:p w:rsidR="006A50C8" w:rsidRDefault="006A50C8" w:rsidP="00BD27FA">
            <w:pPr>
              <w:pStyle w:val="TableBodyText"/>
            </w:pPr>
            <w:r>
              <w:t>3.</w:t>
            </w:r>
            <w:r w:rsidR="00BD27FA">
              <w:t>9</w:t>
            </w:r>
          </w:p>
        </w:tc>
        <w:tc>
          <w:tcPr>
            <w:tcW w:w="564" w:type="pct"/>
            <w:vAlign w:val="center"/>
          </w:tcPr>
          <w:p w:rsidR="006A50C8" w:rsidRDefault="00543FE1" w:rsidP="00A44BE6">
            <w:pPr>
              <w:pStyle w:val="TableBodyText"/>
            </w:pPr>
            <w:r>
              <w:t>3.</w:t>
            </w:r>
            <w:r w:rsidR="00A44BE6">
              <w:t>3</w:t>
            </w:r>
          </w:p>
        </w:tc>
      </w:tr>
      <w:tr w:rsidR="006A50C8" w:rsidTr="006A50C8">
        <w:tc>
          <w:tcPr>
            <w:tcW w:w="1615" w:type="pct"/>
            <w:vAlign w:val="center"/>
          </w:tcPr>
          <w:p w:rsidR="006A50C8" w:rsidRDefault="006A50C8" w:rsidP="006A50C8">
            <w:pPr>
              <w:pStyle w:val="TableBodyText"/>
              <w:jc w:val="left"/>
            </w:pPr>
            <w:r>
              <w:t>Forestry and logging</w:t>
            </w:r>
          </w:p>
        </w:tc>
        <w:tc>
          <w:tcPr>
            <w:tcW w:w="564" w:type="pct"/>
            <w:vAlign w:val="center"/>
          </w:tcPr>
          <w:p w:rsidR="006A50C8" w:rsidRDefault="006A50C8" w:rsidP="006A50C8">
            <w:pPr>
              <w:pStyle w:val="TableBodyText"/>
            </w:pPr>
            <w:r>
              <w:t>6.9</w:t>
            </w:r>
          </w:p>
        </w:tc>
        <w:tc>
          <w:tcPr>
            <w:tcW w:w="564" w:type="pct"/>
            <w:vAlign w:val="center"/>
          </w:tcPr>
          <w:p w:rsidR="006A50C8" w:rsidRDefault="006A50C8" w:rsidP="006A50C8">
            <w:pPr>
              <w:pStyle w:val="TableBodyText"/>
            </w:pPr>
            <w:r>
              <w:t>6.8</w:t>
            </w:r>
          </w:p>
        </w:tc>
        <w:tc>
          <w:tcPr>
            <w:tcW w:w="564" w:type="pct"/>
            <w:vAlign w:val="center"/>
          </w:tcPr>
          <w:p w:rsidR="006A50C8" w:rsidRDefault="006A50C8" w:rsidP="006A50C8">
            <w:pPr>
              <w:pStyle w:val="TableBodyText"/>
            </w:pPr>
            <w:r>
              <w:t>-1.3</w:t>
            </w:r>
          </w:p>
        </w:tc>
        <w:tc>
          <w:tcPr>
            <w:tcW w:w="564" w:type="pct"/>
            <w:vAlign w:val="center"/>
          </w:tcPr>
          <w:p w:rsidR="006A50C8" w:rsidRDefault="006A50C8" w:rsidP="00BD27FA">
            <w:pPr>
              <w:pStyle w:val="TableBodyText"/>
            </w:pPr>
            <w:r>
              <w:t>4.</w:t>
            </w:r>
            <w:r w:rsidR="00BD27FA">
              <w:t>5</w:t>
            </w:r>
          </w:p>
        </w:tc>
        <w:tc>
          <w:tcPr>
            <w:tcW w:w="564" w:type="pct"/>
            <w:vAlign w:val="center"/>
          </w:tcPr>
          <w:p w:rsidR="006A50C8" w:rsidRDefault="006A50C8" w:rsidP="00BD27FA">
            <w:pPr>
              <w:pStyle w:val="TableBodyText"/>
            </w:pPr>
            <w:r>
              <w:t>5.</w:t>
            </w:r>
            <w:r w:rsidR="00BD27FA">
              <w:t>5</w:t>
            </w:r>
          </w:p>
        </w:tc>
        <w:tc>
          <w:tcPr>
            <w:tcW w:w="564" w:type="pct"/>
            <w:vAlign w:val="center"/>
          </w:tcPr>
          <w:p w:rsidR="006A50C8" w:rsidRDefault="004554DF" w:rsidP="00A44BE6">
            <w:pPr>
              <w:pStyle w:val="TableBodyText"/>
            </w:pPr>
            <w:r>
              <w:t>7.</w:t>
            </w:r>
            <w:r w:rsidR="00A44BE6">
              <w:t>2</w:t>
            </w:r>
          </w:p>
        </w:tc>
      </w:tr>
      <w:tr w:rsidR="006A50C8" w:rsidTr="006A50C8">
        <w:tc>
          <w:tcPr>
            <w:tcW w:w="1615" w:type="pct"/>
            <w:vAlign w:val="center"/>
          </w:tcPr>
          <w:p w:rsidR="006A50C8" w:rsidRDefault="006A50C8" w:rsidP="006A50C8">
            <w:pPr>
              <w:pStyle w:val="TableBodyText"/>
              <w:jc w:val="left"/>
            </w:pPr>
            <w:r>
              <w:t>Primary production services</w:t>
            </w:r>
          </w:p>
        </w:tc>
        <w:tc>
          <w:tcPr>
            <w:tcW w:w="564" w:type="pct"/>
            <w:vAlign w:val="center"/>
          </w:tcPr>
          <w:p w:rsidR="006A50C8" w:rsidRDefault="006A50C8" w:rsidP="006A50C8">
            <w:pPr>
              <w:pStyle w:val="TableBodyText"/>
            </w:pPr>
            <w:r>
              <w:t>-0.1</w:t>
            </w:r>
          </w:p>
        </w:tc>
        <w:tc>
          <w:tcPr>
            <w:tcW w:w="564" w:type="pct"/>
            <w:vAlign w:val="center"/>
          </w:tcPr>
          <w:p w:rsidR="006A50C8" w:rsidRDefault="006A50C8" w:rsidP="006A50C8">
            <w:pPr>
              <w:pStyle w:val="TableBodyText"/>
            </w:pPr>
            <w:r>
              <w:t>0.2</w:t>
            </w:r>
          </w:p>
        </w:tc>
        <w:tc>
          <w:tcPr>
            <w:tcW w:w="564" w:type="pct"/>
            <w:vAlign w:val="center"/>
          </w:tcPr>
          <w:p w:rsidR="006A50C8" w:rsidRDefault="006A50C8" w:rsidP="000B70C5">
            <w:pPr>
              <w:pStyle w:val="TableBodyText"/>
            </w:pPr>
            <w:r>
              <w:t>0.</w:t>
            </w:r>
            <w:r w:rsidR="000B70C5">
              <w:t>3</w:t>
            </w:r>
          </w:p>
        </w:tc>
        <w:tc>
          <w:tcPr>
            <w:tcW w:w="564" w:type="pct"/>
            <w:vAlign w:val="center"/>
          </w:tcPr>
          <w:p w:rsidR="006A50C8" w:rsidRDefault="006A50C8" w:rsidP="00BD27FA">
            <w:pPr>
              <w:pStyle w:val="TableBodyText"/>
            </w:pPr>
            <w:r>
              <w:t>0.</w:t>
            </w:r>
            <w:r w:rsidR="00BD27FA">
              <w:t>1</w:t>
            </w:r>
          </w:p>
        </w:tc>
        <w:tc>
          <w:tcPr>
            <w:tcW w:w="564" w:type="pct"/>
            <w:vAlign w:val="center"/>
          </w:tcPr>
          <w:p w:rsidR="006A50C8" w:rsidRDefault="006A50C8" w:rsidP="00BD27FA">
            <w:pPr>
              <w:pStyle w:val="TableBodyText"/>
            </w:pPr>
            <w:r>
              <w:t>0.</w:t>
            </w:r>
            <w:r w:rsidR="00BD27FA">
              <w:t>1</w:t>
            </w:r>
          </w:p>
        </w:tc>
        <w:tc>
          <w:tcPr>
            <w:tcW w:w="564" w:type="pct"/>
            <w:vAlign w:val="center"/>
          </w:tcPr>
          <w:p w:rsidR="006A50C8" w:rsidRDefault="006A50C8" w:rsidP="00A44BE6">
            <w:pPr>
              <w:pStyle w:val="TableBodyText"/>
            </w:pPr>
            <w:r>
              <w:t>0.</w:t>
            </w:r>
            <w:r w:rsidR="00A44BE6">
              <w:t>1</w:t>
            </w:r>
          </w:p>
        </w:tc>
      </w:tr>
      <w:tr w:rsidR="006A50C8" w:rsidTr="006A50C8">
        <w:tc>
          <w:tcPr>
            <w:tcW w:w="1615" w:type="pct"/>
            <w:vAlign w:val="center"/>
          </w:tcPr>
          <w:p w:rsidR="006A50C8" w:rsidRPr="00ED5AA3" w:rsidRDefault="006A50C8" w:rsidP="006A50C8">
            <w:pPr>
              <w:pStyle w:val="TableBodyText"/>
              <w:jc w:val="left"/>
              <w:rPr>
                <w:b/>
              </w:rPr>
            </w:pPr>
            <w:r w:rsidRPr="00ED5AA3">
              <w:rPr>
                <w:b/>
              </w:rPr>
              <w:t>Mining</w:t>
            </w:r>
          </w:p>
        </w:tc>
        <w:tc>
          <w:tcPr>
            <w:tcW w:w="564" w:type="pct"/>
            <w:vAlign w:val="center"/>
          </w:tcPr>
          <w:p w:rsidR="006A50C8" w:rsidRPr="009F0434" w:rsidRDefault="006A50C8" w:rsidP="006A50C8">
            <w:pPr>
              <w:pStyle w:val="TableBodyText"/>
              <w:rPr>
                <w:b/>
              </w:rPr>
            </w:pPr>
            <w:r w:rsidRPr="009F0434">
              <w:rPr>
                <w:b/>
              </w:rPr>
              <w:t>0.2</w:t>
            </w:r>
          </w:p>
        </w:tc>
        <w:tc>
          <w:tcPr>
            <w:tcW w:w="564" w:type="pct"/>
            <w:vAlign w:val="center"/>
          </w:tcPr>
          <w:p w:rsidR="006A50C8" w:rsidRPr="009F0434" w:rsidRDefault="006A50C8" w:rsidP="006A50C8">
            <w:pPr>
              <w:pStyle w:val="TableBodyText"/>
              <w:rPr>
                <w:b/>
              </w:rPr>
            </w:pPr>
            <w:r w:rsidRPr="009F0434">
              <w:rPr>
                <w:b/>
              </w:rPr>
              <w:t>0.3</w:t>
            </w:r>
          </w:p>
        </w:tc>
        <w:tc>
          <w:tcPr>
            <w:tcW w:w="564" w:type="pct"/>
            <w:vAlign w:val="center"/>
          </w:tcPr>
          <w:p w:rsidR="006A50C8" w:rsidRPr="009F0434" w:rsidRDefault="00C126FD" w:rsidP="00C126FD">
            <w:pPr>
              <w:pStyle w:val="TableBodyText"/>
              <w:rPr>
                <w:b/>
              </w:rPr>
            </w:pPr>
            <w:r>
              <w:rPr>
                <w:b/>
              </w:rPr>
              <w:t>0.2</w:t>
            </w:r>
          </w:p>
        </w:tc>
        <w:tc>
          <w:tcPr>
            <w:tcW w:w="564" w:type="pct"/>
            <w:vAlign w:val="center"/>
          </w:tcPr>
          <w:p w:rsidR="006A50C8" w:rsidRPr="009F0434" w:rsidRDefault="006A50C8" w:rsidP="00BD27FA">
            <w:pPr>
              <w:pStyle w:val="TableBodyText"/>
              <w:rPr>
                <w:b/>
              </w:rPr>
            </w:pPr>
            <w:r w:rsidRPr="009F0434">
              <w:rPr>
                <w:b/>
              </w:rPr>
              <w:t>0.</w:t>
            </w:r>
            <w:r w:rsidR="00BD27FA">
              <w:rPr>
                <w:b/>
              </w:rPr>
              <w:t>3</w:t>
            </w:r>
          </w:p>
        </w:tc>
        <w:tc>
          <w:tcPr>
            <w:tcW w:w="564" w:type="pct"/>
            <w:vAlign w:val="center"/>
          </w:tcPr>
          <w:p w:rsidR="006A50C8" w:rsidRPr="009F0434" w:rsidRDefault="006A50C8" w:rsidP="006A50C8">
            <w:pPr>
              <w:pStyle w:val="TableBodyText"/>
              <w:rPr>
                <w:b/>
              </w:rPr>
            </w:pPr>
            <w:r w:rsidRPr="009F0434">
              <w:rPr>
                <w:b/>
              </w:rPr>
              <w:t>0.2</w:t>
            </w:r>
          </w:p>
        </w:tc>
        <w:tc>
          <w:tcPr>
            <w:tcW w:w="564" w:type="pct"/>
            <w:vAlign w:val="center"/>
          </w:tcPr>
          <w:p w:rsidR="006A50C8" w:rsidRPr="009F0434" w:rsidRDefault="006A50C8" w:rsidP="00A44BE6">
            <w:pPr>
              <w:pStyle w:val="TableBodyText"/>
              <w:rPr>
                <w:b/>
              </w:rPr>
            </w:pPr>
            <w:r w:rsidRPr="009F0434">
              <w:rPr>
                <w:b/>
              </w:rPr>
              <w:t>0.</w:t>
            </w:r>
            <w:r w:rsidR="00A44BE6">
              <w:rPr>
                <w:b/>
              </w:rPr>
              <w:t>3</w:t>
            </w:r>
          </w:p>
        </w:tc>
      </w:tr>
      <w:tr w:rsidR="006A50C8" w:rsidTr="006A50C8">
        <w:tc>
          <w:tcPr>
            <w:tcW w:w="1615" w:type="pct"/>
            <w:vAlign w:val="center"/>
          </w:tcPr>
          <w:p w:rsidR="006A50C8" w:rsidRPr="00ED5AA3" w:rsidRDefault="006A50C8" w:rsidP="006A50C8">
            <w:pPr>
              <w:pStyle w:val="TableBodyText"/>
              <w:jc w:val="left"/>
              <w:rPr>
                <w:b/>
              </w:rPr>
            </w:pPr>
            <w:r w:rsidRPr="00ED5AA3">
              <w:rPr>
                <w:b/>
              </w:rPr>
              <w:t>Manufacturing</w:t>
            </w:r>
            <w:r w:rsidRPr="000567A8">
              <w:rPr>
                <w:rStyle w:val="NoteLabel"/>
              </w:rPr>
              <w:t>b</w:t>
            </w:r>
          </w:p>
        </w:tc>
        <w:tc>
          <w:tcPr>
            <w:tcW w:w="564" w:type="pct"/>
            <w:vAlign w:val="center"/>
          </w:tcPr>
          <w:p w:rsidR="006A50C8" w:rsidRPr="009F0434" w:rsidRDefault="006A50C8" w:rsidP="006A50C8">
            <w:pPr>
              <w:pStyle w:val="TableBodyText"/>
              <w:rPr>
                <w:b/>
              </w:rPr>
            </w:pPr>
            <w:r w:rsidRPr="009F0434">
              <w:rPr>
                <w:b/>
              </w:rPr>
              <w:t>4.4</w:t>
            </w:r>
          </w:p>
        </w:tc>
        <w:tc>
          <w:tcPr>
            <w:tcW w:w="564" w:type="pct"/>
            <w:vAlign w:val="center"/>
          </w:tcPr>
          <w:p w:rsidR="006A50C8" w:rsidRPr="009F0434" w:rsidRDefault="006A50C8" w:rsidP="006A50C8">
            <w:pPr>
              <w:pStyle w:val="TableBodyText"/>
              <w:rPr>
                <w:b/>
              </w:rPr>
            </w:pPr>
            <w:r w:rsidRPr="009F0434">
              <w:rPr>
                <w:b/>
              </w:rPr>
              <w:t>4.4</w:t>
            </w:r>
          </w:p>
        </w:tc>
        <w:tc>
          <w:tcPr>
            <w:tcW w:w="564" w:type="pct"/>
            <w:vAlign w:val="center"/>
          </w:tcPr>
          <w:p w:rsidR="006A50C8" w:rsidRPr="009F0434" w:rsidRDefault="00C126FD" w:rsidP="00C126FD">
            <w:pPr>
              <w:pStyle w:val="TableBodyText"/>
              <w:rPr>
                <w:b/>
              </w:rPr>
            </w:pPr>
            <w:r>
              <w:rPr>
                <w:b/>
              </w:rPr>
              <w:t>4.6</w:t>
            </w:r>
          </w:p>
        </w:tc>
        <w:tc>
          <w:tcPr>
            <w:tcW w:w="564" w:type="pct"/>
            <w:vAlign w:val="center"/>
          </w:tcPr>
          <w:p w:rsidR="006A50C8" w:rsidRPr="009F0434" w:rsidRDefault="006A50C8" w:rsidP="006A50C8">
            <w:pPr>
              <w:pStyle w:val="TableBodyText"/>
              <w:rPr>
                <w:b/>
              </w:rPr>
            </w:pPr>
            <w:r w:rsidRPr="009F0434">
              <w:rPr>
                <w:b/>
              </w:rPr>
              <w:t>4.3</w:t>
            </w:r>
          </w:p>
        </w:tc>
        <w:tc>
          <w:tcPr>
            <w:tcW w:w="564" w:type="pct"/>
            <w:vAlign w:val="center"/>
          </w:tcPr>
          <w:p w:rsidR="006A50C8" w:rsidRPr="009F0434" w:rsidRDefault="006A50C8" w:rsidP="006A50C8">
            <w:pPr>
              <w:pStyle w:val="TableBodyText"/>
              <w:rPr>
                <w:b/>
              </w:rPr>
            </w:pPr>
            <w:r w:rsidRPr="009F0434">
              <w:rPr>
                <w:b/>
              </w:rPr>
              <w:t>4.0</w:t>
            </w:r>
          </w:p>
        </w:tc>
        <w:tc>
          <w:tcPr>
            <w:tcW w:w="564" w:type="pct"/>
            <w:vAlign w:val="center"/>
          </w:tcPr>
          <w:p w:rsidR="006A50C8" w:rsidRPr="009F0434" w:rsidRDefault="00543FE1" w:rsidP="00A44BE6">
            <w:pPr>
              <w:pStyle w:val="TableBodyText"/>
              <w:rPr>
                <w:b/>
              </w:rPr>
            </w:pPr>
            <w:r>
              <w:rPr>
                <w:b/>
              </w:rPr>
              <w:t>4.</w:t>
            </w:r>
            <w:r w:rsidR="00A44BE6">
              <w:rPr>
                <w:b/>
              </w:rPr>
              <w:t>1</w:t>
            </w:r>
          </w:p>
        </w:tc>
      </w:tr>
      <w:tr w:rsidR="006A50C8" w:rsidTr="006A50C8">
        <w:tc>
          <w:tcPr>
            <w:tcW w:w="1615" w:type="pct"/>
            <w:vAlign w:val="center"/>
          </w:tcPr>
          <w:p w:rsidR="006A50C8" w:rsidRDefault="006A50C8" w:rsidP="006A50C8">
            <w:pPr>
              <w:pStyle w:val="TableBodyText"/>
              <w:jc w:val="left"/>
            </w:pPr>
            <w:r>
              <w:t>Food, beverages and tobacco</w:t>
            </w:r>
          </w:p>
        </w:tc>
        <w:tc>
          <w:tcPr>
            <w:tcW w:w="564" w:type="pct"/>
            <w:vAlign w:val="center"/>
          </w:tcPr>
          <w:p w:rsidR="006A50C8" w:rsidRDefault="006A50C8" w:rsidP="006A50C8">
            <w:pPr>
              <w:pStyle w:val="TableBodyText"/>
            </w:pPr>
            <w:r>
              <w:t>3.2</w:t>
            </w:r>
          </w:p>
        </w:tc>
        <w:tc>
          <w:tcPr>
            <w:tcW w:w="564" w:type="pct"/>
            <w:vAlign w:val="center"/>
          </w:tcPr>
          <w:p w:rsidR="006A50C8" w:rsidRDefault="006A50C8" w:rsidP="006A50C8">
            <w:pPr>
              <w:pStyle w:val="TableBodyText"/>
            </w:pPr>
            <w:r>
              <w:t>3.2</w:t>
            </w:r>
          </w:p>
        </w:tc>
        <w:tc>
          <w:tcPr>
            <w:tcW w:w="564" w:type="pct"/>
            <w:vAlign w:val="center"/>
          </w:tcPr>
          <w:p w:rsidR="006A50C8" w:rsidRDefault="006A50C8" w:rsidP="006A50C8">
            <w:pPr>
              <w:pStyle w:val="TableBodyText"/>
            </w:pPr>
            <w:r>
              <w:t>3.4</w:t>
            </w:r>
          </w:p>
        </w:tc>
        <w:tc>
          <w:tcPr>
            <w:tcW w:w="564" w:type="pct"/>
            <w:vAlign w:val="center"/>
          </w:tcPr>
          <w:p w:rsidR="006A50C8" w:rsidRDefault="006A50C8" w:rsidP="00BD27FA">
            <w:pPr>
              <w:pStyle w:val="TableBodyText"/>
            </w:pPr>
            <w:r>
              <w:t>3.</w:t>
            </w:r>
            <w:r w:rsidR="00BD27FA">
              <w:t>3</w:t>
            </w:r>
          </w:p>
        </w:tc>
        <w:tc>
          <w:tcPr>
            <w:tcW w:w="564" w:type="pct"/>
            <w:vAlign w:val="center"/>
          </w:tcPr>
          <w:p w:rsidR="006A50C8" w:rsidRDefault="006A50C8" w:rsidP="006A50C8">
            <w:pPr>
              <w:pStyle w:val="TableBodyText"/>
            </w:pPr>
            <w:r>
              <w:t>3.3</w:t>
            </w:r>
          </w:p>
        </w:tc>
        <w:tc>
          <w:tcPr>
            <w:tcW w:w="564" w:type="pct"/>
            <w:vAlign w:val="center"/>
          </w:tcPr>
          <w:p w:rsidR="006A50C8" w:rsidRDefault="006A50C8" w:rsidP="00A44BE6">
            <w:pPr>
              <w:pStyle w:val="TableBodyText"/>
            </w:pPr>
            <w:r>
              <w:t>3.</w:t>
            </w:r>
            <w:r w:rsidR="00A44BE6">
              <w:t>3</w:t>
            </w:r>
          </w:p>
        </w:tc>
      </w:tr>
      <w:tr w:rsidR="006A50C8" w:rsidTr="006A50C8">
        <w:tc>
          <w:tcPr>
            <w:tcW w:w="1615" w:type="pct"/>
            <w:vAlign w:val="center"/>
          </w:tcPr>
          <w:p w:rsidR="006A50C8" w:rsidRDefault="006A50C8" w:rsidP="006A50C8">
            <w:pPr>
              <w:pStyle w:val="TableBodyText"/>
              <w:jc w:val="left"/>
            </w:pPr>
            <w:r>
              <w:t>Textile, clothing and footwear</w:t>
            </w:r>
          </w:p>
        </w:tc>
        <w:tc>
          <w:tcPr>
            <w:tcW w:w="564" w:type="pct"/>
            <w:vAlign w:val="center"/>
          </w:tcPr>
          <w:p w:rsidR="006A50C8" w:rsidRDefault="006A50C8" w:rsidP="006A50C8">
            <w:pPr>
              <w:pStyle w:val="TableBodyText"/>
            </w:pPr>
            <w:r>
              <w:t>12.4</w:t>
            </w:r>
          </w:p>
        </w:tc>
        <w:tc>
          <w:tcPr>
            <w:tcW w:w="564" w:type="pct"/>
            <w:vAlign w:val="center"/>
          </w:tcPr>
          <w:p w:rsidR="006A50C8" w:rsidRDefault="006A50C8" w:rsidP="006A50C8">
            <w:pPr>
              <w:pStyle w:val="TableBodyText"/>
            </w:pPr>
            <w:r>
              <w:t>12.2</w:t>
            </w:r>
          </w:p>
        </w:tc>
        <w:tc>
          <w:tcPr>
            <w:tcW w:w="564" w:type="pct"/>
            <w:vAlign w:val="center"/>
          </w:tcPr>
          <w:p w:rsidR="006A50C8" w:rsidRDefault="006A50C8" w:rsidP="006A50C8">
            <w:pPr>
              <w:pStyle w:val="TableBodyText"/>
            </w:pPr>
            <w:r>
              <w:t>13.8</w:t>
            </w:r>
          </w:p>
        </w:tc>
        <w:tc>
          <w:tcPr>
            <w:tcW w:w="564" w:type="pct"/>
            <w:vAlign w:val="center"/>
          </w:tcPr>
          <w:p w:rsidR="006A50C8" w:rsidRDefault="006A50C8" w:rsidP="006A50C8">
            <w:pPr>
              <w:pStyle w:val="TableBodyText"/>
            </w:pPr>
            <w:r>
              <w:t>11.0</w:t>
            </w:r>
          </w:p>
        </w:tc>
        <w:tc>
          <w:tcPr>
            <w:tcW w:w="564" w:type="pct"/>
            <w:vAlign w:val="center"/>
          </w:tcPr>
          <w:p w:rsidR="006A50C8" w:rsidRDefault="006A50C8" w:rsidP="006A50C8">
            <w:pPr>
              <w:pStyle w:val="TableBodyText"/>
            </w:pPr>
            <w:r>
              <w:t>9.0</w:t>
            </w:r>
          </w:p>
        </w:tc>
        <w:tc>
          <w:tcPr>
            <w:tcW w:w="564" w:type="pct"/>
            <w:vAlign w:val="center"/>
          </w:tcPr>
          <w:p w:rsidR="006A50C8" w:rsidRDefault="00A44BE6" w:rsidP="00A44BE6">
            <w:pPr>
              <w:pStyle w:val="TableBodyText"/>
            </w:pPr>
            <w:r>
              <w:t>7.3</w:t>
            </w:r>
          </w:p>
        </w:tc>
      </w:tr>
      <w:tr w:rsidR="006A50C8" w:rsidTr="006A50C8">
        <w:tc>
          <w:tcPr>
            <w:tcW w:w="1615" w:type="pct"/>
            <w:vAlign w:val="center"/>
          </w:tcPr>
          <w:p w:rsidR="006A50C8" w:rsidRDefault="006A50C8" w:rsidP="006A50C8">
            <w:pPr>
              <w:pStyle w:val="TableBodyText"/>
              <w:jc w:val="left"/>
            </w:pPr>
            <w:r>
              <w:t>Wood and paper products</w:t>
            </w:r>
          </w:p>
        </w:tc>
        <w:tc>
          <w:tcPr>
            <w:tcW w:w="564" w:type="pct"/>
            <w:vAlign w:val="center"/>
          </w:tcPr>
          <w:p w:rsidR="006A50C8" w:rsidRDefault="006A50C8" w:rsidP="006A50C8">
            <w:pPr>
              <w:pStyle w:val="TableBodyText"/>
            </w:pPr>
            <w:r>
              <w:t>4.8</w:t>
            </w:r>
          </w:p>
        </w:tc>
        <w:tc>
          <w:tcPr>
            <w:tcW w:w="564" w:type="pct"/>
            <w:vAlign w:val="center"/>
          </w:tcPr>
          <w:p w:rsidR="006A50C8" w:rsidRDefault="006A50C8" w:rsidP="006A50C8">
            <w:pPr>
              <w:pStyle w:val="TableBodyText"/>
            </w:pPr>
            <w:r>
              <w:t>4.9</w:t>
            </w:r>
          </w:p>
        </w:tc>
        <w:tc>
          <w:tcPr>
            <w:tcW w:w="564" w:type="pct"/>
            <w:vAlign w:val="center"/>
          </w:tcPr>
          <w:p w:rsidR="006A50C8" w:rsidRDefault="006A50C8" w:rsidP="006A50C8">
            <w:pPr>
              <w:pStyle w:val="TableBodyText"/>
            </w:pPr>
            <w:r>
              <w:t>5.2</w:t>
            </w:r>
          </w:p>
        </w:tc>
        <w:tc>
          <w:tcPr>
            <w:tcW w:w="564" w:type="pct"/>
            <w:vAlign w:val="center"/>
          </w:tcPr>
          <w:p w:rsidR="006A50C8" w:rsidRDefault="006A50C8" w:rsidP="006A50C8">
            <w:pPr>
              <w:pStyle w:val="TableBodyText"/>
            </w:pPr>
            <w:r>
              <w:t>4.6</w:t>
            </w:r>
          </w:p>
        </w:tc>
        <w:tc>
          <w:tcPr>
            <w:tcW w:w="564" w:type="pct"/>
            <w:vAlign w:val="center"/>
          </w:tcPr>
          <w:p w:rsidR="006A50C8" w:rsidRDefault="006A50C8" w:rsidP="006A50C8">
            <w:pPr>
              <w:pStyle w:val="TableBodyText"/>
            </w:pPr>
            <w:r>
              <w:t>4.6</w:t>
            </w:r>
          </w:p>
        </w:tc>
        <w:tc>
          <w:tcPr>
            <w:tcW w:w="564" w:type="pct"/>
            <w:vAlign w:val="center"/>
          </w:tcPr>
          <w:p w:rsidR="006A50C8" w:rsidRDefault="00A44BE6" w:rsidP="00A44BE6">
            <w:pPr>
              <w:pStyle w:val="TableBodyText"/>
            </w:pPr>
            <w:r>
              <w:t>4.6</w:t>
            </w:r>
          </w:p>
        </w:tc>
      </w:tr>
      <w:tr w:rsidR="006A50C8" w:rsidTr="006A50C8">
        <w:tc>
          <w:tcPr>
            <w:tcW w:w="1615" w:type="pct"/>
            <w:vAlign w:val="center"/>
          </w:tcPr>
          <w:p w:rsidR="006A50C8" w:rsidRDefault="006A50C8" w:rsidP="006A50C8">
            <w:pPr>
              <w:pStyle w:val="TableBodyText"/>
              <w:jc w:val="left"/>
            </w:pPr>
            <w:r>
              <w:t>Printing and recorded media</w:t>
            </w:r>
          </w:p>
        </w:tc>
        <w:tc>
          <w:tcPr>
            <w:tcW w:w="564" w:type="pct"/>
            <w:vAlign w:val="center"/>
          </w:tcPr>
          <w:p w:rsidR="006A50C8" w:rsidRDefault="006A50C8" w:rsidP="006A50C8">
            <w:pPr>
              <w:pStyle w:val="TableBodyText"/>
            </w:pPr>
            <w:r>
              <w:t>3.4</w:t>
            </w:r>
          </w:p>
        </w:tc>
        <w:tc>
          <w:tcPr>
            <w:tcW w:w="564" w:type="pct"/>
            <w:vAlign w:val="center"/>
          </w:tcPr>
          <w:p w:rsidR="006A50C8" w:rsidRDefault="006A50C8" w:rsidP="006A50C8">
            <w:pPr>
              <w:pStyle w:val="TableBodyText"/>
            </w:pPr>
            <w:r>
              <w:t>3.4</w:t>
            </w:r>
          </w:p>
        </w:tc>
        <w:tc>
          <w:tcPr>
            <w:tcW w:w="564" w:type="pct"/>
            <w:vAlign w:val="center"/>
          </w:tcPr>
          <w:p w:rsidR="006A50C8" w:rsidRDefault="006A50C8" w:rsidP="006A50C8">
            <w:pPr>
              <w:pStyle w:val="TableBodyText"/>
            </w:pPr>
            <w:r>
              <w:t>3.5</w:t>
            </w:r>
          </w:p>
        </w:tc>
        <w:tc>
          <w:tcPr>
            <w:tcW w:w="564" w:type="pct"/>
            <w:vAlign w:val="center"/>
          </w:tcPr>
          <w:p w:rsidR="006A50C8" w:rsidRDefault="006A50C8" w:rsidP="00BD27FA">
            <w:pPr>
              <w:pStyle w:val="TableBodyText"/>
            </w:pPr>
            <w:r>
              <w:t>3.</w:t>
            </w:r>
            <w:r w:rsidR="00BD27FA">
              <w:t>4</w:t>
            </w:r>
          </w:p>
        </w:tc>
        <w:tc>
          <w:tcPr>
            <w:tcW w:w="564" w:type="pct"/>
            <w:vAlign w:val="center"/>
          </w:tcPr>
          <w:p w:rsidR="006A50C8" w:rsidRDefault="006A50C8" w:rsidP="00BD27FA">
            <w:pPr>
              <w:pStyle w:val="TableBodyText"/>
            </w:pPr>
            <w:r>
              <w:t>3.</w:t>
            </w:r>
            <w:r w:rsidR="00BD27FA">
              <w:t>4</w:t>
            </w:r>
          </w:p>
        </w:tc>
        <w:tc>
          <w:tcPr>
            <w:tcW w:w="564" w:type="pct"/>
            <w:vAlign w:val="center"/>
          </w:tcPr>
          <w:p w:rsidR="006A50C8" w:rsidRDefault="006A50C8" w:rsidP="00A44BE6">
            <w:pPr>
              <w:pStyle w:val="TableBodyText"/>
            </w:pPr>
            <w:r>
              <w:t>3.</w:t>
            </w:r>
            <w:r w:rsidR="00A44BE6">
              <w:t>4</w:t>
            </w:r>
          </w:p>
        </w:tc>
      </w:tr>
      <w:tr w:rsidR="006A50C8" w:rsidRPr="00EF4E74" w:rsidTr="006A50C8">
        <w:tc>
          <w:tcPr>
            <w:tcW w:w="1615" w:type="pct"/>
            <w:vAlign w:val="center"/>
          </w:tcPr>
          <w:p w:rsidR="006A50C8" w:rsidRPr="00E9659E" w:rsidRDefault="00E9659E" w:rsidP="00EF4E74">
            <w:pPr>
              <w:pStyle w:val="TableBodyText"/>
              <w:jc w:val="left"/>
            </w:pPr>
            <w:r w:rsidRPr="00E9659E">
              <w:t xml:space="preserve">Petroleum, coal </w:t>
            </w:r>
            <w:r w:rsidR="00EF4E74">
              <w:t xml:space="preserve">&amp; </w:t>
            </w:r>
            <w:r w:rsidRPr="00E9659E">
              <w:t>chemicals</w:t>
            </w:r>
          </w:p>
        </w:tc>
        <w:tc>
          <w:tcPr>
            <w:tcW w:w="564" w:type="pct"/>
            <w:vAlign w:val="center"/>
          </w:tcPr>
          <w:p w:rsidR="006A50C8" w:rsidRPr="00EF4E74" w:rsidRDefault="006A50C8" w:rsidP="006A50C8">
            <w:pPr>
              <w:pStyle w:val="TableBodyText"/>
            </w:pPr>
            <w:r w:rsidRPr="00EF4E74">
              <w:t>2.7</w:t>
            </w:r>
          </w:p>
        </w:tc>
        <w:tc>
          <w:tcPr>
            <w:tcW w:w="564" w:type="pct"/>
            <w:vAlign w:val="center"/>
          </w:tcPr>
          <w:p w:rsidR="006A50C8" w:rsidRPr="00EF4E74" w:rsidRDefault="006A50C8" w:rsidP="006A50C8">
            <w:pPr>
              <w:pStyle w:val="TableBodyText"/>
            </w:pPr>
            <w:r w:rsidRPr="00EF4E74">
              <w:t>2.7</w:t>
            </w:r>
          </w:p>
        </w:tc>
        <w:tc>
          <w:tcPr>
            <w:tcW w:w="564" w:type="pct"/>
            <w:vAlign w:val="center"/>
          </w:tcPr>
          <w:p w:rsidR="006A50C8" w:rsidRPr="00EF4E74" w:rsidRDefault="006A50C8" w:rsidP="006A50C8">
            <w:pPr>
              <w:pStyle w:val="TableBodyText"/>
            </w:pPr>
            <w:r w:rsidRPr="00EF4E74">
              <w:t>2.9</w:t>
            </w:r>
          </w:p>
        </w:tc>
        <w:tc>
          <w:tcPr>
            <w:tcW w:w="564" w:type="pct"/>
            <w:vAlign w:val="center"/>
          </w:tcPr>
          <w:p w:rsidR="006A50C8" w:rsidRPr="00EF4E74" w:rsidRDefault="006A50C8" w:rsidP="00BD27FA">
            <w:pPr>
              <w:pStyle w:val="TableBodyText"/>
            </w:pPr>
            <w:r w:rsidRPr="00EF4E74">
              <w:t>2.</w:t>
            </w:r>
            <w:r w:rsidR="00BD27FA">
              <w:t>8</w:t>
            </w:r>
          </w:p>
        </w:tc>
        <w:tc>
          <w:tcPr>
            <w:tcW w:w="564" w:type="pct"/>
            <w:vAlign w:val="center"/>
          </w:tcPr>
          <w:p w:rsidR="006A50C8" w:rsidRPr="00EF4E74" w:rsidRDefault="006A50C8" w:rsidP="006A50C8">
            <w:pPr>
              <w:pStyle w:val="TableBodyText"/>
            </w:pPr>
            <w:r w:rsidRPr="00EF4E74">
              <w:t>2.9</w:t>
            </w:r>
          </w:p>
        </w:tc>
        <w:tc>
          <w:tcPr>
            <w:tcW w:w="564" w:type="pct"/>
            <w:vAlign w:val="center"/>
          </w:tcPr>
          <w:p w:rsidR="006A50C8" w:rsidRPr="00EF4E74" w:rsidRDefault="006A50C8" w:rsidP="00A44BE6">
            <w:pPr>
              <w:pStyle w:val="TableBodyText"/>
            </w:pPr>
            <w:r w:rsidRPr="00EF4E74">
              <w:t>2.</w:t>
            </w:r>
            <w:r w:rsidR="00A44BE6">
              <w:t>8</w:t>
            </w:r>
          </w:p>
        </w:tc>
      </w:tr>
      <w:tr w:rsidR="006A50C8" w:rsidTr="006A50C8">
        <w:tc>
          <w:tcPr>
            <w:tcW w:w="1615" w:type="pct"/>
            <w:vAlign w:val="center"/>
          </w:tcPr>
          <w:p w:rsidR="006A50C8" w:rsidRDefault="006A50C8" w:rsidP="006A50C8">
            <w:pPr>
              <w:pStyle w:val="TableBodyText"/>
              <w:jc w:val="left"/>
            </w:pPr>
            <w:r>
              <w:t>Non-metallic mineral products</w:t>
            </w:r>
          </w:p>
        </w:tc>
        <w:tc>
          <w:tcPr>
            <w:tcW w:w="564" w:type="pct"/>
            <w:vAlign w:val="center"/>
          </w:tcPr>
          <w:p w:rsidR="006A50C8" w:rsidRDefault="006A50C8" w:rsidP="006A50C8">
            <w:pPr>
              <w:pStyle w:val="TableBodyText"/>
            </w:pPr>
            <w:r>
              <w:t>2.9</w:t>
            </w:r>
          </w:p>
        </w:tc>
        <w:tc>
          <w:tcPr>
            <w:tcW w:w="564" w:type="pct"/>
            <w:vAlign w:val="center"/>
          </w:tcPr>
          <w:p w:rsidR="006A50C8" w:rsidRDefault="006A50C8" w:rsidP="006A50C8">
            <w:pPr>
              <w:pStyle w:val="TableBodyText"/>
            </w:pPr>
            <w:r>
              <w:t>3.0</w:t>
            </w:r>
          </w:p>
        </w:tc>
        <w:tc>
          <w:tcPr>
            <w:tcW w:w="564" w:type="pct"/>
            <w:vAlign w:val="center"/>
          </w:tcPr>
          <w:p w:rsidR="006A50C8" w:rsidRDefault="006A50C8" w:rsidP="006A50C8">
            <w:pPr>
              <w:pStyle w:val="TableBodyText"/>
            </w:pPr>
            <w:r>
              <w:t>2.9</w:t>
            </w:r>
          </w:p>
        </w:tc>
        <w:tc>
          <w:tcPr>
            <w:tcW w:w="564" w:type="pct"/>
            <w:vAlign w:val="center"/>
          </w:tcPr>
          <w:p w:rsidR="006A50C8" w:rsidRDefault="006A50C8" w:rsidP="006A50C8">
            <w:pPr>
              <w:pStyle w:val="TableBodyText"/>
            </w:pPr>
            <w:r>
              <w:t>2.9</w:t>
            </w:r>
          </w:p>
        </w:tc>
        <w:tc>
          <w:tcPr>
            <w:tcW w:w="564" w:type="pct"/>
            <w:vAlign w:val="center"/>
          </w:tcPr>
          <w:p w:rsidR="006A50C8" w:rsidRDefault="006A50C8" w:rsidP="006A50C8">
            <w:pPr>
              <w:pStyle w:val="TableBodyText"/>
            </w:pPr>
            <w:r>
              <w:t>2.8</w:t>
            </w:r>
          </w:p>
        </w:tc>
        <w:tc>
          <w:tcPr>
            <w:tcW w:w="564" w:type="pct"/>
            <w:vAlign w:val="center"/>
          </w:tcPr>
          <w:p w:rsidR="006A50C8" w:rsidRDefault="006A50C8" w:rsidP="00A44BE6">
            <w:pPr>
              <w:pStyle w:val="TableBodyText"/>
            </w:pPr>
            <w:r>
              <w:t>2.</w:t>
            </w:r>
            <w:r w:rsidR="00A44BE6">
              <w:t>8</w:t>
            </w:r>
          </w:p>
        </w:tc>
      </w:tr>
      <w:tr w:rsidR="006A50C8" w:rsidRPr="00E9659E" w:rsidTr="006A50C8">
        <w:tc>
          <w:tcPr>
            <w:tcW w:w="1615" w:type="pct"/>
            <w:vAlign w:val="center"/>
          </w:tcPr>
          <w:p w:rsidR="006A50C8" w:rsidRPr="00E9659E" w:rsidRDefault="00E9659E" w:rsidP="00E9659E">
            <w:pPr>
              <w:pStyle w:val="TableBodyText"/>
              <w:jc w:val="left"/>
            </w:pPr>
            <w:r w:rsidRPr="00E9659E">
              <w:t xml:space="preserve">Metal and fabricated products </w:t>
            </w:r>
          </w:p>
        </w:tc>
        <w:tc>
          <w:tcPr>
            <w:tcW w:w="564" w:type="pct"/>
            <w:vAlign w:val="center"/>
          </w:tcPr>
          <w:p w:rsidR="006A50C8" w:rsidRPr="00E9659E" w:rsidRDefault="006A50C8" w:rsidP="006A50C8">
            <w:pPr>
              <w:pStyle w:val="TableBodyText"/>
            </w:pPr>
            <w:r w:rsidRPr="00E9659E">
              <w:t>4.6</w:t>
            </w:r>
          </w:p>
        </w:tc>
        <w:tc>
          <w:tcPr>
            <w:tcW w:w="564" w:type="pct"/>
            <w:vAlign w:val="center"/>
          </w:tcPr>
          <w:p w:rsidR="006A50C8" w:rsidRPr="00E9659E" w:rsidRDefault="006A50C8" w:rsidP="006A50C8">
            <w:pPr>
              <w:pStyle w:val="TableBodyText"/>
            </w:pPr>
            <w:r w:rsidRPr="00E9659E">
              <w:t>4.4</w:t>
            </w:r>
          </w:p>
        </w:tc>
        <w:tc>
          <w:tcPr>
            <w:tcW w:w="564" w:type="pct"/>
            <w:vAlign w:val="center"/>
          </w:tcPr>
          <w:p w:rsidR="006A50C8" w:rsidRPr="00E9659E" w:rsidRDefault="006A50C8" w:rsidP="006A50C8">
            <w:pPr>
              <w:pStyle w:val="TableBodyText"/>
            </w:pPr>
            <w:r w:rsidRPr="00E9659E">
              <w:t>4.5</w:t>
            </w:r>
          </w:p>
        </w:tc>
        <w:tc>
          <w:tcPr>
            <w:tcW w:w="564" w:type="pct"/>
            <w:vAlign w:val="center"/>
          </w:tcPr>
          <w:p w:rsidR="006A50C8" w:rsidRPr="00E9659E" w:rsidRDefault="006A50C8" w:rsidP="00BD27FA">
            <w:pPr>
              <w:pStyle w:val="TableBodyText"/>
            </w:pPr>
            <w:r w:rsidRPr="00E9659E">
              <w:t>4.</w:t>
            </w:r>
            <w:r w:rsidR="00BD27FA">
              <w:t>3</w:t>
            </w:r>
          </w:p>
        </w:tc>
        <w:tc>
          <w:tcPr>
            <w:tcW w:w="564" w:type="pct"/>
            <w:vAlign w:val="center"/>
          </w:tcPr>
          <w:p w:rsidR="006A50C8" w:rsidRPr="00E9659E" w:rsidRDefault="006A50C8" w:rsidP="006A50C8">
            <w:pPr>
              <w:pStyle w:val="TableBodyText"/>
            </w:pPr>
            <w:r w:rsidRPr="00E9659E">
              <w:t>4.3</w:t>
            </w:r>
          </w:p>
        </w:tc>
        <w:tc>
          <w:tcPr>
            <w:tcW w:w="564" w:type="pct"/>
            <w:vAlign w:val="center"/>
          </w:tcPr>
          <w:p w:rsidR="006A50C8" w:rsidRPr="00E9659E" w:rsidRDefault="006A50C8" w:rsidP="006D1DB5">
            <w:pPr>
              <w:pStyle w:val="TableBodyText"/>
            </w:pPr>
            <w:r w:rsidRPr="00E9659E">
              <w:t>4.</w:t>
            </w:r>
            <w:r w:rsidR="006D1DB5">
              <w:t>7</w:t>
            </w:r>
          </w:p>
        </w:tc>
      </w:tr>
      <w:tr w:rsidR="006A50C8" w:rsidTr="006A50C8">
        <w:tc>
          <w:tcPr>
            <w:tcW w:w="1615" w:type="pct"/>
            <w:vAlign w:val="center"/>
          </w:tcPr>
          <w:p w:rsidR="006A50C8" w:rsidRDefault="006A50C8" w:rsidP="006A50C8">
            <w:pPr>
              <w:pStyle w:val="TableBodyText"/>
              <w:jc w:val="left"/>
            </w:pPr>
            <w:r>
              <w:t>Motor vehicle and parts</w:t>
            </w:r>
          </w:p>
        </w:tc>
        <w:tc>
          <w:tcPr>
            <w:tcW w:w="564" w:type="pct"/>
            <w:vAlign w:val="center"/>
          </w:tcPr>
          <w:p w:rsidR="006A50C8" w:rsidRDefault="006A50C8" w:rsidP="006A50C8">
            <w:pPr>
              <w:pStyle w:val="TableBodyText"/>
            </w:pPr>
            <w:r>
              <w:t>12.5</w:t>
            </w:r>
          </w:p>
        </w:tc>
        <w:tc>
          <w:tcPr>
            <w:tcW w:w="564" w:type="pct"/>
            <w:vAlign w:val="center"/>
          </w:tcPr>
          <w:p w:rsidR="006A50C8" w:rsidRDefault="006A50C8" w:rsidP="006A50C8">
            <w:pPr>
              <w:pStyle w:val="TableBodyText"/>
            </w:pPr>
            <w:r>
              <w:t>11.9</w:t>
            </w:r>
          </w:p>
        </w:tc>
        <w:tc>
          <w:tcPr>
            <w:tcW w:w="564" w:type="pct"/>
            <w:vAlign w:val="center"/>
          </w:tcPr>
          <w:p w:rsidR="006A50C8" w:rsidRDefault="006A50C8" w:rsidP="006A50C8">
            <w:pPr>
              <w:pStyle w:val="TableBodyText"/>
            </w:pPr>
            <w:r>
              <w:t>13.1</w:t>
            </w:r>
          </w:p>
        </w:tc>
        <w:tc>
          <w:tcPr>
            <w:tcW w:w="564" w:type="pct"/>
            <w:vAlign w:val="center"/>
          </w:tcPr>
          <w:p w:rsidR="006A50C8" w:rsidRDefault="006A50C8" w:rsidP="006A50C8">
            <w:pPr>
              <w:pStyle w:val="TableBodyText"/>
            </w:pPr>
            <w:r>
              <w:t>11.6</w:t>
            </w:r>
          </w:p>
        </w:tc>
        <w:tc>
          <w:tcPr>
            <w:tcW w:w="564" w:type="pct"/>
            <w:vAlign w:val="center"/>
          </w:tcPr>
          <w:p w:rsidR="006A50C8" w:rsidRDefault="006A50C8" w:rsidP="006A50C8">
            <w:pPr>
              <w:pStyle w:val="TableBodyText"/>
            </w:pPr>
            <w:r>
              <w:t>8.7</w:t>
            </w:r>
          </w:p>
        </w:tc>
        <w:tc>
          <w:tcPr>
            <w:tcW w:w="564" w:type="pct"/>
            <w:vAlign w:val="center"/>
          </w:tcPr>
          <w:p w:rsidR="006A50C8" w:rsidRDefault="000B70C5" w:rsidP="000B70C5">
            <w:pPr>
              <w:pStyle w:val="TableBodyText"/>
            </w:pPr>
            <w:r>
              <w:t>9.4</w:t>
            </w:r>
          </w:p>
        </w:tc>
      </w:tr>
      <w:tr w:rsidR="006A50C8" w:rsidTr="006A50C8">
        <w:tc>
          <w:tcPr>
            <w:tcW w:w="1615" w:type="pct"/>
            <w:vAlign w:val="center"/>
          </w:tcPr>
          <w:p w:rsidR="006A50C8" w:rsidRDefault="006A50C8" w:rsidP="006A50C8">
            <w:pPr>
              <w:pStyle w:val="TableBodyText"/>
              <w:jc w:val="left"/>
            </w:pPr>
            <w:r>
              <w:t>Other transport equipment</w:t>
            </w:r>
          </w:p>
        </w:tc>
        <w:tc>
          <w:tcPr>
            <w:tcW w:w="564" w:type="pct"/>
            <w:vAlign w:val="center"/>
          </w:tcPr>
          <w:p w:rsidR="006A50C8" w:rsidRDefault="006A50C8" w:rsidP="006A50C8">
            <w:pPr>
              <w:pStyle w:val="TableBodyText"/>
            </w:pPr>
            <w:r>
              <w:t>0.8</w:t>
            </w:r>
          </w:p>
        </w:tc>
        <w:tc>
          <w:tcPr>
            <w:tcW w:w="564" w:type="pct"/>
            <w:vAlign w:val="center"/>
          </w:tcPr>
          <w:p w:rsidR="006A50C8" w:rsidRDefault="006A50C8" w:rsidP="006A50C8">
            <w:pPr>
              <w:pStyle w:val="TableBodyText"/>
            </w:pPr>
            <w:r>
              <w:t>0.8</w:t>
            </w:r>
          </w:p>
        </w:tc>
        <w:tc>
          <w:tcPr>
            <w:tcW w:w="564" w:type="pct"/>
            <w:vAlign w:val="center"/>
          </w:tcPr>
          <w:p w:rsidR="006A50C8" w:rsidRDefault="006A50C8" w:rsidP="006A50C8">
            <w:pPr>
              <w:pStyle w:val="TableBodyText"/>
            </w:pPr>
            <w:r>
              <w:t>0.9</w:t>
            </w:r>
          </w:p>
        </w:tc>
        <w:tc>
          <w:tcPr>
            <w:tcW w:w="564" w:type="pct"/>
            <w:vAlign w:val="center"/>
          </w:tcPr>
          <w:p w:rsidR="006A50C8" w:rsidRDefault="00BD27FA" w:rsidP="00BD27FA">
            <w:pPr>
              <w:pStyle w:val="TableBodyText"/>
            </w:pPr>
            <w:r>
              <w:t>0.9</w:t>
            </w:r>
          </w:p>
        </w:tc>
        <w:tc>
          <w:tcPr>
            <w:tcW w:w="564" w:type="pct"/>
            <w:vAlign w:val="center"/>
          </w:tcPr>
          <w:p w:rsidR="006A50C8" w:rsidRDefault="00BD27FA" w:rsidP="00BD27FA">
            <w:pPr>
              <w:pStyle w:val="TableBodyText"/>
            </w:pPr>
            <w:r>
              <w:t>0.9</w:t>
            </w:r>
          </w:p>
        </w:tc>
        <w:tc>
          <w:tcPr>
            <w:tcW w:w="564" w:type="pct"/>
            <w:vAlign w:val="center"/>
          </w:tcPr>
          <w:p w:rsidR="006A50C8" w:rsidRDefault="00543FE1" w:rsidP="00543FE1">
            <w:pPr>
              <w:pStyle w:val="TableBodyText"/>
            </w:pPr>
            <w:r>
              <w:t>0.9</w:t>
            </w:r>
          </w:p>
        </w:tc>
      </w:tr>
      <w:tr w:rsidR="006A50C8" w:rsidTr="006A50C8">
        <w:tc>
          <w:tcPr>
            <w:tcW w:w="1615" w:type="pct"/>
            <w:vAlign w:val="center"/>
          </w:tcPr>
          <w:p w:rsidR="006A50C8" w:rsidRDefault="006A50C8" w:rsidP="00E9659E">
            <w:pPr>
              <w:pStyle w:val="TableBodyText"/>
              <w:jc w:val="left"/>
            </w:pPr>
            <w:r>
              <w:t>Machinery and equipment</w:t>
            </w:r>
          </w:p>
        </w:tc>
        <w:tc>
          <w:tcPr>
            <w:tcW w:w="564" w:type="pct"/>
            <w:vAlign w:val="center"/>
          </w:tcPr>
          <w:p w:rsidR="006A50C8" w:rsidRDefault="006A50C8" w:rsidP="006A50C8">
            <w:pPr>
              <w:pStyle w:val="TableBodyText"/>
            </w:pPr>
            <w:r>
              <w:t>3.2</w:t>
            </w:r>
          </w:p>
        </w:tc>
        <w:tc>
          <w:tcPr>
            <w:tcW w:w="564" w:type="pct"/>
            <w:vAlign w:val="center"/>
          </w:tcPr>
          <w:p w:rsidR="006A50C8" w:rsidRDefault="006A50C8" w:rsidP="006A50C8">
            <w:pPr>
              <w:pStyle w:val="TableBodyText"/>
            </w:pPr>
            <w:r>
              <w:t>3.1</w:t>
            </w:r>
          </w:p>
        </w:tc>
        <w:tc>
          <w:tcPr>
            <w:tcW w:w="564" w:type="pct"/>
            <w:vAlign w:val="center"/>
          </w:tcPr>
          <w:p w:rsidR="006A50C8" w:rsidRDefault="006A50C8" w:rsidP="006A50C8">
            <w:pPr>
              <w:pStyle w:val="TableBodyText"/>
            </w:pPr>
            <w:r>
              <w:t>3.2</w:t>
            </w:r>
          </w:p>
        </w:tc>
        <w:tc>
          <w:tcPr>
            <w:tcW w:w="564" w:type="pct"/>
            <w:vAlign w:val="center"/>
          </w:tcPr>
          <w:p w:rsidR="006A50C8" w:rsidRDefault="006A50C8" w:rsidP="00BD27FA">
            <w:pPr>
              <w:pStyle w:val="TableBodyText"/>
            </w:pPr>
            <w:r>
              <w:t>3.</w:t>
            </w:r>
            <w:r w:rsidR="00BD27FA">
              <w:t>1</w:t>
            </w:r>
          </w:p>
        </w:tc>
        <w:tc>
          <w:tcPr>
            <w:tcW w:w="564" w:type="pct"/>
            <w:vAlign w:val="center"/>
          </w:tcPr>
          <w:p w:rsidR="006A50C8" w:rsidRDefault="006A50C8" w:rsidP="00BD27FA">
            <w:pPr>
              <w:pStyle w:val="TableBodyText"/>
            </w:pPr>
            <w:r>
              <w:t>3.</w:t>
            </w:r>
            <w:r w:rsidR="00BD27FA">
              <w:t>0</w:t>
            </w:r>
          </w:p>
        </w:tc>
        <w:tc>
          <w:tcPr>
            <w:tcW w:w="564" w:type="pct"/>
            <w:vAlign w:val="center"/>
          </w:tcPr>
          <w:p w:rsidR="006A50C8" w:rsidRDefault="00A44BE6" w:rsidP="00A44BE6">
            <w:pPr>
              <w:pStyle w:val="TableBodyText"/>
            </w:pPr>
            <w:r>
              <w:t>3.0</w:t>
            </w:r>
          </w:p>
        </w:tc>
      </w:tr>
      <w:tr w:rsidR="006A50C8" w:rsidTr="006A50C8">
        <w:tc>
          <w:tcPr>
            <w:tcW w:w="1615" w:type="pct"/>
            <w:tcBorders>
              <w:bottom w:val="single" w:sz="6" w:space="0" w:color="auto"/>
            </w:tcBorders>
            <w:shd w:val="clear" w:color="auto" w:fill="auto"/>
          </w:tcPr>
          <w:p w:rsidR="006A50C8" w:rsidRDefault="006A50C8" w:rsidP="00EF4E74">
            <w:pPr>
              <w:pStyle w:val="TableBodyText"/>
              <w:jc w:val="left"/>
            </w:pPr>
            <w:r>
              <w:t xml:space="preserve">Furniture </w:t>
            </w:r>
            <w:r w:rsidR="00EF4E74">
              <w:t>and</w:t>
            </w:r>
            <w:r>
              <w:t xml:space="preserve"> other </w:t>
            </w:r>
            <w:r w:rsidR="00E9659E">
              <w:t>products</w:t>
            </w:r>
          </w:p>
        </w:tc>
        <w:tc>
          <w:tcPr>
            <w:tcW w:w="564" w:type="pct"/>
            <w:tcBorders>
              <w:bottom w:val="single" w:sz="6" w:space="0" w:color="auto"/>
            </w:tcBorders>
            <w:shd w:val="clear" w:color="auto" w:fill="auto"/>
            <w:vAlign w:val="center"/>
          </w:tcPr>
          <w:p w:rsidR="006A50C8" w:rsidRDefault="006A50C8" w:rsidP="006A50C8">
            <w:pPr>
              <w:pStyle w:val="TableBodyText"/>
            </w:pPr>
            <w:r>
              <w:t>4.8</w:t>
            </w:r>
          </w:p>
        </w:tc>
        <w:tc>
          <w:tcPr>
            <w:tcW w:w="564" w:type="pct"/>
            <w:tcBorders>
              <w:bottom w:val="single" w:sz="6" w:space="0" w:color="auto"/>
            </w:tcBorders>
            <w:vAlign w:val="center"/>
          </w:tcPr>
          <w:p w:rsidR="006A50C8" w:rsidRDefault="006A50C8" w:rsidP="006A50C8">
            <w:pPr>
              <w:pStyle w:val="TableBodyText"/>
            </w:pPr>
            <w:r>
              <w:t>5.0</w:t>
            </w:r>
          </w:p>
        </w:tc>
        <w:tc>
          <w:tcPr>
            <w:tcW w:w="564" w:type="pct"/>
            <w:tcBorders>
              <w:bottom w:val="single" w:sz="6" w:space="0" w:color="auto"/>
            </w:tcBorders>
            <w:vAlign w:val="center"/>
          </w:tcPr>
          <w:p w:rsidR="006A50C8" w:rsidRDefault="006A50C8" w:rsidP="006A50C8">
            <w:pPr>
              <w:pStyle w:val="TableBodyText"/>
            </w:pPr>
            <w:r>
              <w:t>4.6</w:t>
            </w:r>
          </w:p>
        </w:tc>
        <w:tc>
          <w:tcPr>
            <w:tcW w:w="564" w:type="pct"/>
            <w:tcBorders>
              <w:bottom w:val="single" w:sz="6" w:space="0" w:color="auto"/>
            </w:tcBorders>
            <w:vAlign w:val="center"/>
          </w:tcPr>
          <w:p w:rsidR="006A50C8" w:rsidRDefault="006A50C8" w:rsidP="006A50C8">
            <w:pPr>
              <w:pStyle w:val="TableBodyText"/>
            </w:pPr>
            <w:r>
              <w:t>4.4</w:t>
            </w:r>
          </w:p>
        </w:tc>
        <w:tc>
          <w:tcPr>
            <w:tcW w:w="564" w:type="pct"/>
            <w:tcBorders>
              <w:bottom w:val="single" w:sz="6" w:space="0" w:color="auto"/>
            </w:tcBorders>
            <w:vAlign w:val="center"/>
          </w:tcPr>
          <w:p w:rsidR="006A50C8" w:rsidRDefault="006A50C8" w:rsidP="006A50C8">
            <w:pPr>
              <w:pStyle w:val="TableBodyText"/>
            </w:pPr>
            <w:r>
              <w:t>4.4</w:t>
            </w:r>
          </w:p>
        </w:tc>
        <w:tc>
          <w:tcPr>
            <w:tcW w:w="564" w:type="pct"/>
            <w:tcBorders>
              <w:bottom w:val="single" w:sz="6" w:space="0" w:color="auto"/>
            </w:tcBorders>
            <w:shd w:val="clear" w:color="auto" w:fill="auto"/>
            <w:vAlign w:val="center"/>
          </w:tcPr>
          <w:p w:rsidR="006A50C8" w:rsidRDefault="006A50C8" w:rsidP="00A44BE6">
            <w:pPr>
              <w:pStyle w:val="TableBodyText"/>
            </w:pPr>
            <w:r>
              <w:t>4.</w:t>
            </w:r>
            <w:r w:rsidR="00A44BE6">
              <w:t>4</w:t>
            </w:r>
          </w:p>
        </w:tc>
      </w:tr>
    </w:tbl>
    <w:p w:rsidR="006A50C8" w:rsidRDefault="006A50C8" w:rsidP="006A50C8">
      <w:pPr>
        <w:pStyle w:val="Note"/>
      </w:pPr>
      <w:r w:rsidRPr="008E77FE">
        <w:rPr>
          <w:rStyle w:val="NoteLabel"/>
        </w:rPr>
        <w:t>a</w:t>
      </w:r>
      <w:r w:rsidR="00C97782">
        <w:t> </w:t>
      </w:r>
      <w:r>
        <w:t xml:space="preserve">‘Combined assistance’ comprises budgetary, tariff and agricultural pricing and regulatory assistance. </w:t>
      </w:r>
      <w:r w:rsidRPr="000567A8">
        <w:rPr>
          <w:rStyle w:val="NoteLabel"/>
        </w:rPr>
        <w:t>b</w:t>
      </w:r>
      <w:r w:rsidR="00C97782">
        <w:rPr>
          <w:rStyle w:val="NoteLabel"/>
        </w:rPr>
        <w:t> </w:t>
      </w:r>
      <w:r w:rsidR="00C97782">
        <w:t>Se</w:t>
      </w:r>
      <w:r>
        <w:t xml:space="preserve">ctoral estimates include assistance to the sector that has not been allocated to specific industry groupings. </w:t>
      </w:r>
    </w:p>
    <w:p w:rsidR="006A50C8" w:rsidRPr="008E77FE" w:rsidRDefault="006A50C8" w:rsidP="006A50C8">
      <w:pPr>
        <w:pStyle w:val="Source"/>
      </w:pPr>
      <w:r>
        <w:rPr>
          <w:i/>
        </w:rPr>
        <w:t>Source</w:t>
      </w:r>
      <w:r>
        <w:t xml:space="preserve">: Commission estimates. </w:t>
      </w:r>
    </w:p>
    <w:p w:rsidR="006A50C8" w:rsidRDefault="006A50C8" w:rsidP="006A50C8">
      <w:pPr>
        <w:pStyle w:val="Heading5"/>
      </w:pPr>
      <w:r>
        <w:lastRenderedPageBreak/>
        <w:t xml:space="preserve">Textiles, </w:t>
      </w:r>
      <w:r w:rsidR="00543FE1">
        <w:t xml:space="preserve">leather, </w:t>
      </w:r>
      <w:r>
        <w:t>clothing</w:t>
      </w:r>
      <w:r w:rsidR="00543FE1">
        <w:t xml:space="preserve"> and</w:t>
      </w:r>
      <w:r>
        <w:t xml:space="preserve"> footwear and Motor vehicles </w:t>
      </w:r>
      <w:r w:rsidR="00543FE1">
        <w:t>and</w:t>
      </w:r>
      <w:r>
        <w:t xml:space="preserve"> parts</w:t>
      </w:r>
    </w:p>
    <w:p w:rsidR="006A50C8" w:rsidRDefault="006A50C8" w:rsidP="006A50C8">
      <w:pPr>
        <w:pStyle w:val="BodyText"/>
      </w:pPr>
      <w:r>
        <w:t xml:space="preserve">The </w:t>
      </w:r>
      <w:r w:rsidRPr="00B117DF">
        <w:rPr>
          <w:i/>
        </w:rPr>
        <w:t xml:space="preserve">Textiles, </w:t>
      </w:r>
      <w:r w:rsidR="00543FE1">
        <w:rPr>
          <w:i/>
        </w:rPr>
        <w:t xml:space="preserve">leather, </w:t>
      </w:r>
      <w:r w:rsidRPr="00B117DF">
        <w:rPr>
          <w:i/>
        </w:rPr>
        <w:t>clothing</w:t>
      </w:r>
      <w:r>
        <w:rPr>
          <w:i/>
        </w:rPr>
        <w:t xml:space="preserve"> and</w:t>
      </w:r>
      <w:r w:rsidRPr="00B117DF">
        <w:rPr>
          <w:i/>
        </w:rPr>
        <w:t xml:space="preserve"> footwear</w:t>
      </w:r>
      <w:r>
        <w:t xml:space="preserve"> and </w:t>
      </w:r>
      <w:r w:rsidRPr="00B117DF">
        <w:rPr>
          <w:i/>
        </w:rPr>
        <w:t>Motor vehicle</w:t>
      </w:r>
      <w:r>
        <w:rPr>
          <w:i/>
        </w:rPr>
        <w:t xml:space="preserve"> and </w:t>
      </w:r>
      <w:r w:rsidRPr="00B117DF">
        <w:rPr>
          <w:i/>
        </w:rPr>
        <w:t>parts</w:t>
      </w:r>
      <w:r>
        <w:t xml:space="preserve"> industry groupings continue to have higher effective rates of combined assistance than other manufacturing activities. While remaining relatively high, the estimated effective rates of assistance to both industry groups have declined significantly over recent decades following </w:t>
      </w:r>
      <w:r w:rsidR="00370252">
        <w:t xml:space="preserve">substantial </w:t>
      </w:r>
      <w:r>
        <w:t>reductions in tariff</w:t>
      </w:r>
      <w:r w:rsidR="00370252">
        <w:t xml:space="preserve"> rate</w:t>
      </w:r>
      <w:r>
        <w:t>s and the removal of import quotas. Effective rates of assistance for these industries have also declined significantly since 2008</w:t>
      </w:r>
      <w:r>
        <w:noBreakHyphen/>
        <w:t xml:space="preserve">09, </w:t>
      </w:r>
      <w:r w:rsidR="00C02F93">
        <w:t>following the</w:t>
      </w:r>
      <w:r>
        <w:t xml:space="preserve"> legislated tariff cuts in </w:t>
      </w:r>
      <w:r w:rsidR="00C02F93">
        <w:t>January </w:t>
      </w:r>
      <w:r>
        <w:t xml:space="preserve">2010 and net reductions in budgetary assistance following the closure of ACIS and introduction of the new automotive assistance arrangements. </w:t>
      </w:r>
    </w:p>
    <w:p w:rsidR="00E628EE" w:rsidRDefault="00E628EE" w:rsidP="006A50C8">
      <w:pPr>
        <w:pStyle w:val="BodyText"/>
      </w:pPr>
      <w:r>
        <w:t xml:space="preserve">For </w:t>
      </w:r>
      <w:r w:rsidR="00F864BF" w:rsidRPr="00F864BF">
        <w:rPr>
          <w:i/>
        </w:rPr>
        <w:t>M</w:t>
      </w:r>
      <w:r w:rsidRPr="00E628EE">
        <w:rPr>
          <w:i/>
        </w:rPr>
        <w:t>otor vehicles and parts</w:t>
      </w:r>
      <w:r>
        <w:t xml:space="preserve"> industry in 2011</w:t>
      </w:r>
      <w:r>
        <w:noBreakHyphen/>
        <w:t xml:space="preserve">12, however, the effective rate of assistance increased from 8.7 to 9.4 per cent following increases in budgetary assistance under the Green Car Innovation Fund and Assistance to Ford Australia. </w:t>
      </w:r>
    </w:p>
    <w:p w:rsidR="006A50C8" w:rsidRDefault="006A50C8" w:rsidP="006A50C8">
      <w:pPr>
        <w:pStyle w:val="Heading5"/>
      </w:pPr>
      <w:r>
        <w:t xml:space="preserve">Dairy cattle farming and </w:t>
      </w:r>
      <w:r w:rsidR="00D16D99">
        <w:t>Sheep, beef cattle and g</w:t>
      </w:r>
      <w:r>
        <w:t>rain farming</w:t>
      </w:r>
    </w:p>
    <w:p w:rsidR="006A50C8" w:rsidRDefault="006A50C8" w:rsidP="006A50C8">
      <w:pPr>
        <w:pStyle w:val="BodyText"/>
      </w:pPr>
      <w:r>
        <w:t xml:space="preserve">The estimated effective rate of assistance for </w:t>
      </w:r>
      <w:r w:rsidRPr="00B117DF">
        <w:rPr>
          <w:i/>
        </w:rPr>
        <w:t>Dairy cattle farming</w:t>
      </w:r>
      <w:r>
        <w:t xml:space="preserve"> declined markedly from 2007</w:t>
      </w:r>
      <w:r>
        <w:noBreakHyphen/>
        <w:t>08 to 2011</w:t>
      </w:r>
      <w:r>
        <w:noBreakHyphen/>
        <w:t>12 — from 13.2 per cent to 1.</w:t>
      </w:r>
      <w:r w:rsidR="00D16D99">
        <w:t>8</w:t>
      </w:r>
      <w:r>
        <w:t xml:space="preserve"> per cent. This reflects a decline in Exceptional Circumstances drought support and the cessation of payments under the Dairy Structural Adjustment Program in </w:t>
      </w:r>
      <w:r w:rsidR="00C02F93">
        <w:t>April </w:t>
      </w:r>
      <w:r>
        <w:t xml:space="preserve">2008. Prior to the dairy industry’s deregulation in </w:t>
      </w:r>
      <w:r w:rsidR="00C02F93">
        <w:t>July </w:t>
      </w:r>
      <w:r>
        <w:t xml:space="preserve">2000, the effective rate of combined assistance was estimated to exceed 30 per cent. </w:t>
      </w:r>
    </w:p>
    <w:p w:rsidR="006A50C8" w:rsidRDefault="00C02F93" w:rsidP="006A50C8">
      <w:pPr>
        <w:pStyle w:val="BodyText"/>
      </w:pPr>
      <w:r>
        <w:t>R</w:t>
      </w:r>
      <w:r w:rsidR="006A50C8">
        <w:t xml:space="preserve">eflecting lower claims for Exceptional Circumstances drought support, the effective rate of assistance for the </w:t>
      </w:r>
      <w:r w:rsidR="006A50C8" w:rsidRPr="00B117DF">
        <w:rPr>
          <w:i/>
        </w:rPr>
        <w:t>Sheep, beef cattle and grain</w:t>
      </w:r>
      <w:r w:rsidR="00D16D99">
        <w:rPr>
          <w:i/>
        </w:rPr>
        <w:t xml:space="preserve"> farming</w:t>
      </w:r>
      <w:r w:rsidR="006A50C8" w:rsidRPr="00991112">
        <w:t xml:space="preserve"> </w:t>
      </w:r>
      <w:r w:rsidR="006A50C8">
        <w:t>group declined from 6.3 per cent in 2008</w:t>
      </w:r>
      <w:r w:rsidR="006A50C8">
        <w:noBreakHyphen/>
        <w:t>09 to 2.7 per cent in 2011</w:t>
      </w:r>
      <w:r w:rsidR="006A50C8">
        <w:noBreakHyphen/>
        <w:t>12. Declines were also estimated for some other agricultural industry groupings</w:t>
      </w:r>
      <w:r>
        <w:t xml:space="preserve"> </w:t>
      </w:r>
      <w:r w:rsidR="006A50C8">
        <w:t xml:space="preserve">because of </w:t>
      </w:r>
      <w:r>
        <w:t>lower claims for</w:t>
      </w:r>
      <w:r w:rsidR="006A50C8">
        <w:t xml:space="preserve"> drought support. </w:t>
      </w:r>
    </w:p>
    <w:p w:rsidR="006A50C8" w:rsidRDefault="006A50C8" w:rsidP="006A50C8">
      <w:pPr>
        <w:pStyle w:val="Heading5"/>
      </w:pPr>
      <w:r>
        <w:t xml:space="preserve">Fisheries and Forestry </w:t>
      </w:r>
      <w:r w:rsidR="00E1556D">
        <w:t>and</w:t>
      </w:r>
      <w:r>
        <w:t xml:space="preserve"> logging</w:t>
      </w:r>
    </w:p>
    <w:p w:rsidR="006A50C8" w:rsidRDefault="006A50C8" w:rsidP="006A50C8">
      <w:pPr>
        <w:pStyle w:val="BodyText"/>
      </w:pPr>
      <w:r>
        <w:t xml:space="preserve">The estimated effective assistance to </w:t>
      </w:r>
      <w:r w:rsidRPr="00B117DF">
        <w:rPr>
          <w:i/>
        </w:rPr>
        <w:t>Aquaculture and fish</w:t>
      </w:r>
      <w:r w:rsidRPr="00156B76">
        <w:rPr>
          <w:i/>
        </w:rPr>
        <w:t>ing,</w:t>
      </w:r>
      <w:r w:rsidRPr="00D16D99">
        <w:t xml:space="preserve"> and </w:t>
      </w:r>
      <w:r w:rsidRPr="00B117DF">
        <w:rPr>
          <w:i/>
        </w:rPr>
        <w:t xml:space="preserve">Forestry </w:t>
      </w:r>
      <w:r w:rsidRPr="00156B76">
        <w:rPr>
          <w:i/>
        </w:rPr>
        <w:t>and</w:t>
      </w:r>
      <w:r w:rsidRPr="00B117DF">
        <w:rPr>
          <w:i/>
        </w:rPr>
        <w:t xml:space="preserve"> logging</w:t>
      </w:r>
      <w:r>
        <w:t xml:space="preserve"> has changed markedly over recent years. A decline in annual expenditure under the Fisheries Structural Adjustment Program has seen the estimated effective rates for Fisheries decrease from a high of 12 per cent in 2006</w:t>
      </w:r>
      <w:r>
        <w:noBreakHyphen/>
        <w:t xml:space="preserve">07 to </w:t>
      </w:r>
      <w:r w:rsidR="00D16D99">
        <w:t>3.</w:t>
      </w:r>
      <w:r w:rsidR="00A44BE6">
        <w:t>3</w:t>
      </w:r>
      <w:r>
        <w:t> per cent in 2011</w:t>
      </w:r>
      <w:r>
        <w:noBreakHyphen/>
        <w:t xml:space="preserve">12. </w:t>
      </w:r>
    </w:p>
    <w:p w:rsidR="006A50C8" w:rsidRDefault="006A50C8" w:rsidP="006A50C8">
      <w:pPr>
        <w:pStyle w:val="BodyText"/>
      </w:pPr>
      <w:r>
        <w:t xml:space="preserve">The change in effective assistance to </w:t>
      </w:r>
      <w:r w:rsidRPr="00B117DF">
        <w:rPr>
          <w:i/>
        </w:rPr>
        <w:t>Forestry and logging</w:t>
      </w:r>
      <w:r>
        <w:t xml:space="preserve"> from 6.8 per cent in 2007</w:t>
      </w:r>
      <w:r>
        <w:noBreakHyphen/>
        <w:t>08 to a negative 1.3 per cent for 2008</w:t>
      </w:r>
      <w:r>
        <w:noBreakHyphen/>
        <w:t>09 and then back to 4.</w:t>
      </w:r>
      <w:r w:rsidR="00A44BE6">
        <w:t>5</w:t>
      </w:r>
      <w:r>
        <w:t> per cent in 2009</w:t>
      </w:r>
      <w:r>
        <w:noBreakHyphen/>
        <w:t xml:space="preserve">10, as indicated above, reflects the impact of changes in the direction of </w:t>
      </w:r>
      <w:r>
        <w:lastRenderedPageBreak/>
        <w:t>accelerated write-offs on forestry-managed investments from positive assistance in 2007</w:t>
      </w:r>
      <w:r>
        <w:noBreakHyphen/>
        <w:t>08 (the acceleration stage) to increased taxation in 2008</w:t>
      </w:r>
      <w:r>
        <w:noBreakHyphen/>
        <w:t>09 (the pay-back stage)</w:t>
      </w:r>
      <w:r w:rsidR="00C02F93">
        <w:t xml:space="preserve">. </w:t>
      </w:r>
      <w:r w:rsidR="00596D5D">
        <w:t>T</w:t>
      </w:r>
      <w:r w:rsidR="00C02F93">
        <w:t xml:space="preserve">he Forestry </w:t>
      </w:r>
      <w:r w:rsidR="00596D5D">
        <w:t>M</w:t>
      </w:r>
      <w:r w:rsidR="00C02F93">
        <w:t xml:space="preserve">anaged </w:t>
      </w:r>
      <w:r w:rsidR="00596D5D">
        <w:t>I</w:t>
      </w:r>
      <w:r w:rsidR="00C02F93">
        <w:t xml:space="preserve">nvestment </w:t>
      </w:r>
      <w:r w:rsidR="00596D5D">
        <w:t>S</w:t>
      </w:r>
      <w:r w:rsidR="00C02F93">
        <w:t xml:space="preserve">cheme </w:t>
      </w:r>
      <w:r w:rsidR="00596D5D">
        <w:t xml:space="preserve">was terminated </w:t>
      </w:r>
      <w:r w:rsidR="00C02F93">
        <w:t>o</w:t>
      </w:r>
      <w:r>
        <w:t xml:space="preserve">n 30 June 2008. </w:t>
      </w:r>
    </w:p>
    <w:p w:rsidR="00943FF6" w:rsidRPr="006A50C8" w:rsidRDefault="00A93C7A" w:rsidP="006A50C8">
      <w:pPr>
        <w:pStyle w:val="BodyText"/>
      </w:pPr>
      <w:r>
        <w:t xml:space="preserve">Effective rates of assistance to </w:t>
      </w:r>
      <w:r w:rsidRPr="00A93C7A">
        <w:rPr>
          <w:i/>
        </w:rPr>
        <w:t>Forestry and logging</w:t>
      </w:r>
      <w:r>
        <w:t xml:space="preserve"> have increased further in more recent years — 5.</w:t>
      </w:r>
      <w:r w:rsidR="00A44BE6">
        <w:t>5</w:t>
      </w:r>
      <w:r>
        <w:t> per cent in 2010</w:t>
      </w:r>
      <w:r>
        <w:noBreakHyphen/>
        <w:t>11 and 7.</w:t>
      </w:r>
      <w:r w:rsidR="00A44BE6">
        <w:t>2</w:t>
      </w:r>
      <w:r>
        <w:t> per cent in 2011</w:t>
      </w:r>
      <w:r>
        <w:noBreakHyphen/>
        <w:t>12 — reflecting new s</w:t>
      </w:r>
      <w:r w:rsidR="00943FF6">
        <w:t xml:space="preserve">tructural adjustment packages for the Tasmanian forest industry. </w:t>
      </w:r>
    </w:p>
    <w:p w:rsidR="00513E33" w:rsidRDefault="00E12ECE" w:rsidP="00513E33">
      <w:pPr>
        <w:pStyle w:val="Heading2"/>
      </w:pPr>
      <w:fldSimple w:instr=" COMMENTS  \* MERGEFORMAT ">
        <w:r w:rsidR="00655E7D">
          <w:t>2.</w:t>
        </w:r>
      </w:fldSimple>
      <w:fldSimple w:instr=" SEQ Heading2 ">
        <w:r>
          <w:rPr>
            <w:noProof/>
          </w:rPr>
          <w:t>4</w:t>
        </w:r>
      </w:fldSimple>
      <w:r w:rsidR="00513E33">
        <w:tab/>
        <w:t>Effective rates of industry assistance since 1970</w:t>
      </w:r>
    </w:p>
    <w:p w:rsidR="006A50C8" w:rsidRDefault="006A50C8" w:rsidP="006A50C8">
      <w:pPr>
        <w:pStyle w:val="BodyText"/>
      </w:pPr>
      <w:r>
        <w:t xml:space="preserve">The Commission has estimated assistance to the manufacturing and agricultural sectors since the early 1970s. The estimates have been derived in several ‘series’, each spanning a number of consecutive years, with each series retaining a common methodology, coverage of measures and data sources across those years. While methodologies and data sources have changed between series, taken together, the series provide a broad indication of directions and trends in assistance at the sectoral level. </w:t>
      </w:r>
    </w:p>
    <w:p w:rsidR="006A50C8" w:rsidRDefault="006A50C8" w:rsidP="006A50C8">
      <w:pPr>
        <w:pStyle w:val="BodyText"/>
      </w:pPr>
      <w:r>
        <w:t>Figure </w:t>
      </w:r>
      <w:r w:rsidR="00796F18">
        <w:fldChar w:fldCharType="begin"/>
      </w:r>
      <w:r w:rsidR="00796F18">
        <w:instrText xml:space="preserve"> LINK </w:instrText>
      </w:r>
      <w:r w:rsidR="00655E7D">
        <w:instrText xml:space="preserve">Word.Document.12 "\\\\nch1\\esb\\T A R\\2011-12\\AAreport\\12 - Ch2 - Assistance estimates.docx" OLE_LINK7 </w:instrText>
      </w:r>
      <w:r w:rsidR="00796F18">
        <w:instrText xml:space="preserve">\a \t \u </w:instrText>
      </w:r>
      <w:r w:rsidR="00796F18">
        <w:fldChar w:fldCharType="separate"/>
      </w:r>
      <w:r w:rsidR="00655E7D">
        <w:t>2.6</w:t>
      </w:r>
      <w:r w:rsidR="00796F18">
        <w:fldChar w:fldCharType="end"/>
      </w:r>
      <w:r>
        <w:t xml:space="preserve"> presents effective rate estimates from the different series from 1970</w:t>
      </w:r>
      <w:r>
        <w:noBreakHyphen/>
        <w:t xml:space="preserve">71 to the present. Breaks in the series are represented by gaps in the chart, and overlaps are included to show the effects of the methodological and data changes made in moving between series. </w:t>
      </w:r>
      <w:r w:rsidR="00596D5D">
        <w:t>In figure </w:t>
      </w:r>
      <w:r w:rsidR="00796F18">
        <w:fldChar w:fldCharType="begin"/>
      </w:r>
      <w:r w:rsidR="00796F18">
        <w:instrText xml:space="preserve"> LINK </w:instrText>
      </w:r>
      <w:r w:rsidR="00655E7D">
        <w:instrText xml:space="preserve">Word.Document.12 "\\\\nch1\\esb\\T A R\\2011-12\\AAreport\\12 - Ch2 - Assistance estimates.docx" OLE_LINK7 </w:instrText>
      </w:r>
      <w:r w:rsidR="00796F18">
        <w:instrText xml:space="preserve">\a \t \u </w:instrText>
      </w:r>
      <w:r w:rsidR="00796F18">
        <w:fldChar w:fldCharType="separate"/>
      </w:r>
      <w:r w:rsidR="00655E7D">
        <w:t>2.6</w:t>
      </w:r>
      <w:r w:rsidR="00796F18">
        <w:fldChar w:fldCharType="end"/>
      </w:r>
      <w:r w:rsidR="00596D5D">
        <w:t xml:space="preserve">, </w:t>
      </w:r>
      <w:r w:rsidR="00DE0A8B">
        <w:t>e</w:t>
      </w:r>
      <w:r w:rsidR="00596D5D">
        <w:t>stimates of the effective rate of assistance for the previous 2004</w:t>
      </w:r>
      <w:r w:rsidR="00596D5D">
        <w:noBreakHyphen/>
        <w:t>05 benchmarked series are reported for the years 2003</w:t>
      </w:r>
      <w:r w:rsidR="00596D5D">
        <w:noBreakHyphen/>
        <w:t>04 to 2008</w:t>
      </w:r>
      <w:r w:rsidR="00596D5D">
        <w:noBreakHyphen/>
        <w:t>09. Estimates for the new 2008</w:t>
      </w:r>
      <w:r w:rsidR="00F740C8">
        <w:noBreakHyphen/>
      </w:r>
      <w:r w:rsidR="00596D5D">
        <w:t>09 benchmark series are reported for the years 2006</w:t>
      </w:r>
      <w:r w:rsidR="00596D5D">
        <w:noBreakHyphen/>
        <w:t>07 to 2011</w:t>
      </w:r>
      <w:r w:rsidR="00596D5D">
        <w:noBreakHyphen/>
        <w:t xml:space="preserve">12. The overlapping estimates are also shown in expanded form in an insert in the figure. </w:t>
      </w:r>
    </w:p>
    <w:p w:rsidR="006A50C8" w:rsidRDefault="006A50C8" w:rsidP="006A50C8">
      <w:pPr>
        <w:pStyle w:val="Heading3"/>
      </w:pPr>
      <w:r>
        <w:t>Manufacturing</w:t>
      </w:r>
    </w:p>
    <w:p w:rsidR="006A50C8" w:rsidRDefault="006A50C8" w:rsidP="006A50C8">
      <w:pPr>
        <w:pStyle w:val="BodyText"/>
      </w:pPr>
      <w:r>
        <w:t>The estimates indicate a marked decline in measured assistance to the manufacturing sector particularly over the 23 year period from 1974</w:t>
      </w:r>
      <w:r>
        <w:noBreakHyphen/>
        <w:t>75 to 1996</w:t>
      </w:r>
      <w:r>
        <w:noBreakHyphen/>
        <w:t>97. The estimated effective rate of assistance for manufacturing as a whole (as calculated in the first series) was around 35 per cent in 1970</w:t>
      </w:r>
      <w:r>
        <w:noBreakHyphen/>
        <w:t>71 when the estimates were first calculated, whereas since the late 1990s, the rate (as calculated in the new 2008</w:t>
      </w:r>
      <w:r>
        <w:noBreakHyphen/>
        <w:t>09 series and previous 2004</w:t>
      </w:r>
      <w:r>
        <w:noBreakHyphen/>
        <w:t>05 and 2001</w:t>
      </w:r>
      <w:r>
        <w:noBreakHyphen/>
        <w:t>02 series) has been around 5 per cent</w:t>
      </w:r>
      <w:r w:rsidR="00370252">
        <w:t xml:space="preserve"> or less</w:t>
      </w:r>
      <w:r>
        <w:t xml:space="preserve">. </w:t>
      </w:r>
    </w:p>
    <w:p w:rsidR="006A50C8" w:rsidRPr="00513E33" w:rsidRDefault="006A50C8" w:rsidP="006A50C8">
      <w:pPr>
        <w:pStyle w:val="BodyText"/>
      </w:pPr>
      <w:r>
        <w:t xml:space="preserve">Major influences on this decline in manufacturing assistance over the past four decades have been the 25 per cent across-the-board tariff cut of 1973, the abolition of (subsequent) tariff quotas and the broad programs of tariff reductions that commenced in the late 1980s. Recent declines have been </w:t>
      </w:r>
      <w:r w:rsidR="00370252">
        <w:t xml:space="preserve">mainly </w:t>
      </w:r>
      <w:r>
        <w:t xml:space="preserve">associated with </w:t>
      </w:r>
      <w:r>
        <w:lastRenderedPageBreak/>
        <w:t xml:space="preserve">reductions in tariff assistance to the TCF and passenger motor vehicle industries. </w:t>
      </w:r>
      <w:r w:rsidRPr="00E1556D">
        <w:t>A 5 per cent tariff, levied on over 50 per cent of manufactured items of merchandise trade</w:t>
      </w:r>
      <w:r>
        <w:t xml:space="preserve">, continues to provide assistance to </w:t>
      </w:r>
      <w:r w:rsidR="00370252">
        <w:t xml:space="preserve">a range of </w:t>
      </w:r>
      <w:r>
        <w:t xml:space="preserve">manufacturing activities, </w:t>
      </w:r>
      <w:r w:rsidR="00370252">
        <w:t xml:space="preserve">as well as </w:t>
      </w:r>
      <w:r>
        <w:t xml:space="preserve">an associated impost on consumers and industry and costs to government administration. </w:t>
      </w:r>
    </w:p>
    <w:p w:rsidR="006A50C8" w:rsidRDefault="006A50C8" w:rsidP="006A50C8">
      <w:pPr>
        <w:pStyle w:val="FigureTitle"/>
      </w:pPr>
      <w:r>
        <w:rPr>
          <w:b w:val="0"/>
        </w:rPr>
        <w:t xml:space="preserve">Figure </w:t>
      </w:r>
      <w:bookmarkStart w:id="21" w:name="OLE_LINK7"/>
      <w:r>
        <w:rPr>
          <w:b w:val="0"/>
        </w:rPr>
        <w:fldChar w:fldCharType="begin"/>
      </w:r>
      <w:r>
        <w:rPr>
          <w:b w:val="0"/>
        </w:rPr>
        <w:instrText xml:space="preserve"> COMMENTS  \* MERGEFORMAT </w:instrText>
      </w:r>
      <w:r>
        <w:rPr>
          <w:b w:val="0"/>
        </w:rPr>
        <w:fldChar w:fldCharType="separate"/>
      </w:r>
      <w:r w:rsidR="00655E7D">
        <w:rPr>
          <w:b w:val="0"/>
        </w:rPr>
        <w:t>2.</w:t>
      </w:r>
      <w:r>
        <w:rPr>
          <w:b w:val="0"/>
        </w:rPr>
        <w:fldChar w:fldCharType="end"/>
      </w:r>
      <w:r>
        <w:rPr>
          <w:b w:val="0"/>
        </w:rPr>
        <w:fldChar w:fldCharType="begin"/>
      </w:r>
      <w:r>
        <w:rPr>
          <w:b w:val="0"/>
        </w:rPr>
        <w:instrText xml:space="preserve"> SEQ Figure \* ARABIC </w:instrText>
      </w:r>
      <w:r>
        <w:rPr>
          <w:b w:val="0"/>
        </w:rPr>
        <w:fldChar w:fldCharType="separate"/>
      </w:r>
      <w:r w:rsidR="00E12ECE">
        <w:rPr>
          <w:b w:val="0"/>
          <w:noProof/>
        </w:rPr>
        <w:t>6</w:t>
      </w:r>
      <w:r>
        <w:rPr>
          <w:b w:val="0"/>
        </w:rPr>
        <w:fldChar w:fldCharType="end"/>
      </w:r>
      <w:bookmarkEnd w:id="21"/>
      <w:r>
        <w:tab/>
        <w:t>Effective rates of assistance to manufacturing and agriculture</w:t>
      </w:r>
      <w:r w:rsidR="00B06FA8" w:rsidRPr="00115B98">
        <w:rPr>
          <w:rStyle w:val="NoteLabel"/>
        </w:rPr>
        <w:t>a</w:t>
      </w:r>
      <w:r>
        <w:t>, 1970</w:t>
      </w:r>
      <w:r>
        <w:noBreakHyphen/>
        <w:t>71 to 2011</w:t>
      </w:r>
      <w:r>
        <w:noBreakHyphen/>
        <w:t>12</w:t>
      </w:r>
    </w:p>
    <w:p w:rsidR="006A50C8" w:rsidRDefault="006A50C8" w:rsidP="006A50C8">
      <w:pPr>
        <w:pStyle w:val="Subtitle"/>
      </w:pPr>
      <w:r>
        <w:t>per cent</w:t>
      </w:r>
    </w:p>
    <w:tbl>
      <w:tblPr>
        <w:tblW w:w="8823" w:type="dxa"/>
        <w:tblInd w:w="119" w:type="dxa"/>
        <w:tblBorders>
          <w:top w:val="single" w:sz="6" w:space="0" w:color="auto"/>
          <w:bottom w:val="single" w:sz="6" w:space="0" w:color="auto"/>
        </w:tblBorders>
        <w:tblLayout w:type="fixed"/>
        <w:tblLook w:val="0000" w:firstRow="0" w:lastRow="0" w:firstColumn="0" w:lastColumn="0" w:noHBand="0" w:noVBand="0"/>
      </w:tblPr>
      <w:tblGrid>
        <w:gridCol w:w="8823"/>
      </w:tblGrid>
      <w:tr w:rsidR="006A50C8" w:rsidTr="003B3B8F">
        <w:tc>
          <w:tcPr>
            <w:tcW w:w="8823" w:type="dxa"/>
          </w:tcPr>
          <w:p w:rsidR="006A50C8" w:rsidRDefault="00E12ECE" w:rsidP="00817051">
            <w:pPr>
              <w:pStyle w:val="Figure"/>
            </w:pPr>
            <w:r>
              <w:rPr>
                <w:noProof/>
              </w:rPr>
              <w:drawing>
                <wp:inline distT="0" distB="0" distL="0" distR="0" wp14:anchorId="07B79245" wp14:editId="36AEAFEE">
                  <wp:extent cx="5462308" cy="3219610"/>
                  <wp:effectExtent l="0" t="0" r="5080" b="0"/>
                  <wp:docPr id="3" name="Picture 3" descr="Figure 2.6. Effective rates of assistance to manufacturing and agriculturea, 1970-71 to 2011-12. This figure is described in the surrounding tex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461335" cy="3219037"/>
                          </a:xfrm>
                          <a:prstGeom prst="rect">
                            <a:avLst/>
                          </a:prstGeom>
                        </pic:spPr>
                      </pic:pic>
                    </a:graphicData>
                  </a:graphic>
                </wp:inline>
              </w:drawing>
            </w:r>
          </w:p>
        </w:tc>
      </w:tr>
    </w:tbl>
    <w:p w:rsidR="00B06FA8" w:rsidRDefault="00B06FA8" w:rsidP="00115B98">
      <w:pPr>
        <w:pStyle w:val="Note"/>
        <w:rPr>
          <w:i/>
        </w:rPr>
      </w:pPr>
      <w:r>
        <w:rPr>
          <w:rStyle w:val="NoteLabel"/>
        </w:rPr>
        <w:t>a </w:t>
      </w:r>
      <w:r>
        <w:t>Refers to selected a</w:t>
      </w:r>
      <w:r w:rsidRPr="00115B98">
        <w:t>gric</w:t>
      </w:r>
      <w:r>
        <w:t>ulture activities up to and including the year 200</w:t>
      </w:r>
      <w:r w:rsidR="00EA1622">
        <w:t>0</w:t>
      </w:r>
      <w:r w:rsidR="00EA1622">
        <w:noBreakHyphen/>
        <w:t xml:space="preserve">01. From 2001-02, estimates refer to </w:t>
      </w:r>
      <w:r w:rsidR="003B6E3C">
        <w:t xml:space="preserve">division A of the Australian and New Zealand Standard Industrial Classification which covers </w:t>
      </w:r>
      <w:r w:rsidR="00EA1622">
        <w:t xml:space="preserve">agriculture, forestry, fishing and hunting </w:t>
      </w:r>
      <w:r w:rsidR="005532FE">
        <w:t>activities</w:t>
      </w:r>
      <w:r w:rsidR="003B6E3C">
        <w:t>.</w:t>
      </w:r>
    </w:p>
    <w:p w:rsidR="006A50C8" w:rsidRDefault="00E1556D" w:rsidP="006A50C8">
      <w:pPr>
        <w:pStyle w:val="Source"/>
      </w:pPr>
      <w:r>
        <w:rPr>
          <w:i/>
        </w:rPr>
        <w:t>S</w:t>
      </w:r>
      <w:r w:rsidR="006A50C8">
        <w:rPr>
          <w:i/>
        </w:rPr>
        <w:t>ource</w:t>
      </w:r>
      <w:r w:rsidR="006A50C8" w:rsidRPr="00167F06">
        <w:t xml:space="preserve">: </w:t>
      </w:r>
      <w:r w:rsidR="006A50C8">
        <w:t xml:space="preserve">Commission estimates. </w:t>
      </w:r>
    </w:p>
    <w:p w:rsidR="00F864BF" w:rsidRDefault="007C52A2" w:rsidP="00F864BF">
      <w:pPr>
        <w:pStyle w:val="Heading3"/>
      </w:pPr>
      <w:r>
        <w:t>A</w:t>
      </w:r>
      <w:r w:rsidR="00F864BF">
        <w:t>griculture (primary production)</w:t>
      </w:r>
    </w:p>
    <w:p w:rsidR="00F864BF" w:rsidRDefault="00F864BF" w:rsidP="00F864BF">
      <w:pPr>
        <w:pStyle w:val="BodyText"/>
      </w:pPr>
      <w:r>
        <w:t>For agriculture, the estimated effective rate of assistance (as calculated in the first series) was over 25 per cent in 1970</w:t>
      </w:r>
      <w:r>
        <w:noBreakHyphen/>
        <w:t>71 and, by 1974</w:t>
      </w:r>
      <w:r>
        <w:noBreakHyphen/>
        <w:t>75, it had fallen to about 8 per cent. The subsequent volatility in the agricultural estimates, particularly through the 1970s and 1980s, reflects variation in differences between domestic support prices and world prices (used for assistance benchmarks) as well as the impact of drought and other factors on output and assistance conferred on the sector.</w:t>
      </w:r>
    </w:p>
    <w:p w:rsidR="00513E33" w:rsidRDefault="006A50C8" w:rsidP="00E9659E">
      <w:pPr>
        <w:pStyle w:val="BodyText"/>
      </w:pPr>
      <w:r w:rsidRPr="00423181">
        <w:lastRenderedPageBreak/>
        <w:t>The rise in the effective rate of assistance to agriculture in 2006</w:t>
      </w:r>
      <w:r>
        <w:noBreakHyphen/>
      </w:r>
      <w:r w:rsidRPr="00423181">
        <w:t>07 and 2007</w:t>
      </w:r>
      <w:r>
        <w:noBreakHyphen/>
      </w:r>
      <w:r w:rsidRPr="00423181">
        <w:t>08 reflects significant increases in Exceptional Circumstances drought relief payments and interest rate subsidies at the height of the drought through much of Australia. Such assistance has since declined significantly and the estimated assistance to the sector overall has declined to around 3</w:t>
      </w:r>
      <w:r>
        <w:t> </w:t>
      </w:r>
      <w:r w:rsidRPr="00423181">
        <w:t>per</w:t>
      </w:r>
      <w:r>
        <w:t> </w:t>
      </w:r>
      <w:r w:rsidRPr="00423181">
        <w:t>cent.</w:t>
      </w:r>
      <w:r>
        <w:t xml:space="preserve"> </w:t>
      </w:r>
    </w:p>
    <w:p w:rsidR="00761879" w:rsidRDefault="00761879" w:rsidP="00E9659E">
      <w:pPr>
        <w:pStyle w:val="BodyText"/>
      </w:pPr>
    </w:p>
    <w:p w:rsidR="00761879" w:rsidRDefault="00761879" w:rsidP="00E9659E">
      <w:pPr>
        <w:pStyle w:val="BodyText"/>
      </w:pPr>
    </w:p>
    <w:p w:rsidR="00761879" w:rsidRDefault="00761879" w:rsidP="00E9659E">
      <w:pPr>
        <w:pStyle w:val="BodyText"/>
      </w:pPr>
    </w:p>
    <w:p w:rsidR="006C6F9A" w:rsidRDefault="006C6F9A" w:rsidP="00E9659E">
      <w:pPr>
        <w:pStyle w:val="BodyText"/>
        <w:sectPr w:rsidR="006C6F9A" w:rsidSect="00655E7D">
          <w:headerReference w:type="even" r:id="rId16"/>
          <w:headerReference w:type="default" r:id="rId17"/>
          <w:footerReference w:type="even" r:id="rId18"/>
          <w:footerReference w:type="default" r:id="rId19"/>
          <w:pgSz w:w="11907" w:h="16840" w:code="9"/>
          <w:pgMar w:top="1985" w:right="1304" w:bottom="1418" w:left="1814" w:header="1701" w:footer="567" w:gutter="0"/>
          <w:pgNumType w:start="13" w:chapSep="period"/>
          <w:cols w:space="720"/>
        </w:sectPr>
      </w:pPr>
    </w:p>
    <w:p w:rsidR="00761879" w:rsidRPr="00513E33" w:rsidRDefault="00761879" w:rsidP="00E9659E">
      <w:pPr>
        <w:pStyle w:val="BodyText"/>
      </w:pPr>
    </w:p>
    <w:sectPr w:rsidR="00761879" w:rsidRPr="00513E33" w:rsidSect="006C6F9A">
      <w:headerReference w:type="even" r:id="rId20"/>
      <w:footerReference w:type="even" r:id="rId21"/>
      <w:type w:val="evenPage"/>
      <w:pgSz w:w="11907" w:h="16840" w:code="9"/>
      <w:pgMar w:top="1985" w:right="1304" w:bottom="1418" w:left="1814" w:header="1701" w:footer="567" w:gutter="0"/>
      <w:pgNumType w:start="13"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2D30" w:rsidRDefault="00D02D30">
      <w:r>
        <w:separator/>
      </w:r>
    </w:p>
  </w:endnote>
  <w:endnote w:type="continuationSeparator" w:id="0">
    <w:p w:rsidR="00D02D30" w:rsidRDefault="00D02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D02D30">
      <w:trPr>
        <w:trHeight w:hRule="exact" w:val="740"/>
      </w:trPr>
      <w:tc>
        <w:tcPr>
          <w:tcW w:w="510" w:type="dxa"/>
          <w:tcBorders>
            <w:top w:val="single" w:sz="6" w:space="0" w:color="auto"/>
          </w:tcBorders>
        </w:tcPr>
        <w:p w:rsidR="00D02D30" w:rsidRDefault="00D02D30"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8C4629">
            <w:rPr>
              <w:rStyle w:val="PageNumber"/>
              <w:noProof/>
            </w:rPr>
            <w:t>36</w:t>
          </w:r>
          <w:r>
            <w:rPr>
              <w:rStyle w:val="PageNumber"/>
            </w:rPr>
            <w:fldChar w:fldCharType="end"/>
          </w:r>
        </w:p>
      </w:tc>
      <w:tc>
        <w:tcPr>
          <w:tcW w:w="1644" w:type="dxa"/>
          <w:tcBorders>
            <w:top w:val="single" w:sz="6" w:space="0" w:color="auto"/>
          </w:tcBorders>
        </w:tcPr>
        <w:p w:rsidR="00D02D30" w:rsidRDefault="00E12ECE" w:rsidP="0019293B">
          <w:pPr>
            <w:pStyle w:val="Footer"/>
          </w:pPr>
          <w:fldSimple w:instr=" SUBJECT  \* MERGEFORMAT ">
            <w:r>
              <w:t>Trade &amp; Assistance Review 2011-12</w:t>
            </w:r>
          </w:fldSimple>
        </w:p>
      </w:tc>
      <w:tc>
        <w:tcPr>
          <w:tcW w:w="6634" w:type="dxa"/>
        </w:tcPr>
        <w:p w:rsidR="00D02D30" w:rsidRDefault="00D02D30" w:rsidP="0019293B">
          <w:pPr>
            <w:pStyle w:val="Footer"/>
          </w:pPr>
        </w:p>
      </w:tc>
    </w:tr>
  </w:tbl>
  <w:p w:rsidR="00D02D30" w:rsidRDefault="00D02D30"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D02D30">
      <w:trPr>
        <w:trHeight w:hRule="exact" w:val="740"/>
      </w:trPr>
      <w:tc>
        <w:tcPr>
          <w:tcW w:w="6634" w:type="dxa"/>
        </w:tcPr>
        <w:p w:rsidR="00D02D30" w:rsidRDefault="00D02D30">
          <w:pPr>
            <w:pStyle w:val="Footer"/>
            <w:ind w:right="360" w:firstLine="360"/>
          </w:pPr>
        </w:p>
      </w:tc>
      <w:tc>
        <w:tcPr>
          <w:tcW w:w="1644" w:type="dxa"/>
          <w:tcBorders>
            <w:top w:val="single" w:sz="6" w:space="0" w:color="auto"/>
          </w:tcBorders>
        </w:tcPr>
        <w:p w:rsidR="00D02D30" w:rsidRDefault="00E12ECE">
          <w:pPr>
            <w:pStyle w:val="Footer"/>
          </w:pPr>
          <w:fldSimple w:instr=" TITLE  \* MERGEFORMAT ">
            <w:r>
              <w:t>Assistance estimates</w:t>
            </w:r>
          </w:fldSimple>
        </w:p>
      </w:tc>
      <w:tc>
        <w:tcPr>
          <w:tcW w:w="510" w:type="dxa"/>
          <w:tcBorders>
            <w:top w:val="single" w:sz="6" w:space="0" w:color="auto"/>
          </w:tcBorders>
        </w:tcPr>
        <w:p w:rsidR="00D02D30" w:rsidRDefault="00D02D30">
          <w:pPr>
            <w:pStyle w:val="Footer"/>
            <w:jc w:val="right"/>
          </w:pPr>
          <w:r>
            <w:rPr>
              <w:rStyle w:val="PageNumber"/>
            </w:rPr>
            <w:fldChar w:fldCharType="begin"/>
          </w:r>
          <w:r>
            <w:rPr>
              <w:rStyle w:val="PageNumber"/>
            </w:rPr>
            <w:instrText xml:space="preserve">PAGE  </w:instrText>
          </w:r>
          <w:r>
            <w:rPr>
              <w:rStyle w:val="PageNumber"/>
            </w:rPr>
            <w:fldChar w:fldCharType="separate"/>
          </w:r>
          <w:r w:rsidR="008C4629">
            <w:rPr>
              <w:rStyle w:val="PageNumber"/>
              <w:noProof/>
            </w:rPr>
            <w:t>13</w:t>
          </w:r>
          <w:r>
            <w:rPr>
              <w:rStyle w:val="PageNumber"/>
            </w:rPr>
            <w:fldChar w:fldCharType="end"/>
          </w:r>
        </w:p>
      </w:tc>
    </w:tr>
  </w:tbl>
  <w:p w:rsidR="00D02D30" w:rsidRDefault="00D02D30">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D30" w:rsidRDefault="00D02D30" w:rsidP="0019293B">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2D30" w:rsidRDefault="00D02D30">
      <w:r>
        <w:separator/>
      </w:r>
    </w:p>
  </w:footnote>
  <w:footnote w:type="continuationSeparator" w:id="0">
    <w:p w:rsidR="00D02D30" w:rsidRDefault="00D02D30">
      <w:r>
        <w:continuationSeparator/>
      </w:r>
    </w:p>
  </w:footnote>
  <w:footnote w:id="1">
    <w:p w:rsidR="00D02D30" w:rsidRDefault="00D02D30" w:rsidP="001811B6">
      <w:pPr>
        <w:pStyle w:val="FootnoteText"/>
      </w:pPr>
      <w:r>
        <w:rPr>
          <w:rStyle w:val="FootnoteReference"/>
        </w:rPr>
        <w:footnoteRef/>
      </w:r>
      <w:r>
        <w:t xml:space="preserve"> Taxation concessions on retirement savings associated with Australia’s compulsory superannuation arrangements, while providing incidental benefits to the finance sector as the provider of financial services, are not included in the Commission’s assistance estimates.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02D30">
      <w:tc>
        <w:tcPr>
          <w:tcW w:w="2155" w:type="dxa"/>
          <w:tcBorders>
            <w:top w:val="single" w:sz="24" w:space="0" w:color="auto"/>
          </w:tcBorders>
        </w:tcPr>
        <w:p w:rsidR="00D02D30" w:rsidRDefault="00D02D30" w:rsidP="0019293B">
          <w:pPr>
            <w:pStyle w:val="HeaderEven"/>
          </w:pPr>
        </w:p>
      </w:tc>
      <w:tc>
        <w:tcPr>
          <w:tcW w:w="6634" w:type="dxa"/>
          <w:tcBorders>
            <w:top w:val="single" w:sz="6" w:space="0" w:color="auto"/>
          </w:tcBorders>
        </w:tcPr>
        <w:p w:rsidR="00D02D30" w:rsidRDefault="00D02D30" w:rsidP="0019293B">
          <w:pPr>
            <w:pStyle w:val="HeaderEven"/>
          </w:pPr>
        </w:p>
      </w:tc>
    </w:tr>
  </w:tbl>
  <w:p w:rsidR="00D02D30" w:rsidRDefault="00D02D30"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02D30">
      <w:tc>
        <w:tcPr>
          <w:tcW w:w="6634" w:type="dxa"/>
          <w:tcBorders>
            <w:top w:val="single" w:sz="6" w:space="0" w:color="auto"/>
          </w:tcBorders>
        </w:tcPr>
        <w:p w:rsidR="00D02D30" w:rsidRDefault="00D02D30" w:rsidP="00E669E2">
          <w:pPr>
            <w:pStyle w:val="HeaderOdd"/>
          </w:pPr>
        </w:p>
      </w:tc>
      <w:tc>
        <w:tcPr>
          <w:tcW w:w="2155" w:type="dxa"/>
          <w:tcBorders>
            <w:top w:val="single" w:sz="24" w:space="0" w:color="auto"/>
          </w:tcBorders>
        </w:tcPr>
        <w:p w:rsidR="00D02D30" w:rsidRDefault="00D02D30" w:rsidP="00E669E2">
          <w:pPr>
            <w:pStyle w:val="HeaderOdd"/>
          </w:pPr>
        </w:p>
      </w:tc>
    </w:tr>
  </w:tbl>
  <w:p w:rsidR="00D02D30" w:rsidRDefault="00D02D30"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D30" w:rsidRDefault="00D02D30" w:rsidP="0019293B">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 w:numId="49">
    <w:abstractNumId w:val="6"/>
    <w:lvlOverride w:ilvl="0">
      <w:lvl w:ilvl="0">
        <w:numFmt w:val="bullet"/>
        <w:lvlText w:val="•"/>
        <w:legacy w:legacy="1" w:legacySpace="0" w:legacyIndent="0"/>
        <w:lvlJc w:val="left"/>
        <w:rPr>
          <w:rFonts w:ascii="Arial" w:hAnsi="Arial" w:cs="Arial" w:hint="default"/>
          <w:sz w:val="16"/>
        </w:rPr>
      </w:lvl>
    </w:lvlOverride>
  </w:num>
  <w:num w:numId="50">
    <w:abstractNumId w:val="6"/>
    <w:lvlOverride w:ilvl="0">
      <w:lvl w:ilvl="0">
        <w:numFmt w:val="bullet"/>
        <w:lvlText w:val="•"/>
        <w:legacy w:legacy="1" w:legacySpace="0" w:legacyIndent="0"/>
        <w:lvlJc w:val="left"/>
        <w:rPr>
          <w:rFonts w:ascii="Arial" w:hAnsi="Arial" w:cs="Aria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5"/>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Assistance estimates"/>
    <w:docVar w:name="ShortReportTitle" w:val="Trade &amp; Assistance Review 2011-12"/>
  </w:docVars>
  <w:rsids>
    <w:rsidRoot w:val="00227FC6"/>
    <w:rsid w:val="0000122C"/>
    <w:rsid w:val="0000593E"/>
    <w:rsid w:val="00010CBA"/>
    <w:rsid w:val="00017F4E"/>
    <w:rsid w:val="00020B7F"/>
    <w:rsid w:val="000227D5"/>
    <w:rsid w:val="00022C36"/>
    <w:rsid w:val="000245AA"/>
    <w:rsid w:val="0002533D"/>
    <w:rsid w:val="00026BC6"/>
    <w:rsid w:val="00034963"/>
    <w:rsid w:val="0003652F"/>
    <w:rsid w:val="0003664B"/>
    <w:rsid w:val="00040F7D"/>
    <w:rsid w:val="0004111F"/>
    <w:rsid w:val="00042257"/>
    <w:rsid w:val="000437DE"/>
    <w:rsid w:val="000565B3"/>
    <w:rsid w:val="000567A8"/>
    <w:rsid w:val="000647CB"/>
    <w:rsid w:val="0007150B"/>
    <w:rsid w:val="0007480D"/>
    <w:rsid w:val="00076BB0"/>
    <w:rsid w:val="00080A0A"/>
    <w:rsid w:val="00081CDE"/>
    <w:rsid w:val="00086DB1"/>
    <w:rsid w:val="00090BAE"/>
    <w:rsid w:val="000938F5"/>
    <w:rsid w:val="00096E55"/>
    <w:rsid w:val="000A55F0"/>
    <w:rsid w:val="000B1432"/>
    <w:rsid w:val="000B601B"/>
    <w:rsid w:val="000B70C5"/>
    <w:rsid w:val="000C207E"/>
    <w:rsid w:val="000D3E2E"/>
    <w:rsid w:val="000E0112"/>
    <w:rsid w:val="000E117F"/>
    <w:rsid w:val="000E37E3"/>
    <w:rsid w:val="000E38F6"/>
    <w:rsid w:val="000E58B5"/>
    <w:rsid w:val="000E5B81"/>
    <w:rsid w:val="000F0035"/>
    <w:rsid w:val="000F2BA7"/>
    <w:rsid w:val="000F2DF7"/>
    <w:rsid w:val="000F2ECC"/>
    <w:rsid w:val="000F420B"/>
    <w:rsid w:val="001002E7"/>
    <w:rsid w:val="00101B46"/>
    <w:rsid w:val="00110116"/>
    <w:rsid w:val="00115B98"/>
    <w:rsid w:val="00115F6F"/>
    <w:rsid w:val="00120072"/>
    <w:rsid w:val="00122347"/>
    <w:rsid w:val="001251DC"/>
    <w:rsid w:val="00126EB8"/>
    <w:rsid w:val="001274D4"/>
    <w:rsid w:val="00132CD5"/>
    <w:rsid w:val="00132DEE"/>
    <w:rsid w:val="001363AA"/>
    <w:rsid w:val="0014396D"/>
    <w:rsid w:val="00143D93"/>
    <w:rsid w:val="00144D66"/>
    <w:rsid w:val="00156417"/>
    <w:rsid w:val="00162327"/>
    <w:rsid w:val="0016352B"/>
    <w:rsid w:val="00163B8B"/>
    <w:rsid w:val="00166449"/>
    <w:rsid w:val="0017272D"/>
    <w:rsid w:val="00172F88"/>
    <w:rsid w:val="001735BC"/>
    <w:rsid w:val="001811B6"/>
    <w:rsid w:val="00182B71"/>
    <w:rsid w:val="00182E39"/>
    <w:rsid w:val="00183E82"/>
    <w:rsid w:val="001878BB"/>
    <w:rsid w:val="00191AE0"/>
    <w:rsid w:val="0019293B"/>
    <w:rsid w:val="00197C8C"/>
    <w:rsid w:val="00197E09"/>
    <w:rsid w:val="001B296B"/>
    <w:rsid w:val="001B4CA4"/>
    <w:rsid w:val="001C0865"/>
    <w:rsid w:val="001C3ABA"/>
    <w:rsid w:val="001D3023"/>
    <w:rsid w:val="001E6888"/>
    <w:rsid w:val="001E7356"/>
    <w:rsid w:val="001E7BE8"/>
    <w:rsid w:val="001F0248"/>
    <w:rsid w:val="001F3EB3"/>
    <w:rsid w:val="001F4F86"/>
    <w:rsid w:val="001F73ED"/>
    <w:rsid w:val="00200CB3"/>
    <w:rsid w:val="00202C2C"/>
    <w:rsid w:val="00206D23"/>
    <w:rsid w:val="00210081"/>
    <w:rsid w:val="00211114"/>
    <w:rsid w:val="00213045"/>
    <w:rsid w:val="002135AB"/>
    <w:rsid w:val="002144BE"/>
    <w:rsid w:val="00220052"/>
    <w:rsid w:val="00227FC6"/>
    <w:rsid w:val="00232BC7"/>
    <w:rsid w:val="00240BEE"/>
    <w:rsid w:val="00242279"/>
    <w:rsid w:val="00245C82"/>
    <w:rsid w:val="002462A1"/>
    <w:rsid w:val="0025181E"/>
    <w:rsid w:val="00252C44"/>
    <w:rsid w:val="00252F2A"/>
    <w:rsid w:val="00253865"/>
    <w:rsid w:val="00253D14"/>
    <w:rsid w:val="00261699"/>
    <w:rsid w:val="00266F53"/>
    <w:rsid w:val="00280131"/>
    <w:rsid w:val="00280E25"/>
    <w:rsid w:val="00283A8F"/>
    <w:rsid w:val="00287173"/>
    <w:rsid w:val="00287C06"/>
    <w:rsid w:val="0029147F"/>
    <w:rsid w:val="00291B40"/>
    <w:rsid w:val="00295C4B"/>
    <w:rsid w:val="00297A6A"/>
    <w:rsid w:val="002A32D8"/>
    <w:rsid w:val="002A4215"/>
    <w:rsid w:val="002A4F97"/>
    <w:rsid w:val="002B0A4D"/>
    <w:rsid w:val="002B2F12"/>
    <w:rsid w:val="002B309E"/>
    <w:rsid w:val="002B3722"/>
    <w:rsid w:val="002B4008"/>
    <w:rsid w:val="002D0C96"/>
    <w:rsid w:val="002D0E8E"/>
    <w:rsid w:val="002D336F"/>
    <w:rsid w:val="002D4A59"/>
    <w:rsid w:val="002E1D4D"/>
    <w:rsid w:val="002E286E"/>
    <w:rsid w:val="002E5303"/>
    <w:rsid w:val="002E5839"/>
    <w:rsid w:val="002F7208"/>
    <w:rsid w:val="00301189"/>
    <w:rsid w:val="00313426"/>
    <w:rsid w:val="00317A99"/>
    <w:rsid w:val="00322992"/>
    <w:rsid w:val="00323E09"/>
    <w:rsid w:val="003269FB"/>
    <w:rsid w:val="00326A9D"/>
    <w:rsid w:val="0033028A"/>
    <w:rsid w:val="00333932"/>
    <w:rsid w:val="00344B04"/>
    <w:rsid w:val="0034556E"/>
    <w:rsid w:val="003518AA"/>
    <w:rsid w:val="00352165"/>
    <w:rsid w:val="00353182"/>
    <w:rsid w:val="003565D9"/>
    <w:rsid w:val="00360235"/>
    <w:rsid w:val="003602E1"/>
    <w:rsid w:val="00370252"/>
    <w:rsid w:val="0037026F"/>
    <w:rsid w:val="00371240"/>
    <w:rsid w:val="00371C59"/>
    <w:rsid w:val="00371CCC"/>
    <w:rsid w:val="00374731"/>
    <w:rsid w:val="00374860"/>
    <w:rsid w:val="00376E59"/>
    <w:rsid w:val="00385E35"/>
    <w:rsid w:val="00386FA4"/>
    <w:rsid w:val="003919F9"/>
    <w:rsid w:val="003A1597"/>
    <w:rsid w:val="003A4722"/>
    <w:rsid w:val="003A5D60"/>
    <w:rsid w:val="003B31F7"/>
    <w:rsid w:val="003B3B8F"/>
    <w:rsid w:val="003B65ED"/>
    <w:rsid w:val="003B6E3C"/>
    <w:rsid w:val="003C026A"/>
    <w:rsid w:val="003C0A56"/>
    <w:rsid w:val="003C38B5"/>
    <w:rsid w:val="003C4879"/>
    <w:rsid w:val="003C5D99"/>
    <w:rsid w:val="003E2F59"/>
    <w:rsid w:val="003E7E2F"/>
    <w:rsid w:val="003F0789"/>
    <w:rsid w:val="003F0F10"/>
    <w:rsid w:val="003F1D10"/>
    <w:rsid w:val="003F2C76"/>
    <w:rsid w:val="004001E3"/>
    <w:rsid w:val="0040074F"/>
    <w:rsid w:val="00401882"/>
    <w:rsid w:val="00403405"/>
    <w:rsid w:val="004079AD"/>
    <w:rsid w:val="004100C8"/>
    <w:rsid w:val="00411DBD"/>
    <w:rsid w:val="00412ACE"/>
    <w:rsid w:val="00415467"/>
    <w:rsid w:val="00416C0A"/>
    <w:rsid w:val="004209D4"/>
    <w:rsid w:val="00423181"/>
    <w:rsid w:val="00424E20"/>
    <w:rsid w:val="004251BD"/>
    <w:rsid w:val="0043075D"/>
    <w:rsid w:val="00431249"/>
    <w:rsid w:val="00434C19"/>
    <w:rsid w:val="004361A9"/>
    <w:rsid w:val="00436393"/>
    <w:rsid w:val="00440F1D"/>
    <w:rsid w:val="0044132B"/>
    <w:rsid w:val="0044484C"/>
    <w:rsid w:val="004500AB"/>
    <w:rsid w:val="00450810"/>
    <w:rsid w:val="004518E0"/>
    <w:rsid w:val="004554DF"/>
    <w:rsid w:val="00455CBB"/>
    <w:rsid w:val="00477144"/>
    <w:rsid w:val="00483090"/>
    <w:rsid w:val="00484B2D"/>
    <w:rsid w:val="00484EF9"/>
    <w:rsid w:val="00491380"/>
    <w:rsid w:val="00491CCB"/>
    <w:rsid w:val="0049459F"/>
    <w:rsid w:val="004A3015"/>
    <w:rsid w:val="004A38DD"/>
    <w:rsid w:val="004A7521"/>
    <w:rsid w:val="004B34BB"/>
    <w:rsid w:val="004B43AE"/>
    <w:rsid w:val="004C0FBA"/>
    <w:rsid w:val="004C1EFC"/>
    <w:rsid w:val="004C30ED"/>
    <w:rsid w:val="004C366A"/>
    <w:rsid w:val="004C765A"/>
    <w:rsid w:val="004D5675"/>
    <w:rsid w:val="004E5810"/>
    <w:rsid w:val="004E5920"/>
    <w:rsid w:val="00512A76"/>
    <w:rsid w:val="00513E33"/>
    <w:rsid w:val="0052147F"/>
    <w:rsid w:val="00521EC5"/>
    <w:rsid w:val="00523639"/>
    <w:rsid w:val="005309A1"/>
    <w:rsid w:val="00531FE5"/>
    <w:rsid w:val="0053795A"/>
    <w:rsid w:val="00541CE7"/>
    <w:rsid w:val="00543E03"/>
    <w:rsid w:val="00543FE1"/>
    <w:rsid w:val="005472C0"/>
    <w:rsid w:val="005532FE"/>
    <w:rsid w:val="005704A2"/>
    <w:rsid w:val="00572998"/>
    <w:rsid w:val="00583C39"/>
    <w:rsid w:val="005879C4"/>
    <w:rsid w:val="00587F28"/>
    <w:rsid w:val="005909BC"/>
    <w:rsid w:val="005909CF"/>
    <w:rsid w:val="00590BB1"/>
    <w:rsid w:val="00591249"/>
    <w:rsid w:val="00591E71"/>
    <w:rsid w:val="00596A29"/>
    <w:rsid w:val="00596D5D"/>
    <w:rsid w:val="005A0D41"/>
    <w:rsid w:val="005A480F"/>
    <w:rsid w:val="005A56D5"/>
    <w:rsid w:val="005A70C4"/>
    <w:rsid w:val="005B21D4"/>
    <w:rsid w:val="005D7612"/>
    <w:rsid w:val="005E5AFC"/>
    <w:rsid w:val="005E5EE1"/>
    <w:rsid w:val="005F7C4E"/>
    <w:rsid w:val="00607BF1"/>
    <w:rsid w:val="00611AA3"/>
    <w:rsid w:val="006153AA"/>
    <w:rsid w:val="00617F8E"/>
    <w:rsid w:val="00630D4D"/>
    <w:rsid w:val="00632A74"/>
    <w:rsid w:val="00634213"/>
    <w:rsid w:val="00634A61"/>
    <w:rsid w:val="0063600F"/>
    <w:rsid w:val="00650815"/>
    <w:rsid w:val="006541A7"/>
    <w:rsid w:val="00655E7D"/>
    <w:rsid w:val="00657396"/>
    <w:rsid w:val="006579E4"/>
    <w:rsid w:val="006707EC"/>
    <w:rsid w:val="0067729A"/>
    <w:rsid w:val="0068234E"/>
    <w:rsid w:val="006A0A54"/>
    <w:rsid w:val="006A4655"/>
    <w:rsid w:val="006A50C8"/>
    <w:rsid w:val="006B2B3C"/>
    <w:rsid w:val="006B671E"/>
    <w:rsid w:val="006C1D81"/>
    <w:rsid w:val="006C577B"/>
    <w:rsid w:val="006C6F9A"/>
    <w:rsid w:val="006C7038"/>
    <w:rsid w:val="006D1DB5"/>
    <w:rsid w:val="006D2C27"/>
    <w:rsid w:val="006D5BEE"/>
    <w:rsid w:val="006D63E8"/>
    <w:rsid w:val="006E6FC1"/>
    <w:rsid w:val="006E73EF"/>
    <w:rsid w:val="006E7756"/>
    <w:rsid w:val="006F66B1"/>
    <w:rsid w:val="00706C77"/>
    <w:rsid w:val="00710854"/>
    <w:rsid w:val="00714D4D"/>
    <w:rsid w:val="00715DE8"/>
    <w:rsid w:val="0073045D"/>
    <w:rsid w:val="007306C6"/>
    <w:rsid w:val="0073443E"/>
    <w:rsid w:val="00734B7C"/>
    <w:rsid w:val="007379EC"/>
    <w:rsid w:val="007423EF"/>
    <w:rsid w:val="00743A78"/>
    <w:rsid w:val="00744DEA"/>
    <w:rsid w:val="007451CF"/>
    <w:rsid w:val="007604BB"/>
    <w:rsid w:val="00761879"/>
    <w:rsid w:val="0076215B"/>
    <w:rsid w:val="00765F6A"/>
    <w:rsid w:val="00772866"/>
    <w:rsid w:val="0077743D"/>
    <w:rsid w:val="00781505"/>
    <w:rsid w:val="007834B8"/>
    <w:rsid w:val="00785232"/>
    <w:rsid w:val="00785D02"/>
    <w:rsid w:val="007902F0"/>
    <w:rsid w:val="007952D4"/>
    <w:rsid w:val="00796F18"/>
    <w:rsid w:val="007A033F"/>
    <w:rsid w:val="007A21EB"/>
    <w:rsid w:val="007B1A93"/>
    <w:rsid w:val="007B29E1"/>
    <w:rsid w:val="007C0321"/>
    <w:rsid w:val="007C36C9"/>
    <w:rsid w:val="007C52A2"/>
    <w:rsid w:val="007D1E1F"/>
    <w:rsid w:val="007D3290"/>
    <w:rsid w:val="007D606A"/>
    <w:rsid w:val="007D6401"/>
    <w:rsid w:val="007D71C1"/>
    <w:rsid w:val="007E01E4"/>
    <w:rsid w:val="007E3E60"/>
    <w:rsid w:val="007F3995"/>
    <w:rsid w:val="007F7107"/>
    <w:rsid w:val="00800D4C"/>
    <w:rsid w:val="0080106C"/>
    <w:rsid w:val="0081030F"/>
    <w:rsid w:val="008110CB"/>
    <w:rsid w:val="00817051"/>
    <w:rsid w:val="00817952"/>
    <w:rsid w:val="0082066C"/>
    <w:rsid w:val="0082087D"/>
    <w:rsid w:val="00822D0E"/>
    <w:rsid w:val="008239A1"/>
    <w:rsid w:val="00832708"/>
    <w:rsid w:val="008334F1"/>
    <w:rsid w:val="008354DD"/>
    <w:rsid w:val="00835771"/>
    <w:rsid w:val="00837D17"/>
    <w:rsid w:val="008411B1"/>
    <w:rsid w:val="00842933"/>
    <w:rsid w:val="00844B72"/>
    <w:rsid w:val="00845835"/>
    <w:rsid w:val="00856EE2"/>
    <w:rsid w:val="0086082C"/>
    <w:rsid w:val="0086136C"/>
    <w:rsid w:val="00864ADC"/>
    <w:rsid w:val="00872943"/>
    <w:rsid w:val="00880153"/>
    <w:rsid w:val="00880F97"/>
    <w:rsid w:val="0088133A"/>
    <w:rsid w:val="00881FB6"/>
    <w:rsid w:val="00886BE4"/>
    <w:rsid w:val="0089285E"/>
    <w:rsid w:val="00893B9E"/>
    <w:rsid w:val="0089436C"/>
    <w:rsid w:val="00896E20"/>
    <w:rsid w:val="008A677C"/>
    <w:rsid w:val="008B0682"/>
    <w:rsid w:val="008B3550"/>
    <w:rsid w:val="008C3141"/>
    <w:rsid w:val="008C4629"/>
    <w:rsid w:val="008C75F9"/>
    <w:rsid w:val="008D0AE6"/>
    <w:rsid w:val="008D365C"/>
    <w:rsid w:val="008D3A0C"/>
    <w:rsid w:val="008E18E0"/>
    <w:rsid w:val="008E1CC5"/>
    <w:rsid w:val="009030BF"/>
    <w:rsid w:val="00905AB4"/>
    <w:rsid w:val="0091032F"/>
    <w:rsid w:val="00911D2D"/>
    <w:rsid w:val="00914368"/>
    <w:rsid w:val="009176D4"/>
    <w:rsid w:val="00920739"/>
    <w:rsid w:val="00925055"/>
    <w:rsid w:val="0092676F"/>
    <w:rsid w:val="009306D4"/>
    <w:rsid w:val="00931076"/>
    <w:rsid w:val="009345D9"/>
    <w:rsid w:val="00934B15"/>
    <w:rsid w:val="009358A2"/>
    <w:rsid w:val="00941074"/>
    <w:rsid w:val="00942B62"/>
    <w:rsid w:val="00943FF6"/>
    <w:rsid w:val="0094771B"/>
    <w:rsid w:val="00951589"/>
    <w:rsid w:val="00956A0C"/>
    <w:rsid w:val="00956BD9"/>
    <w:rsid w:val="00962489"/>
    <w:rsid w:val="009630C2"/>
    <w:rsid w:val="009631B1"/>
    <w:rsid w:val="0098760C"/>
    <w:rsid w:val="00990C2C"/>
    <w:rsid w:val="009B6CBC"/>
    <w:rsid w:val="009C0A1F"/>
    <w:rsid w:val="009C128D"/>
    <w:rsid w:val="009C16CF"/>
    <w:rsid w:val="009C4FFE"/>
    <w:rsid w:val="009C72C9"/>
    <w:rsid w:val="009D20F9"/>
    <w:rsid w:val="009D74D8"/>
    <w:rsid w:val="009D7D6E"/>
    <w:rsid w:val="009F07DE"/>
    <w:rsid w:val="009F0D1B"/>
    <w:rsid w:val="009F2B9F"/>
    <w:rsid w:val="009F696D"/>
    <w:rsid w:val="009F6BC6"/>
    <w:rsid w:val="00A058F4"/>
    <w:rsid w:val="00A06584"/>
    <w:rsid w:val="00A1151F"/>
    <w:rsid w:val="00A13965"/>
    <w:rsid w:val="00A172AD"/>
    <w:rsid w:val="00A17328"/>
    <w:rsid w:val="00A230A2"/>
    <w:rsid w:val="00A23A20"/>
    <w:rsid w:val="00A243D8"/>
    <w:rsid w:val="00A24862"/>
    <w:rsid w:val="00A268B9"/>
    <w:rsid w:val="00A2703A"/>
    <w:rsid w:val="00A31AFD"/>
    <w:rsid w:val="00A32697"/>
    <w:rsid w:val="00A33DFF"/>
    <w:rsid w:val="00A35115"/>
    <w:rsid w:val="00A36D9A"/>
    <w:rsid w:val="00A406AC"/>
    <w:rsid w:val="00A40901"/>
    <w:rsid w:val="00A43897"/>
    <w:rsid w:val="00A43AE8"/>
    <w:rsid w:val="00A44BE6"/>
    <w:rsid w:val="00A554AB"/>
    <w:rsid w:val="00A56AE3"/>
    <w:rsid w:val="00A57062"/>
    <w:rsid w:val="00A60228"/>
    <w:rsid w:val="00A60C2B"/>
    <w:rsid w:val="00A654DD"/>
    <w:rsid w:val="00A66EAD"/>
    <w:rsid w:val="00A741A8"/>
    <w:rsid w:val="00A77DC7"/>
    <w:rsid w:val="00A80CE8"/>
    <w:rsid w:val="00A913CA"/>
    <w:rsid w:val="00A91DE1"/>
    <w:rsid w:val="00A92B53"/>
    <w:rsid w:val="00A93C7A"/>
    <w:rsid w:val="00A94FA6"/>
    <w:rsid w:val="00AA0B0C"/>
    <w:rsid w:val="00AA0C76"/>
    <w:rsid w:val="00AA3A21"/>
    <w:rsid w:val="00AA49A0"/>
    <w:rsid w:val="00AA6710"/>
    <w:rsid w:val="00AB0681"/>
    <w:rsid w:val="00AB67AA"/>
    <w:rsid w:val="00AB73EF"/>
    <w:rsid w:val="00AC07CF"/>
    <w:rsid w:val="00AC57BD"/>
    <w:rsid w:val="00AD04CE"/>
    <w:rsid w:val="00AD09B3"/>
    <w:rsid w:val="00AD25B0"/>
    <w:rsid w:val="00AD5142"/>
    <w:rsid w:val="00AD520B"/>
    <w:rsid w:val="00AE4B39"/>
    <w:rsid w:val="00AF4C12"/>
    <w:rsid w:val="00AF6F0C"/>
    <w:rsid w:val="00B06FA8"/>
    <w:rsid w:val="00B1232F"/>
    <w:rsid w:val="00B151BD"/>
    <w:rsid w:val="00B2242C"/>
    <w:rsid w:val="00B23473"/>
    <w:rsid w:val="00B23627"/>
    <w:rsid w:val="00B24C00"/>
    <w:rsid w:val="00B2650A"/>
    <w:rsid w:val="00B30C8D"/>
    <w:rsid w:val="00B311B4"/>
    <w:rsid w:val="00B34367"/>
    <w:rsid w:val="00B425C3"/>
    <w:rsid w:val="00B440AD"/>
    <w:rsid w:val="00B537D0"/>
    <w:rsid w:val="00B53E7E"/>
    <w:rsid w:val="00B557A9"/>
    <w:rsid w:val="00B6342E"/>
    <w:rsid w:val="00B7113F"/>
    <w:rsid w:val="00B73D80"/>
    <w:rsid w:val="00B928CF"/>
    <w:rsid w:val="00B9722B"/>
    <w:rsid w:val="00BA3062"/>
    <w:rsid w:val="00BA73B6"/>
    <w:rsid w:val="00BA7E27"/>
    <w:rsid w:val="00BB0046"/>
    <w:rsid w:val="00BB2476"/>
    <w:rsid w:val="00BB2603"/>
    <w:rsid w:val="00BB34D5"/>
    <w:rsid w:val="00BB43BA"/>
    <w:rsid w:val="00BB4FCD"/>
    <w:rsid w:val="00BB5F5B"/>
    <w:rsid w:val="00BB7CA6"/>
    <w:rsid w:val="00BC656C"/>
    <w:rsid w:val="00BD016C"/>
    <w:rsid w:val="00BD13EA"/>
    <w:rsid w:val="00BD27FA"/>
    <w:rsid w:val="00BD7E4F"/>
    <w:rsid w:val="00BE3808"/>
    <w:rsid w:val="00BF0291"/>
    <w:rsid w:val="00BF35DB"/>
    <w:rsid w:val="00BF370E"/>
    <w:rsid w:val="00C02F93"/>
    <w:rsid w:val="00C062E9"/>
    <w:rsid w:val="00C07B64"/>
    <w:rsid w:val="00C120B2"/>
    <w:rsid w:val="00C126FD"/>
    <w:rsid w:val="00C13721"/>
    <w:rsid w:val="00C14FE4"/>
    <w:rsid w:val="00C17538"/>
    <w:rsid w:val="00C3066D"/>
    <w:rsid w:val="00C33CAA"/>
    <w:rsid w:val="00C349BA"/>
    <w:rsid w:val="00C3698D"/>
    <w:rsid w:val="00C374BC"/>
    <w:rsid w:val="00C543F4"/>
    <w:rsid w:val="00C55A19"/>
    <w:rsid w:val="00C6291C"/>
    <w:rsid w:val="00C62EF5"/>
    <w:rsid w:val="00C633CB"/>
    <w:rsid w:val="00C7220C"/>
    <w:rsid w:val="00C72BC4"/>
    <w:rsid w:val="00C7323E"/>
    <w:rsid w:val="00C76B67"/>
    <w:rsid w:val="00C809EB"/>
    <w:rsid w:val="00C81D4A"/>
    <w:rsid w:val="00C8762C"/>
    <w:rsid w:val="00C91FD9"/>
    <w:rsid w:val="00C9256E"/>
    <w:rsid w:val="00C925F0"/>
    <w:rsid w:val="00C929CA"/>
    <w:rsid w:val="00C93DE2"/>
    <w:rsid w:val="00C95A9B"/>
    <w:rsid w:val="00C97782"/>
    <w:rsid w:val="00CA00F9"/>
    <w:rsid w:val="00CA120F"/>
    <w:rsid w:val="00CA256F"/>
    <w:rsid w:val="00CA2961"/>
    <w:rsid w:val="00CA50EE"/>
    <w:rsid w:val="00CA542B"/>
    <w:rsid w:val="00CA5C7B"/>
    <w:rsid w:val="00CB35A5"/>
    <w:rsid w:val="00CB50D7"/>
    <w:rsid w:val="00CB7177"/>
    <w:rsid w:val="00CC1998"/>
    <w:rsid w:val="00CC4946"/>
    <w:rsid w:val="00CC7FA3"/>
    <w:rsid w:val="00CD3267"/>
    <w:rsid w:val="00CD3289"/>
    <w:rsid w:val="00CE38A0"/>
    <w:rsid w:val="00CE797E"/>
    <w:rsid w:val="00CF0A4E"/>
    <w:rsid w:val="00D02D30"/>
    <w:rsid w:val="00D1138B"/>
    <w:rsid w:val="00D16D99"/>
    <w:rsid w:val="00D1799D"/>
    <w:rsid w:val="00D24440"/>
    <w:rsid w:val="00D26BB5"/>
    <w:rsid w:val="00D270A4"/>
    <w:rsid w:val="00D31FE9"/>
    <w:rsid w:val="00D34E1B"/>
    <w:rsid w:val="00D3584D"/>
    <w:rsid w:val="00D3611D"/>
    <w:rsid w:val="00D376BA"/>
    <w:rsid w:val="00D37AB8"/>
    <w:rsid w:val="00D41313"/>
    <w:rsid w:val="00D41BE3"/>
    <w:rsid w:val="00D45634"/>
    <w:rsid w:val="00D50090"/>
    <w:rsid w:val="00D52CE2"/>
    <w:rsid w:val="00D54656"/>
    <w:rsid w:val="00D5568A"/>
    <w:rsid w:val="00D63D73"/>
    <w:rsid w:val="00D64452"/>
    <w:rsid w:val="00D66E1E"/>
    <w:rsid w:val="00D75722"/>
    <w:rsid w:val="00D8049E"/>
    <w:rsid w:val="00D80CF5"/>
    <w:rsid w:val="00D825FA"/>
    <w:rsid w:val="00D86EBA"/>
    <w:rsid w:val="00D90DB7"/>
    <w:rsid w:val="00D94870"/>
    <w:rsid w:val="00D968E2"/>
    <w:rsid w:val="00DA5BBA"/>
    <w:rsid w:val="00DB0D2E"/>
    <w:rsid w:val="00DB266B"/>
    <w:rsid w:val="00DB26D2"/>
    <w:rsid w:val="00DB361C"/>
    <w:rsid w:val="00DB63DC"/>
    <w:rsid w:val="00DB67C9"/>
    <w:rsid w:val="00DC0C95"/>
    <w:rsid w:val="00DC3DFD"/>
    <w:rsid w:val="00DC43D7"/>
    <w:rsid w:val="00DC69C3"/>
    <w:rsid w:val="00DD1B5D"/>
    <w:rsid w:val="00DD2C47"/>
    <w:rsid w:val="00DD3C46"/>
    <w:rsid w:val="00DD6580"/>
    <w:rsid w:val="00DE0A8B"/>
    <w:rsid w:val="00DF24C8"/>
    <w:rsid w:val="00DF2BA4"/>
    <w:rsid w:val="00E00763"/>
    <w:rsid w:val="00E04391"/>
    <w:rsid w:val="00E0600F"/>
    <w:rsid w:val="00E12ECE"/>
    <w:rsid w:val="00E153D3"/>
    <w:rsid w:val="00E1556D"/>
    <w:rsid w:val="00E17C72"/>
    <w:rsid w:val="00E20AFF"/>
    <w:rsid w:val="00E21FC6"/>
    <w:rsid w:val="00E23F46"/>
    <w:rsid w:val="00E31FAB"/>
    <w:rsid w:val="00E36811"/>
    <w:rsid w:val="00E42AC8"/>
    <w:rsid w:val="00E42B1B"/>
    <w:rsid w:val="00E431A9"/>
    <w:rsid w:val="00E4323E"/>
    <w:rsid w:val="00E45E0F"/>
    <w:rsid w:val="00E4707B"/>
    <w:rsid w:val="00E53072"/>
    <w:rsid w:val="00E54097"/>
    <w:rsid w:val="00E623DF"/>
    <w:rsid w:val="00E628EE"/>
    <w:rsid w:val="00E669E2"/>
    <w:rsid w:val="00E76135"/>
    <w:rsid w:val="00E82F4F"/>
    <w:rsid w:val="00E843AA"/>
    <w:rsid w:val="00E860BC"/>
    <w:rsid w:val="00E95DDB"/>
    <w:rsid w:val="00E9659E"/>
    <w:rsid w:val="00EA1622"/>
    <w:rsid w:val="00EB1330"/>
    <w:rsid w:val="00EB7027"/>
    <w:rsid w:val="00EC2844"/>
    <w:rsid w:val="00EC5500"/>
    <w:rsid w:val="00EC600E"/>
    <w:rsid w:val="00EC60C1"/>
    <w:rsid w:val="00ED0287"/>
    <w:rsid w:val="00ED04EA"/>
    <w:rsid w:val="00ED1C70"/>
    <w:rsid w:val="00ED2C7F"/>
    <w:rsid w:val="00ED426A"/>
    <w:rsid w:val="00ED5AA3"/>
    <w:rsid w:val="00ED6819"/>
    <w:rsid w:val="00ED79EA"/>
    <w:rsid w:val="00EE229C"/>
    <w:rsid w:val="00EE5F08"/>
    <w:rsid w:val="00EE6AE6"/>
    <w:rsid w:val="00EF4E74"/>
    <w:rsid w:val="00EF5117"/>
    <w:rsid w:val="00EF6C6C"/>
    <w:rsid w:val="00F056FC"/>
    <w:rsid w:val="00F10476"/>
    <w:rsid w:val="00F11E13"/>
    <w:rsid w:val="00F12705"/>
    <w:rsid w:val="00F135D8"/>
    <w:rsid w:val="00F24525"/>
    <w:rsid w:val="00F24961"/>
    <w:rsid w:val="00F31299"/>
    <w:rsid w:val="00F3534A"/>
    <w:rsid w:val="00F368E7"/>
    <w:rsid w:val="00F37193"/>
    <w:rsid w:val="00F41AB5"/>
    <w:rsid w:val="00F44D74"/>
    <w:rsid w:val="00F51609"/>
    <w:rsid w:val="00F55795"/>
    <w:rsid w:val="00F57486"/>
    <w:rsid w:val="00F640B0"/>
    <w:rsid w:val="00F6465D"/>
    <w:rsid w:val="00F64797"/>
    <w:rsid w:val="00F70BE3"/>
    <w:rsid w:val="00F71FF9"/>
    <w:rsid w:val="00F72F5A"/>
    <w:rsid w:val="00F7393C"/>
    <w:rsid w:val="00F740C8"/>
    <w:rsid w:val="00F818C1"/>
    <w:rsid w:val="00F830D6"/>
    <w:rsid w:val="00F848D8"/>
    <w:rsid w:val="00F84EAE"/>
    <w:rsid w:val="00F85325"/>
    <w:rsid w:val="00F864BF"/>
    <w:rsid w:val="00F91978"/>
    <w:rsid w:val="00F97A67"/>
    <w:rsid w:val="00FA2659"/>
    <w:rsid w:val="00FA5EBC"/>
    <w:rsid w:val="00FB06C9"/>
    <w:rsid w:val="00FB3866"/>
    <w:rsid w:val="00FB3D2B"/>
    <w:rsid w:val="00FB610F"/>
    <w:rsid w:val="00FB7676"/>
    <w:rsid w:val="00FD0F54"/>
    <w:rsid w:val="00FD22B1"/>
    <w:rsid w:val="00FD52CC"/>
    <w:rsid w:val="00FE637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Body Text" w:qFormat="1"/>
    <w:lsdException w:name="Subtitle" w:qFormat="1"/>
    <w:lsdException w:name="Plai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4209D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1,new legislation style,new legislation style1,new legislation style Ch"/>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48"/>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Above">
    <w:name w:val="Box Space Above"/>
    <w:basedOn w:val="BodyText"/>
    <w:rsid w:val="008E18E0"/>
    <w:pPr>
      <w:keepNext/>
      <w:spacing w:before="360" w:line="80" w:lineRule="exact"/>
      <w:jc w:val="left"/>
    </w:pPr>
  </w:style>
  <w:style w:type="paragraph" w:customStyle="1" w:styleId="BoxSpaceBelow">
    <w:name w:val="Box Space Below"/>
    <w:basedOn w:val="Box"/>
    <w:rsid w:val="008E18E0"/>
    <w:pPr>
      <w:keepNext w:val="0"/>
      <w:spacing w:before="60" w:after="60" w:line="80" w:lineRule="exact"/>
    </w:pPr>
    <w:rPr>
      <w:sz w:val="14"/>
    </w:rPr>
  </w:style>
  <w:style w:type="character" w:customStyle="1" w:styleId="BodyTextChar">
    <w:name w:val="Body Text Char"/>
    <w:aliases w:val="Body Text1 Char,new legislation style Char,new legislation style1 Char,new legislation style Ch Char"/>
    <w:basedOn w:val="DefaultParagraphFont"/>
    <w:link w:val="BodyText"/>
    <w:rsid w:val="00423181"/>
    <w:rPr>
      <w:sz w:val="26"/>
    </w:rPr>
  </w:style>
  <w:style w:type="paragraph" w:styleId="CommentSubject">
    <w:name w:val="annotation subject"/>
    <w:basedOn w:val="CommentText"/>
    <w:next w:val="CommentText"/>
    <w:link w:val="CommentSubjectChar"/>
    <w:rsid w:val="00BF0291"/>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BF0291"/>
    <w:rPr>
      <w:szCs w:val="24"/>
    </w:rPr>
  </w:style>
  <w:style w:type="character" w:customStyle="1" w:styleId="CommentSubjectChar">
    <w:name w:val="Comment Subject Char"/>
    <w:basedOn w:val="CommentTextChar"/>
    <w:link w:val="CommentSubject"/>
    <w:rsid w:val="00BF0291"/>
    <w:rPr>
      <w:b/>
      <w:bCs/>
      <w:szCs w:val="24"/>
    </w:rPr>
  </w:style>
  <w:style w:type="character" w:customStyle="1" w:styleId="Heading3Char">
    <w:name w:val="Heading 3 Char"/>
    <w:basedOn w:val="DefaultParagraphFont"/>
    <w:link w:val="Heading3"/>
    <w:rsid w:val="004209D4"/>
    <w:rPr>
      <w:rFonts w:ascii="Arial" w:hAnsi="Arial"/>
      <w:b/>
      <w:sz w:val="26"/>
    </w:rPr>
  </w:style>
  <w:style w:type="character" w:customStyle="1" w:styleId="Heading2Char">
    <w:name w:val="Heading 2 Char"/>
    <w:basedOn w:val="DefaultParagraphFont"/>
    <w:link w:val="Heading2"/>
    <w:rsid w:val="00BF370E"/>
    <w:rPr>
      <w:rFonts w:ascii="Arial" w:hAnsi="Arial"/>
      <w:b/>
      <w:sz w:val="32"/>
    </w:rPr>
  </w:style>
  <w:style w:type="character" w:customStyle="1" w:styleId="TableBodyTextChar">
    <w:name w:val="Table Body Text Char"/>
    <w:basedOn w:val="DefaultParagraphFont"/>
    <w:link w:val="TableBodyText"/>
    <w:rsid w:val="005704A2"/>
    <w:rPr>
      <w:rFonts w:ascii="Arial" w:hAnsi="Arial"/>
    </w:rPr>
  </w:style>
  <w:style w:type="paragraph" w:styleId="Revision">
    <w:name w:val="Revision"/>
    <w:hidden/>
    <w:uiPriority w:val="99"/>
    <w:semiHidden/>
    <w:rsid w:val="0017272D"/>
    <w:rPr>
      <w:sz w:val="26"/>
      <w:szCs w:val="24"/>
    </w:rPr>
  </w:style>
  <w:style w:type="paragraph" w:styleId="PlainText">
    <w:name w:val="Plain Text"/>
    <w:basedOn w:val="Normal"/>
    <w:link w:val="PlainTextChar"/>
    <w:uiPriority w:val="99"/>
    <w:unhideWhenUsed/>
    <w:rsid w:val="00EE6AE6"/>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EE6AE6"/>
    <w:rPr>
      <w:rFonts w:ascii="Calibri" w:eastAsiaTheme="minorHAnsi" w:hAnsi="Calibri" w:cstheme="minorBidi"/>
      <w:sz w:val="22"/>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Body Text" w:qFormat="1"/>
    <w:lsdException w:name="Subtitle" w:qFormat="1"/>
    <w:lsdException w:name="Plai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4209D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1,new legislation style,new legislation style1,new legislation style Ch"/>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48"/>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Above">
    <w:name w:val="Box Space Above"/>
    <w:basedOn w:val="BodyText"/>
    <w:rsid w:val="008E18E0"/>
    <w:pPr>
      <w:keepNext/>
      <w:spacing w:before="360" w:line="80" w:lineRule="exact"/>
      <w:jc w:val="left"/>
    </w:pPr>
  </w:style>
  <w:style w:type="paragraph" w:customStyle="1" w:styleId="BoxSpaceBelow">
    <w:name w:val="Box Space Below"/>
    <w:basedOn w:val="Box"/>
    <w:rsid w:val="008E18E0"/>
    <w:pPr>
      <w:keepNext w:val="0"/>
      <w:spacing w:before="60" w:after="60" w:line="80" w:lineRule="exact"/>
    </w:pPr>
    <w:rPr>
      <w:sz w:val="14"/>
    </w:rPr>
  </w:style>
  <w:style w:type="character" w:customStyle="1" w:styleId="BodyTextChar">
    <w:name w:val="Body Text Char"/>
    <w:aliases w:val="Body Text1 Char,new legislation style Char,new legislation style1 Char,new legislation style Ch Char"/>
    <w:basedOn w:val="DefaultParagraphFont"/>
    <w:link w:val="BodyText"/>
    <w:rsid w:val="00423181"/>
    <w:rPr>
      <w:sz w:val="26"/>
    </w:rPr>
  </w:style>
  <w:style w:type="paragraph" w:styleId="CommentSubject">
    <w:name w:val="annotation subject"/>
    <w:basedOn w:val="CommentText"/>
    <w:next w:val="CommentText"/>
    <w:link w:val="CommentSubjectChar"/>
    <w:rsid w:val="00BF0291"/>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BF0291"/>
    <w:rPr>
      <w:szCs w:val="24"/>
    </w:rPr>
  </w:style>
  <w:style w:type="character" w:customStyle="1" w:styleId="CommentSubjectChar">
    <w:name w:val="Comment Subject Char"/>
    <w:basedOn w:val="CommentTextChar"/>
    <w:link w:val="CommentSubject"/>
    <w:rsid w:val="00BF0291"/>
    <w:rPr>
      <w:b/>
      <w:bCs/>
      <w:szCs w:val="24"/>
    </w:rPr>
  </w:style>
  <w:style w:type="character" w:customStyle="1" w:styleId="Heading3Char">
    <w:name w:val="Heading 3 Char"/>
    <w:basedOn w:val="DefaultParagraphFont"/>
    <w:link w:val="Heading3"/>
    <w:rsid w:val="004209D4"/>
    <w:rPr>
      <w:rFonts w:ascii="Arial" w:hAnsi="Arial"/>
      <w:b/>
      <w:sz w:val="26"/>
    </w:rPr>
  </w:style>
  <w:style w:type="character" w:customStyle="1" w:styleId="Heading2Char">
    <w:name w:val="Heading 2 Char"/>
    <w:basedOn w:val="DefaultParagraphFont"/>
    <w:link w:val="Heading2"/>
    <w:rsid w:val="00BF370E"/>
    <w:rPr>
      <w:rFonts w:ascii="Arial" w:hAnsi="Arial"/>
      <w:b/>
      <w:sz w:val="32"/>
    </w:rPr>
  </w:style>
  <w:style w:type="character" w:customStyle="1" w:styleId="TableBodyTextChar">
    <w:name w:val="Table Body Text Char"/>
    <w:basedOn w:val="DefaultParagraphFont"/>
    <w:link w:val="TableBodyText"/>
    <w:rsid w:val="005704A2"/>
    <w:rPr>
      <w:rFonts w:ascii="Arial" w:hAnsi="Arial"/>
    </w:rPr>
  </w:style>
  <w:style w:type="paragraph" w:styleId="Revision">
    <w:name w:val="Revision"/>
    <w:hidden/>
    <w:uiPriority w:val="99"/>
    <w:semiHidden/>
    <w:rsid w:val="0017272D"/>
    <w:rPr>
      <w:sz w:val="26"/>
      <w:szCs w:val="24"/>
    </w:rPr>
  </w:style>
  <w:style w:type="paragraph" w:styleId="PlainText">
    <w:name w:val="Plain Text"/>
    <w:basedOn w:val="Normal"/>
    <w:link w:val="PlainTextChar"/>
    <w:uiPriority w:val="99"/>
    <w:unhideWhenUsed/>
    <w:rsid w:val="00EE6AE6"/>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EE6AE6"/>
    <w:rPr>
      <w:rFonts w:ascii="Calibri" w:eastAsiaTheme="minorHAnsi" w:hAnsi="Calibr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935632">
      <w:bodyDiv w:val="1"/>
      <w:marLeft w:val="0"/>
      <w:marRight w:val="0"/>
      <w:marTop w:val="0"/>
      <w:marBottom w:val="0"/>
      <w:divBdr>
        <w:top w:val="none" w:sz="0" w:space="0" w:color="auto"/>
        <w:left w:val="none" w:sz="0" w:space="0" w:color="auto"/>
        <w:bottom w:val="none" w:sz="0" w:space="0" w:color="auto"/>
        <w:right w:val="none" w:sz="0" w:space="0" w:color="auto"/>
      </w:divBdr>
    </w:div>
    <w:div w:id="809709063">
      <w:bodyDiv w:val="1"/>
      <w:marLeft w:val="0"/>
      <w:marRight w:val="0"/>
      <w:marTop w:val="0"/>
      <w:marBottom w:val="0"/>
      <w:divBdr>
        <w:top w:val="none" w:sz="0" w:space="0" w:color="auto"/>
        <w:left w:val="none" w:sz="0" w:space="0" w:color="auto"/>
        <w:bottom w:val="none" w:sz="0" w:space="0" w:color="auto"/>
        <w:right w:val="none" w:sz="0" w:space="0" w:color="auto"/>
      </w:divBdr>
    </w:div>
    <w:div w:id="823358666">
      <w:bodyDiv w:val="1"/>
      <w:marLeft w:val="0"/>
      <w:marRight w:val="0"/>
      <w:marTop w:val="0"/>
      <w:marBottom w:val="0"/>
      <w:divBdr>
        <w:top w:val="none" w:sz="0" w:space="0" w:color="auto"/>
        <w:left w:val="none" w:sz="0" w:space="0" w:color="auto"/>
        <w:bottom w:val="none" w:sz="0" w:space="0" w:color="auto"/>
        <w:right w:val="none" w:sz="0" w:space="0" w:color="auto"/>
      </w:divBdr>
    </w:div>
    <w:div w:id="1355880174">
      <w:bodyDiv w:val="1"/>
      <w:marLeft w:val="0"/>
      <w:marRight w:val="0"/>
      <w:marTop w:val="0"/>
      <w:marBottom w:val="0"/>
      <w:divBdr>
        <w:top w:val="none" w:sz="0" w:space="0" w:color="auto"/>
        <w:left w:val="none" w:sz="0" w:space="0" w:color="auto"/>
        <w:bottom w:val="none" w:sz="0" w:space="0" w:color="auto"/>
        <w:right w:val="none" w:sz="0" w:space="0" w:color="auto"/>
      </w:divBdr>
    </w:div>
    <w:div w:id="1543249857">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nch1\esb\T%20A%20R\2011-12\AAreport\Charts\12%20-%20Ch%202%20-%20Figure%202.1%20and%20Overview%20Figure%20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nch1\esb\T%20A%20R\2011-12\AAreport\Charts\Fig%202.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nch1\esb\T%20A%20R\2011-12\AAreport\Charts%20Data\Chapter%202%20-%20Data%20for%20Figures%20(modified%20by%20Chris%20-%2017%20Feb).xlsx"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nch1\esb\T%20A%20R\2011-12\AAreport\Charts%20Data\Chapter%202%20-%20Data%20for%20Figures%20(modified%20by%20Chris%20-%2017%20Feb).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nch1\esb\T%20A%20R\2011-12\AAreport\Charts%20Data\Chapter%202%20-%20Data%20for%20Figures%20(modified%20by%20Chris%20-%2017%20Feb).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nch1\esb\T%20A%20R\2011-12\AAreport\Charts%20Data\Chapter%202%20-%20Data%20for%20Figures%20(modified%20by%20Chris%20-%2017%20Feb).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v>2001-02 Series</c:v>
          </c:tx>
          <c:spPr>
            <a:ln>
              <a:solidFill>
                <a:sysClr val="windowText" lastClr="000000"/>
              </a:solidFill>
              <a:prstDash val="sysDash"/>
            </a:ln>
          </c:spPr>
          <c:marker>
            <c:symbol val="none"/>
          </c:marker>
          <c:cat>
            <c:strLit>
              <c:ptCount val="11"/>
              <c:pt idx="0">
                <c:v>2001-02</c:v>
              </c:pt>
              <c:pt idx="1">
                <c:v>2002-03</c:v>
              </c:pt>
              <c:pt idx="2">
                <c:v>2003-04</c:v>
              </c:pt>
              <c:pt idx="3">
                <c:v>2004-05</c:v>
              </c:pt>
              <c:pt idx="4">
                <c:v>2005-06</c:v>
              </c:pt>
              <c:pt idx="5">
                <c:v>2006-07</c:v>
              </c:pt>
              <c:pt idx="6">
                <c:v>2007-08</c:v>
              </c:pt>
              <c:pt idx="7">
                <c:v>2008-09</c:v>
              </c:pt>
              <c:pt idx="8">
                <c:v>2009-10</c:v>
              </c:pt>
              <c:pt idx="9">
                <c:v>2010-11</c:v>
              </c:pt>
              <c:pt idx="10">
                <c:v>2011-12</c:v>
              </c:pt>
            </c:strLit>
          </c:cat>
          <c:val>
            <c:numLit>
              <c:formatCode>General</c:formatCode>
              <c:ptCount val="11"/>
              <c:pt idx="0">
                <c:v>1160.7336428455401</c:v>
              </c:pt>
              <c:pt idx="1">
                <c:v>1316.7419894264208</c:v>
              </c:pt>
              <c:pt idx="2">
                <c:v>1332.7905783938918</c:v>
              </c:pt>
              <c:pt idx="3">
                <c:v>1116.3419878248119</c:v>
              </c:pt>
            </c:numLit>
          </c:val>
          <c:smooth val="0"/>
        </c:ser>
        <c:ser>
          <c:idx val="1"/>
          <c:order val="1"/>
          <c:tx>
            <c:v>2004-05 Series</c:v>
          </c:tx>
          <c:spPr>
            <a:ln>
              <a:solidFill>
                <a:sysClr val="windowText" lastClr="000000"/>
              </a:solidFill>
              <a:prstDash val="dash"/>
            </a:ln>
          </c:spPr>
          <c:marker>
            <c:symbol val="none"/>
          </c:marker>
          <c:cat>
            <c:strLit>
              <c:ptCount val="11"/>
              <c:pt idx="0">
                <c:v>2001-02</c:v>
              </c:pt>
              <c:pt idx="1">
                <c:v>2002-03</c:v>
              </c:pt>
              <c:pt idx="2">
                <c:v>2003-04</c:v>
              </c:pt>
              <c:pt idx="3">
                <c:v>2004-05</c:v>
              </c:pt>
              <c:pt idx="4">
                <c:v>2005-06</c:v>
              </c:pt>
              <c:pt idx="5">
                <c:v>2006-07</c:v>
              </c:pt>
              <c:pt idx="6">
                <c:v>2007-08</c:v>
              </c:pt>
              <c:pt idx="7">
                <c:v>2008-09</c:v>
              </c:pt>
              <c:pt idx="8">
                <c:v>2009-10</c:v>
              </c:pt>
              <c:pt idx="9">
                <c:v>2010-11</c:v>
              </c:pt>
              <c:pt idx="10">
                <c:v>2011-12</c:v>
              </c:pt>
            </c:strLit>
          </c:cat>
          <c:val>
            <c:numLit>
              <c:formatCode>General</c:formatCode>
              <c:ptCount val="11"/>
              <c:pt idx="2">
                <c:v>1949.8410245245923</c:v>
              </c:pt>
              <c:pt idx="3">
                <c:v>1782.211598855235</c:v>
              </c:pt>
              <c:pt idx="4">
                <c:v>2057.1</c:v>
              </c:pt>
              <c:pt idx="5">
                <c:v>1827.7</c:v>
              </c:pt>
              <c:pt idx="6">
                <c:v>1883.7</c:v>
              </c:pt>
              <c:pt idx="7">
                <c:v>1337.8</c:v>
              </c:pt>
            </c:numLit>
          </c:val>
          <c:smooth val="0"/>
        </c:ser>
        <c:ser>
          <c:idx val="2"/>
          <c:order val="2"/>
          <c:tx>
            <c:v>2008-09 Series</c:v>
          </c:tx>
          <c:spPr>
            <a:ln>
              <a:solidFill>
                <a:sysClr val="windowText" lastClr="000000"/>
              </a:solidFill>
            </a:ln>
          </c:spPr>
          <c:marker>
            <c:symbol val="none"/>
          </c:marker>
          <c:cat>
            <c:strLit>
              <c:ptCount val="11"/>
              <c:pt idx="0">
                <c:v>2001-02</c:v>
              </c:pt>
              <c:pt idx="1">
                <c:v>2002-03</c:v>
              </c:pt>
              <c:pt idx="2">
                <c:v>2003-04</c:v>
              </c:pt>
              <c:pt idx="3">
                <c:v>2004-05</c:v>
              </c:pt>
              <c:pt idx="4">
                <c:v>2005-06</c:v>
              </c:pt>
              <c:pt idx="5">
                <c:v>2006-07</c:v>
              </c:pt>
              <c:pt idx="6">
                <c:v>2007-08</c:v>
              </c:pt>
              <c:pt idx="7">
                <c:v>2008-09</c:v>
              </c:pt>
              <c:pt idx="8">
                <c:v>2009-10</c:v>
              </c:pt>
              <c:pt idx="9">
                <c:v>2010-11</c:v>
              </c:pt>
              <c:pt idx="10">
                <c:v>2011-12</c:v>
              </c:pt>
            </c:strLit>
          </c:cat>
          <c:val>
            <c:numLit>
              <c:formatCode>General</c:formatCode>
              <c:ptCount val="11"/>
              <c:pt idx="5">
                <c:v>2488.4081572453601</c:v>
              </c:pt>
              <c:pt idx="6">
                <c:v>2589.39879041114</c:v>
              </c:pt>
              <c:pt idx="7">
                <c:v>2219.3368971386499</c:v>
              </c:pt>
              <c:pt idx="8">
                <c:v>1798.1869139261901</c:v>
              </c:pt>
              <c:pt idx="9">
                <c:v>1423.4645384626699</c:v>
              </c:pt>
              <c:pt idx="10">
                <c:v>1081.15929330822</c:v>
              </c:pt>
            </c:numLit>
          </c:val>
          <c:smooth val="0"/>
        </c:ser>
        <c:dLbls>
          <c:showLegendKey val="0"/>
          <c:showVal val="0"/>
          <c:showCatName val="0"/>
          <c:showSerName val="0"/>
          <c:showPercent val="0"/>
          <c:showBubbleSize val="0"/>
        </c:dLbls>
        <c:marker val="1"/>
        <c:smooth val="0"/>
        <c:axId val="178154496"/>
        <c:axId val="160514816"/>
      </c:lineChart>
      <c:catAx>
        <c:axId val="178154496"/>
        <c:scaling>
          <c:orientation val="minMax"/>
        </c:scaling>
        <c:delete val="0"/>
        <c:axPos val="b"/>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160514816"/>
        <c:crosses val="autoZero"/>
        <c:auto val="1"/>
        <c:lblAlgn val="ctr"/>
        <c:lblOffset val="100"/>
        <c:tickLblSkip val="2"/>
        <c:tickMarkSkip val="1"/>
        <c:noMultiLvlLbl val="0"/>
      </c:catAx>
      <c:valAx>
        <c:axId val="160514816"/>
        <c:scaling>
          <c:orientation val="minMax"/>
          <c:max val="3500"/>
        </c:scaling>
        <c:delete val="0"/>
        <c:axPos val="l"/>
        <c:title>
          <c:tx>
            <c:rich>
              <a:bodyPr/>
              <a:lstStyle/>
              <a:p>
                <a:pPr>
                  <a:defRPr sz="1000" b="1" i="0" u="none" strike="noStrike" baseline="0">
                    <a:solidFill>
                      <a:srgbClr val="000000"/>
                    </a:solidFill>
                    <a:latin typeface="Calibri"/>
                    <a:ea typeface="Calibri"/>
                    <a:cs typeface="Calibri"/>
                  </a:defRPr>
                </a:pPr>
                <a:r>
                  <a:rPr lang="en-AU"/>
                  <a:t>$ million</a:t>
                </a:r>
              </a:p>
            </c:rich>
          </c:tx>
          <c:overlay val="0"/>
        </c:title>
        <c:numFmt formatCode="#\ ##0" sourceLinked="0"/>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178154496"/>
        <c:crosses val="autoZero"/>
        <c:crossBetween val="between"/>
      </c:valAx>
    </c:plotArea>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en-US"/>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759138803301761"/>
          <c:y val="1.864406779661017E-2"/>
          <c:w val="0.86689674660232685"/>
          <c:h val="0.93050847457627117"/>
        </c:manualLayout>
      </c:layout>
      <c:barChart>
        <c:barDir val="col"/>
        <c:grouping val="stacked"/>
        <c:varyColors val="0"/>
        <c:ser>
          <c:idx val="0"/>
          <c:order val="0"/>
          <c:tx>
            <c:strRef>
              <c:f>'\\nch1\esb\T A R\2011-12\AAreport\Charts Data\[Chapter 2 - Data for Figures (modified by Chris - 17 Feb).xlsx]Figure 2.2'!$A$5</c:f>
              <c:strCache>
                <c:ptCount val="1"/>
                <c:pt idx="0">
                  <c:v>  Outlays </c:v>
                </c:pt>
              </c:strCache>
            </c:strRef>
          </c:tx>
          <c:spPr>
            <a:solidFill>
              <a:schemeClr val="tx1"/>
            </a:solidFill>
            <a:ln>
              <a:solidFill>
                <a:schemeClr val="tx1"/>
              </a:solidFill>
            </a:ln>
          </c:spPr>
          <c:invertIfNegative val="0"/>
          <c:cat>
            <c:strRef>
              <c:f>'\\nch1\esb\T A R\2011-12\AAreport\Charts Data\[Chapter 2 - Data for Figures (modified by Chris - 17 Feb).xlsx]Figure 2.2'!$B$4:$G$4</c:f>
              <c:strCache>
                <c:ptCount val="6"/>
                <c:pt idx="0">
                  <c:v>2006-07</c:v>
                </c:pt>
                <c:pt idx="1">
                  <c:v>2007-08</c:v>
                </c:pt>
                <c:pt idx="2">
                  <c:v>2008-09</c:v>
                </c:pt>
                <c:pt idx="3">
                  <c:v>2009-10</c:v>
                </c:pt>
                <c:pt idx="4">
                  <c:v>2010-11</c:v>
                </c:pt>
                <c:pt idx="5">
                  <c:v>2011-12</c:v>
                </c:pt>
              </c:strCache>
            </c:strRef>
          </c:cat>
          <c:val>
            <c:numRef>
              <c:f>'\\nch1\esb\T A R\2011-12\AAreport\Charts Data\[Chapter 2 - Data for Figures (modified by Chris - 17 Feb).xlsx]Figure 2.2'!$B$5:$G$5</c:f>
              <c:numCache>
                <c:formatCode>General</c:formatCode>
                <c:ptCount val="6"/>
                <c:pt idx="0">
                  <c:v>3701.6227191599901</c:v>
                </c:pt>
                <c:pt idx="1">
                  <c:v>4411.1052742908296</c:v>
                </c:pt>
                <c:pt idx="2">
                  <c:v>3689.6571297124101</c:v>
                </c:pt>
                <c:pt idx="3">
                  <c:v>3802.3442956929098</c:v>
                </c:pt>
                <c:pt idx="4">
                  <c:v>3574.4974009150201</c:v>
                </c:pt>
                <c:pt idx="5">
                  <c:v>5167.32144911655</c:v>
                </c:pt>
              </c:numCache>
            </c:numRef>
          </c:val>
        </c:ser>
        <c:ser>
          <c:idx val="1"/>
          <c:order val="1"/>
          <c:tx>
            <c:strRef>
              <c:f>'\\nch1\esb\T A R\2011-12\AAreport\Charts Data\[Chapter 2 - Data for Figures (modified by Chris - 17 Feb).xlsx]Figure 2.2'!$A$6</c:f>
              <c:strCache>
                <c:ptCount val="1"/>
                <c:pt idx="0">
                  <c:v>  Tax expenditures </c:v>
                </c:pt>
              </c:strCache>
            </c:strRef>
          </c:tx>
          <c:spPr>
            <a:pattFill prst="dkUpDiag">
              <a:fgClr>
                <a:srgbClr xmlns:mc="http://schemas.openxmlformats.org/markup-compatibility/2006" xmlns:a14="http://schemas.microsoft.com/office/drawing/2010/main" val="333333" mc:Ignorable="a14" a14:legacySpreadsheetColorIndex="63"/>
              </a:fgClr>
              <a:bgClr>
                <a:schemeClr val="bg1"/>
              </a:bgClr>
            </a:pattFill>
            <a:ln>
              <a:solidFill>
                <a:schemeClr val="tx1"/>
              </a:solidFill>
            </a:ln>
          </c:spPr>
          <c:invertIfNegative val="0"/>
          <c:cat>
            <c:strRef>
              <c:f>'\\nch1\esb\T A R\2011-12\AAreport\Charts Data\[Chapter 2 - Data for Figures (modified by Chris - 17 Feb).xlsx]Figure 2.2'!$B$4:$G$4</c:f>
              <c:strCache>
                <c:ptCount val="6"/>
                <c:pt idx="0">
                  <c:v>2006-07</c:v>
                </c:pt>
                <c:pt idx="1">
                  <c:v>2007-08</c:v>
                </c:pt>
                <c:pt idx="2">
                  <c:v>2008-09</c:v>
                </c:pt>
                <c:pt idx="3">
                  <c:v>2009-10</c:v>
                </c:pt>
                <c:pt idx="4">
                  <c:v>2010-11</c:v>
                </c:pt>
                <c:pt idx="5">
                  <c:v>2011-12</c:v>
                </c:pt>
              </c:strCache>
            </c:strRef>
          </c:cat>
          <c:val>
            <c:numRef>
              <c:f>'\\nch1\esb\T A R\2011-12\AAreport\Charts Data\[Chapter 2 - Data for Figures (modified by Chris - 17 Feb).xlsx]Figure 2.2'!$B$6:$G$6</c:f>
              <c:numCache>
                <c:formatCode>General</c:formatCode>
                <c:ptCount val="6"/>
                <c:pt idx="0">
                  <c:v>3103.6230000000101</c:v>
                </c:pt>
                <c:pt idx="1">
                  <c:v>3987.8884419999999</c:v>
                </c:pt>
                <c:pt idx="2">
                  <c:v>4607.0524150998999</c:v>
                </c:pt>
                <c:pt idx="3">
                  <c:v>5795.9694848162999</c:v>
                </c:pt>
                <c:pt idx="4">
                  <c:v>6230.8573459999898</c:v>
                </c:pt>
                <c:pt idx="5">
                  <c:v>4301.1975140000004</c:v>
                </c:pt>
              </c:numCache>
            </c:numRef>
          </c:val>
        </c:ser>
        <c:dLbls>
          <c:showLegendKey val="0"/>
          <c:showVal val="0"/>
          <c:showCatName val="0"/>
          <c:showSerName val="0"/>
          <c:showPercent val="0"/>
          <c:showBubbleSize val="0"/>
        </c:dLbls>
        <c:gapWidth val="150"/>
        <c:overlap val="100"/>
        <c:axId val="182816128"/>
        <c:axId val="182887552"/>
      </c:barChart>
      <c:catAx>
        <c:axId val="182816128"/>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en-US"/>
          </a:p>
        </c:txPr>
        <c:crossAx val="182887552"/>
        <c:crosses val="autoZero"/>
        <c:auto val="1"/>
        <c:lblAlgn val="ctr"/>
        <c:lblOffset val="100"/>
        <c:tickLblSkip val="1"/>
        <c:tickMarkSkip val="1"/>
        <c:noMultiLvlLbl val="0"/>
      </c:catAx>
      <c:valAx>
        <c:axId val="182887552"/>
        <c:scaling>
          <c:orientation val="minMax"/>
          <c:max val="12000"/>
        </c:scaling>
        <c:delete val="0"/>
        <c:axPos val="l"/>
        <c:majorGridlines>
          <c:spPr>
            <a:ln w="3175">
              <a:solidFill>
                <a:srgbClr val="000000"/>
              </a:solidFill>
              <a:prstDash val="solid"/>
            </a:ln>
          </c:spPr>
        </c:majorGridlines>
        <c:title>
          <c:tx>
            <c:rich>
              <a:bodyPr/>
              <a:lstStyle/>
              <a:p>
                <a:pPr>
                  <a:defRPr sz="900" b="1" i="0" u="none" strike="noStrike" baseline="0">
                    <a:solidFill>
                      <a:srgbClr val="000000"/>
                    </a:solidFill>
                    <a:latin typeface="Arial"/>
                    <a:ea typeface="Arial"/>
                    <a:cs typeface="Arial"/>
                  </a:defRPr>
                </a:pPr>
                <a:r>
                  <a:rPr lang="en-AU"/>
                  <a:t>$ million</a:t>
                </a:r>
              </a:p>
            </c:rich>
          </c:tx>
          <c:layout>
            <c:manualLayout>
              <c:xMode val="edge"/>
              <c:yMode val="edge"/>
              <c:x val="0"/>
              <c:y val="0.4406779902652907"/>
            </c:manualLayout>
          </c:layout>
          <c:overlay val="0"/>
          <c:spPr>
            <a:noFill/>
            <a:ln w="25400">
              <a:noFill/>
            </a:ln>
          </c:spPr>
        </c:title>
        <c:numFmt formatCode="#\ ##0;\-#\ ##0;0" sourceLinked="0"/>
        <c:majorTickMark val="out"/>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en-US"/>
          </a:p>
        </c:txPr>
        <c:crossAx val="182816128"/>
        <c:crosses val="autoZero"/>
        <c:crossBetween val="between"/>
        <c:majorUnit val="2000"/>
      </c:valAx>
      <c:spPr>
        <a:noFill/>
        <a:ln w="25400">
          <a:noFill/>
        </a:ln>
      </c:spPr>
    </c:plotArea>
    <c:legend>
      <c:legendPos val="b"/>
      <c:layout>
        <c:manualLayout>
          <c:xMode val="edge"/>
          <c:yMode val="edge"/>
          <c:x val="0.16816620598173695"/>
          <c:y val="5.0279187242836858E-2"/>
          <c:w val="0.39817682413468247"/>
          <c:h val="6.1900568959952905E-2"/>
        </c:manualLayout>
      </c:layout>
      <c:overlay val="0"/>
      <c:spPr>
        <a:noFill/>
        <a:ln w="25400">
          <a:noFill/>
        </a:ln>
      </c:spPr>
      <c:txPr>
        <a:bodyPr/>
        <a:lstStyle/>
        <a:p>
          <a:pPr>
            <a:defRPr sz="900" b="0" i="0" u="none" strike="noStrike" baseline="0">
              <a:solidFill>
                <a:srgbClr val="000000"/>
              </a:solidFill>
              <a:latin typeface="Arial"/>
              <a:ea typeface="Arial"/>
              <a:cs typeface="Arial"/>
            </a:defRPr>
          </a:pPr>
          <a:endParaRPr lang="en-US"/>
        </a:p>
      </c:txPr>
    </c:legend>
    <c:plotVisOnly val="1"/>
    <c:dispBlanksAs val="gap"/>
    <c:showDLblsOverMax val="0"/>
  </c:chart>
  <c:spPr>
    <a:noFill/>
    <a:ln w="9525">
      <a:noFill/>
    </a:ln>
  </c:spPr>
  <c:txPr>
    <a:bodyPr/>
    <a:lstStyle/>
    <a:p>
      <a:pPr>
        <a:defRPr sz="900" b="0" i="0" u="none" strike="noStrike" baseline="0">
          <a:solidFill>
            <a:srgbClr val="000000"/>
          </a:solidFill>
          <a:latin typeface="Arial"/>
          <a:ea typeface="Arial"/>
          <a:cs typeface="Arial"/>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917027417027418"/>
          <c:y val="0.18333333333333332"/>
          <c:w val="0.68091630591630592"/>
          <c:h val="0.65538194444444442"/>
        </c:manualLayout>
      </c:layout>
      <c:pieChart>
        <c:varyColors val="1"/>
        <c:ser>
          <c:idx val="0"/>
          <c:order val="0"/>
          <c:tx>
            <c:strRef>
              <c:f>'Figure 2.3'!$B$4</c:f>
              <c:strCache>
                <c:ptCount val="1"/>
                <c:pt idx="0">
                  <c:v>2006-07</c:v>
                </c:pt>
              </c:strCache>
            </c:strRef>
          </c:tx>
          <c:spPr>
            <a:ln>
              <a:solidFill>
                <a:schemeClr val="tx1"/>
              </a:solidFill>
            </a:ln>
          </c:spPr>
          <c:dPt>
            <c:idx val="0"/>
            <c:bubble3D val="0"/>
            <c:spPr>
              <a:pattFill prst="ltVert">
                <a:fgClr>
                  <a:sysClr val="windowText" lastClr="000000"/>
                </a:fgClr>
                <a:bgClr>
                  <a:schemeClr val="bg1"/>
                </a:bgClr>
              </a:pattFill>
              <a:ln>
                <a:solidFill>
                  <a:schemeClr val="tx1"/>
                </a:solidFill>
              </a:ln>
            </c:spPr>
          </c:dPt>
          <c:dPt>
            <c:idx val="1"/>
            <c:bubble3D val="0"/>
            <c:spPr>
              <a:pattFill prst="smGrid">
                <a:fgClr>
                  <a:sysClr val="windowText" lastClr="000000"/>
                </a:fgClr>
                <a:bgClr>
                  <a:schemeClr val="bg1"/>
                </a:bgClr>
              </a:pattFill>
              <a:ln>
                <a:solidFill>
                  <a:schemeClr val="tx1"/>
                </a:solidFill>
              </a:ln>
            </c:spPr>
          </c:dPt>
          <c:dPt>
            <c:idx val="2"/>
            <c:bubble3D val="0"/>
            <c:spPr>
              <a:pattFill prst="ltHorz">
                <a:fgClr>
                  <a:sysClr val="windowText" lastClr="000000"/>
                </a:fgClr>
                <a:bgClr>
                  <a:schemeClr val="bg1"/>
                </a:bgClr>
              </a:pattFill>
              <a:ln>
                <a:solidFill>
                  <a:schemeClr val="tx1"/>
                </a:solidFill>
              </a:ln>
            </c:spPr>
          </c:dPt>
          <c:dPt>
            <c:idx val="3"/>
            <c:bubble3D val="0"/>
            <c:spPr>
              <a:noFill/>
              <a:ln>
                <a:solidFill>
                  <a:schemeClr val="tx1"/>
                </a:solidFill>
              </a:ln>
            </c:spPr>
          </c:dPt>
          <c:dPt>
            <c:idx val="4"/>
            <c:bubble3D val="0"/>
            <c:spPr>
              <a:pattFill prst="dkUpDiag">
                <a:fgClr>
                  <a:sysClr val="windowText" lastClr="000000"/>
                </a:fgClr>
                <a:bgClr>
                  <a:schemeClr val="bg1"/>
                </a:bgClr>
              </a:pattFill>
              <a:ln>
                <a:solidFill>
                  <a:schemeClr val="tx1"/>
                </a:solidFill>
              </a:ln>
            </c:spPr>
          </c:dPt>
          <c:dPt>
            <c:idx val="5"/>
            <c:bubble3D val="0"/>
            <c:spPr>
              <a:pattFill prst="openDmnd">
                <a:fgClr>
                  <a:sysClr val="windowText" lastClr="000000"/>
                </a:fgClr>
                <a:bgClr>
                  <a:schemeClr val="bg1"/>
                </a:bgClr>
              </a:pattFill>
              <a:ln>
                <a:solidFill>
                  <a:schemeClr val="tx1"/>
                </a:solidFill>
              </a:ln>
            </c:spPr>
          </c:dPt>
          <c:dPt>
            <c:idx val="6"/>
            <c:bubble3D val="0"/>
            <c:spPr>
              <a:solidFill>
                <a:sysClr val="windowText" lastClr="000000"/>
              </a:solidFill>
              <a:ln>
                <a:solidFill>
                  <a:schemeClr val="tx1"/>
                </a:solidFill>
              </a:ln>
            </c:spPr>
          </c:dPt>
          <c:dPt>
            <c:idx val="7"/>
            <c:bubble3D val="0"/>
            <c:spPr>
              <a:pattFill prst="dkDnDiag">
                <a:fgClr>
                  <a:sysClr val="windowText" lastClr="000000"/>
                </a:fgClr>
                <a:bgClr>
                  <a:schemeClr val="bg1"/>
                </a:bgClr>
              </a:pattFill>
              <a:ln>
                <a:solidFill>
                  <a:schemeClr val="tx1"/>
                </a:solidFill>
              </a:ln>
            </c:spPr>
          </c:dPt>
          <c:dLbls>
            <c:dLbl>
              <c:idx val="0"/>
              <c:layout>
                <c:manualLayout>
                  <c:x val="1.5796897546897545E-2"/>
                  <c:y val="1.3354166666666667E-2"/>
                </c:manualLayout>
              </c:layout>
              <c:tx>
                <c:rich>
                  <a:bodyPr/>
                  <a:lstStyle/>
                  <a:p>
                    <a:r>
                      <a:rPr lang="en-US" sz="820" baseline="0">
                        <a:latin typeface="Arial" pitchFamily="34" charset="0"/>
                        <a:cs typeface="Arial" pitchFamily="34" charset="0"/>
                      </a:rPr>
                      <a:t> R&amp;D</a:t>
                    </a:r>
                  </a:p>
                  <a:p>
                    <a:r>
                      <a:rPr lang="en-US" sz="820" baseline="0">
                        <a:latin typeface="Arial" pitchFamily="34" charset="0"/>
                        <a:cs typeface="Arial" pitchFamily="34" charset="0"/>
                      </a:rPr>
                      <a:t>28%</a:t>
                    </a:r>
                    <a:endParaRPr lang="en-US"/>
                  </a:p>
                </c:rich>
              </c:tx>
              <c:showLegendKey val="0"/>
              <c:showVal val="1"/>
              <c:showCatName val="0"/>
              <c:showSerName val="1"/>
              <c:showPercent val="0"/>
              <c:showBubbleSize val="0"/>
            </c:dLbl>
            <c:dLbl>
              <c:idx val="1"/>
              <c:layout>
                <c:manualLayout>
                  <c:x val="0.11596139971139971"/>
                  <c:y val="-5.4359722222222219E-2"/>
                </c:manualLayout>
              </c:layout>
              <c:tx>
                <c:rich>
                  <a:bodyPr/>
                  <a:lstStyle/>
                  <a:p>
                    <a:r>
                      <a:rPr lang="en-US" sz="820" baseline="0">
                        <a:latin typeface="Arial" pitchFamily="34" charset="0"/>
                        <a:cs typeface="Arial" pitchFamily="34" charset="0"/>
                      </a:rPr>
                      <a:t> Export</a:t>
                    </a:r>
                  </a:p>
                  <a:p>
                    <a:r>
                      <a:rPr lang="en-US" sz="820" baseline="0">
                        <a:latin typeface="Arial" pitchFamily="34" charset="0"/>
                        <a:cs typeface="Arial" pitchFamily="34" charset="0"/>
                      </a:rPr>
                      <a:t>9%</a:t>
                    </a:r>
                    <a:endParaRPr lang="en-US"/>
                  </a:p>
                </c:rich>
              </c:tx>
              <c:showLegendKey val="0"/>
              <c:showVal val="1"/>
              <c:showCatName val="0"/>
              <c:showSerName val="1"/>
              <c:showPercent val="0"/>
              <c:showBubbleSize val="0"/>
            </c:dLbl>
            <c:dLbl>
              <c:idx val="2"/>
              <c:layout>
                <c:manualLayout>
                  <c:x val="3.8556654045715885E-2"/>
                  <c:y val="2.2222222222222223E-5"/>
                </c:manualLayout>
              </c:layout>
              <c:tx>
                <c:rich>
                  <a:bodyPr/>
                  <a:lstStyle/>
                  <a:p>
                    <a:r>
                      <a:rPr lang="en-US" sz="820" baseline="0">
                        <a:latin typeface="Arial" pitchFamily="34" charset="0"/>
                        <a:cs typeface="Arial" pitchFamily="34" charset="0"/>
                      </a:rPr>
                      <a:t> Invest-ment</a:t>
                    </a:r>
                  </a:p>
                  <a:p>
                    <a:r>
                      <a:rPr lang="en-US" sz="820" baseline="0">
                        <a:latin typeface="Arial" pitchFamily="34" charset="0"/>
                        <a:cs typeface="Arial" pitchFamily="34" charset="0"/>
                      </a:rPr>
                      <a:t>1%</a:t>
                    </a:r>
                    <a:endParaRPr lang="en-US"/>
                  </a:p>
                </c:rich>
              </c:tx>
              <c:showLegendKey val="0"/>
              <c:showVal val="1"/>
              <c:showCatName val="0"/>
              <c:showSerName val="1"/>
              <c:showPercent val="0"/>
              <c:showBubbleSize val="0"/>
            </c:dLbl>
            <c:dLbl>
              <c:idx val="3"/>
              <c:layout>
                <c:manualLayout>
                  <c:x val="-6.1837795189900971E-2"/>
                  <c:y val="-6.0819444444444445E-3"/>
                </c:manualLayout>
              </c:layout>
              <c:tx>
                <c:rich>
                  <a:bodyPr/>
                  <a:lstStyle/>
                  <a:p>
                    <a:r>
                      <a:rPr lang="en-US" sz="820" baseline="0">
                        <a:latin typeface="Arial" pitchFamily="34" charset="0"/>
                        <a:cs typeface="Arial" pitchFamily="34" charset="0"/>
                      </a:rPr>
                      <a:t> Industry specific</a:t>
                    </a:r>
                  </a:p>
                  <a:p>
                    <a:r>
                      <a:rPr lang="en-US" sz="820" baseline="0">
                        <a:latin typeface="Arial" pitchFamily="34" charset="0"/>
                        <a:cs typeface="Arial" pitchFamily="34" charset="0"/>
                      </a:rPr>
                      <a:t>26%</a:t>
                    </a:r>
                    <a:endParaRPr lang="en-US"/>
                  </a:p>
                </c:rich>
              </c:tx>
              <c:showLegendKey val="0"/>
              <c:showVal val="1"/>
              <c:showCatName val="0"/>
              <c:showSerName val="1"/>
              <c:showPercent val="0"/>
              <c:showBubbleSize val="0"/>
            </c:dLbl>
            <c:dLbl>
              <c:idx val="4"/>
              <c:layout>
                <c:manualLayout>
                  <c:x val="6.0461760461760457E-4"/>
                  <c:y val="-6.9951388888888882E-2"/>
                </c:manualLayout>
              </c:layout>
              <c:tx>
                <c:rich>
                  <a:bodyPr/>
                  <a:lstStyle/>
                  <a:p>
                    <a:r>
                      <a:rPr lang="en-US" sz="820"/>
                      <a:t>Sectoral</a:t>
                    </a:r>
                  </a:p>
                  <a:p>
                    <a:r>
                      <a:rPr lang="en-US" sz="820"/>
                      <a:t>14%</a:t>
                    </a:r>
                    <a:endParaRPr lang="en-US"/>
                  </a:p>
                </c:rich>
              </c:tx>
              <c:showLegendKey val="0"/>
              <c:showVal val="0"/>
              <c:showCatName val="0"/>
              <c:showSerName val="1"/>
              <c:showPercent val="0"/>
              <c:showBubbleSize val="0"/>
            </c:dLbl>
            <c:dLbl>
              <c:idx val="5"/>
              <c:layout>
                <c:manualLayout>
                  <c:x val="-2.4993506493506495E-2"/>
                  <c:y val="-3.9349652777777785E-2"/>
                </c:manualLayout>
              </c:layout>
              <c:tx>
                <c:rich>
                  <a:bodyPr/>
                  <a:lstStyle/>
                  <a:p>
                    <a:r>
                      <a:rPr lang="en-US" sz="820" baseline="0">
                        <a:latin typeface="Arial" pitchFamily="34" charset="0"/>
                        <a:cs typeface="Arial" pitchFamily="34" charset="0"/>
                      </a:rPr>
                      <a:t>Regional adjust-ment</a:t>
                    </a:r>
                  </a:p>
                  <a:p>
                    <a:r>
                      <a:rPr lang="en-US" sz="820" baseline="0">
                        <a:latin typeface="Arial" pitchFamily="34" charset="0"/>
                        <a:cs typeface="Arial" pitchFamily="34" charset="0"/>
                      </a:rPr>
                      <a:t>3%</a:t>
                    </a:r>
                    <a:endParaRPr lang="en-US"/>
                  </a:p>
                </c:rich>
              </c:tx>
              <c:showLegendKey val="0"/>
              <c:showVal val="1"/>
              <c:showCatName val="0"/>
              <c:showSerName val="1"/>
              <c:showPercent val="0"/>
              <c:showBubbleSize val="0"/>
            </c:dLbl>
            <c:dLbl>
              <c:idx val="6"/>
              <c:layout>
                <c:manualLayout>
                  <c:x val="5.3237535612535615E-2"/>
                  <c:y val="-1.7582977207977208E-2"/>
                </c:manualLayout>
              </c:layout>
              <c:tx>
                <c:rich>
                  <a:bodyPr/>
                  <a:lstStyle/>
                  <a:p>
                    <a:r>
                      <a:rPr lang="en-US" sz="820" baseline="0">
                        <a:latin typeface="Arial" pitchFamily="34" charset="0"/>
                        <a:cs typeface="Arial" pitchFamily="34" charset="0"/>
                      </a:rPr>
                      <a:t> Small business</a:t>
                    </a:r>
                  </a:p>
                  <a:p>
                    <a:r>
                      <a:rPr lang="en-US" sz="820" baseline="0">
                        <a:latin typeface="Arial" pitchFamily="34" charset="0"/>
                        <a:cs typeface="Arial" pitchFamily="34" charset="0"/>
                      </a:rPr>
                      <a:t>18%</a:t>
                    </a:r>
                    <a:endParaRPr lang="en-US"/>
                  </a:p>
                </c:rich>
              </c:tx>
              <c:showLegendKey val="0"/>
              <c:showVal val="1"/>
              <c:showCatName val="0"/>
              <c:showSerName val="1"/>
              <c:showPercent val="0"/>
              <c:showBubbleSize val="0"/>
            </c:dLbl>
            <c:dLbl>
              <c:idx val="7"/>
              <c:layout>
                <c:manualLayout>
                  <c:x val="3.9711471041929687E-2"/>
                  <c:y val="1.7638888888888888E-2"/>
                </c:manualLayout>
              </c:layout>
              <c:tx>
                <c:rich>
                  <a:bodyPr/>
                  <a:lstStyle/>
                  <a:p>
                    <a:r>
                      <a:rPr lang="en-US" sz="820" baseline="0">
                        <a:latin typeface="Arial" pitchFamily="34" charset="0"/>
                        <a:cs typeface="Arial" pitchFamily="34" charset="0"/>
                      </a:rPr>
                      <a:t> Other measures</a:t>
                    </a:r>
                  </a:p>
                  <a:p>
                    <a:r>
                      <a:rPr lang="en-US" sz="820" baseline="0">
                        <a:latin typeface="Arial" pitchFamily="34" charset="0"/>
                        <a:cs typeface="Arial" pitchFamily="34" charset="0"/>
                      </a:rPr>
                      <a:t>2%</a:t>
                    </a:r>
                    <a:endParaRPr lang="en-US"/>
                  </a:p>
                </c:rich>
              </c:tx>
              <c:showLegendKey val="0"/>
              <c:showVal val="1"/>
              <c:showCatName val="0"/>
              <c:showSerName val="1"/>
              <c:showPercent val="0"/>
              <c:showBubbleSize val="0"/>
            </c:dLbl>
            <c:txPr>
              <a:bodyPr/>
              <a:lstStyle/>
              <a:p>
                <a:pPr>
                  <a:defRPr sz="820">
                    <a:latin typeface="Arial" pitchFamily="34" charset="0"/>
                    <a:cs typeface="Arial" pitchFamily="34" charset="0"/>
                  </a:defRPr>
                </a:pPr>
                <a:endParaRPr lang="en-US"/>
              </a:p>
            </c:txPr>
            <c:showLegendKey val="0"/>
            <c:showVal val="1"/>
            <c:showCatName val="0"/>
            <c:showSerName val="1"/>
            <c:showPercent val="0"/>
            <c:showBubbleSize val="0"/>
            <c:showLeaderLines val="1"/>
          </c:dLbls>
          <c:cat>
            <c:strRef>
              <c:f>'Figure 2.3'!$A$5:$A$12</c:f>
              <c:strCache>
                <c:ptCount val="8"/>
                <c:pt idx="0">
                  <c:v>R&amp;D</c:v>
                </c:pt>
                <c:pt idx="1">
                  <c:v>Export</c:v>
                </c:pt>
                <c:pt idx="2">
                  <c:v>Investment</c:v>
                </c:pt>
                <c:pt idx="3">
                  <c:v>Industry-specific assistance</c:v>
                </c:pt>
                <c:pt idx="4">
                  <c:v>Sectoral assistance</c:v>
                </c:pt>
                <c:pt idx="5">
                  <c:v>Regional/Structural adjustment</c:v>
                </c:pt>
                <c:pt idx="6">
                  <c:v>Small business</c:v>
                </c:pt>
                <c:pt idx="7">
                  <c:v>Other measures</c:v>
                </c:pt>
              </c:strCache>
            </c:strRef>
          </c:cat>
          <c:val>
            <c:numRef>
              <c:f>'Figure 2.3'!$B$5:$B$12</c:f>
              <c:numCache>
                <c:formatCode>0.0</c:formatCode>
                <c:ptCount val="8"/>
                <c:pt idx="0">
                  <c:v>1897.57797287631</c:v>
                </c:pt>
                <c:pt idx="1">
                  <c:v>607.84208228368902</c:v>
                </c:pt>
                <c:pt idx="2">
                  <c:v>54.491999999999997</c:v>
                </c:pt>
                <c:pt idx="3">
                  <c:v>1782.9296409999999</c:v>
                </c:pt>
                <c:pt idx="4">
                  <c:v>953.86980600000004</c:v>
                </c:pt>
                <c:pt idx="5">
                  <c:v>173.02721700000001</c:v>
                </c:pt>
                <c:pt idx="6">
                  <c:v>1212.49</c:v>
                </c:pt>
                <c:pt idx="7">
                  <c:v>123.017</c:v>
                </c:pt>
              </c:numCache>
            </c:numRef>
          </c:val>
        </c:ser>
        <c:dLbls>
          <c:showLegendKey val="0"/>
          <c:showVal val="0"/>
          <c:showCatName val="0"/>
          <c:showSerName val="0"/>
          <c:showPercent val="0"/>
          <c:showBubbleSize val="0"/>
          <c:showLeaderLines val="1"/>
        </c:dLbls>
        <c:firstSliceAng val="32"/>
      </c:pieChart>
    </c:plotArea>
    <c:plotVisOnly val="1"/>
    <c:dispBlanksAs val="gap"/>
    <c:showDLblsOverMax val="0"/>
  </c:chart>
  <c:spPr>
    <a:solidFill>
      <a:schemeClr val="bg1"/>
    </a:solidFill>
    <a:ln>
      <a:noFill/>
    </a:ln>
  </c:spPr>
  <c:txPr>
    <a:bodyPr/>
    <a:lstStyle/>
    <a:p>
      <a:pPr>
        <a:defRPr sz="900"/>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856497113997114"/>
          <c:y val="0.18186284722222223"/>
          <c:w val="0.68163419913419909"/>
          <c:h val="0.65607291666666667"/>
        </c:manualLayout>
      </c:layout>
      <c:pieChart>
        <c:varyColors val="1"/>
        <c:ser>
          <c:idx val="0"/>
          <c:order val="0"/>
          <c:tx>
            <c:strRef>
              <c:f>'Figure 2.3'!$C$4</c:f>
              <c:strCache>
                <c:ptCount val="1"/>
                <c:pt idx="0">
                  <c:v>2011-12</c:v>
                </c:pt>
              </c:strCache>
            </c:strRef>
          </c:tx>
          <c:spPr>
            <a:ln>
              <a:solidFill>
                <a:schemeClr val="tx1"/>
              </a:solidFill>
            </a:ln>
          </c:spPr>
          <c:dPt>
            <c:idx val="0"/>
            <c:bubble3D val="0"/>
            <c:spPr>
              <a:pattFill prst="ltVert">
                <a:fgClr>
                  <a:sysClr val="windowText" lastClr="000000"/>
                </a:fgClr>
                <a:bgClr>
                  <a:schemeClr val="bg1"/>
                </a:bgClr>
              </a:pattFill>
              <a:ln>
                <a:solidFill>
                  <a:schemeClr val="tx1"/>
                </a:solidFill>
              </a:ln>
            </c:spPr>
          </c:dPt>
          <c:dPt>
            <c:idx val="1"/>
            <c:bubble3D val="0"/>
            <c:spPr>
              <a:pattFill prst="smGrid">
                <a:fgClr>
                  <a:sysClr val="windowText" lastClr="000000"/>
                </a:fgClr>
                <a:bgClr>
                  <a:schemeClr val="bg1"/>
                </a:bgClr>
              </a:pattFill>
              <a:ln>
                <a:solidFill>
                  <a:schemeClr val="tx1"/>
                </a:solidFill>
              </a:ln>
            </c:spPr>
          </c:dPt>
          <c:dPt>
            <c:idx val="3"/>
            <c:bubble3D val="0"/>
            <c:spPr>
              <a:noFill/>
              <a:ln>
                <a:solidFill>
                  <a:schemeClr val="tx1"/>
                </a:solidFill>
              </a:ln>
            </c:spPr>
          </c:dPt>
          <c:dPt>
            <c:idx val="4"/>
            <c:bubble3D val="0"/>
            <c:spPr>
              <a:pattFill prst="dkUpDiag">
                <a:fgClr>
                  <a:sysClr val="windowText" lastClr="000000"/>
                </a:fgClr>
                <a:bgClr>
                  <a:schemeClr val="bg1"/>
                </a:bgClr>
              </a:pattFill>
              <a:ln>
                <a:solidFill>
                  <a:schemeClr val="tx1"/>
                </a:solidFill>
              </a:ln>
            </c:spPr>
          </c:dPt>
          <c:dPt>
            <c:idx val="5"/>
            <c:bubble3D val="0"/>
            <c:spPr>
              <a:pattFill prst="openDmnd">
                <a:fgClr>
                  <a:sysClr val="windowText" lastClr="000000"/>
                </a:fgClr>
                <a:bgClr>
                  <a:schemeClr val="bg1"/>
                </a:bgClr>
              </a:pattFill>
              <a:ln>
                <a:solidFill>
                  <a:schemeClr val="tx1"/>
                </a:solidFill>
              </a:ln>
            </c:spPr>
          </c:dPt>
          <c:dPt>
            <c:idx val="6"/>
            <c:bubble3D val="0"/>
            <c:spPr>
              <a:solidFill>
                <a:sysClr val="windowText" lastClr="000000"/>
              </a:solidFill>
              <a:ln>
                <a:solidFill>
                  <a:schemeClr val="tx1"/>
                </a:solidFill>
              </a:ln>
            </c:spPr>
          </c:dPt>
          <c:dPt>
            <c:idx val="7"/>
            <c:bubble3D val="0"/>
            <c:spPr>
              <a:pattFill prst="dkDnDiag">
                <a:fgClr>
                  <a:sysClr val="windowText" lastClr="000000"/>
                </a:fgClr>
                <a:bgClr>
                  <a:schemeClr val="bg1"/>
                </a:bgClr>
              </a:pattFill>
              <a:ln>
                <a:solidFill>
                  <a:schemeClr val="tx1"/>
                </a:solidFill>
              </a:ln>
            </c:spPr>
          </c:dPt>
          <c:dLbls>
            <c:dLbl>
              <c:idx val="0"/>
              <c:layout>
                <c:manualLayout>
                  <c:x val="5.0573593073593073E-3"/>
                  <c:y val="6.4013194444444366E-2"/>
                </c:manualLayout>
              </c:layout>
              <c:tx>
                <c:rich>
                  <a:bodyPr/>
                  <a:lstStyle/>
                  <a:p>
                    <a:r>
                      <a:rPr lang="en-US" sz="820" baseline="0"/>
                      <a:t>R&amp;D</a:t>
                    </a:r>
                  </a:p>
                  <a:p>
                    <a:r>
                      <a:rPr lang="en-US" sz="820" baseline="0"/>
                      <a:t>28%</a:t>
                    </a:r>
                    <a:endParaRPr lang="en-US"/>
                  </a:p>
                </c:rich>
              </c:tx>
              <c:showLegendKey val="0"/>
              <c:showVal val="1"/>
              <c:showCatName val="0"/>
              <c:showSerName val="0"/>
              <c:showPercent val="0"/>
              <c:showBubbleSize val="0"/>
            </c:dLbl>
            <c:dLbl>
              <c:idx val="1"/>
              <c:layout>
                <c:manualLayout>
                  <c:x val="4.8128403844558916E-2"/>
                  <c:y val="1.1791319444444445E-2"/>
                </c:manualLayout>
              </c:layout>
              <c:tx>
                <c:rich>
                  <a:bodyPr/>
                  <a:lstStyle/>
                  <a:p>
                    <a:r>
                      <a:rPr lang="en-US" sz="820" baseline="0"/>
                      <a:t> Export</a:t>
                    </a:r>
                  </a:p>
                  <a:p>
                    <a:r>
                      <a:rPr lang="en-US" sz="820" baseline="0"/>
                      <a:t>5%</a:t>
                    </a:r>
                    <a:endParaRPr lang="en-US"/>
                  </a:p>
                </c:rich>
              </c:tx>
              <c:showLegendKey val="0"/>
              <c:showVal val="1"/>
              <c:showCatName val="0"/>
              <c:showSerName val="0"/>
              <c:showPercent val="0"/>
              <c:showBubbleSize val="0"/>
            </c:dLbl>
            <c:dLbl>
              <c:idx val="2"/>
              <c:delete val="1"/>
            </c:dLbl>
            <c:dLbl>
              <c:idx val="3"/>
              <c:layout>
                <c:manualLayout>
                  <c:x val="-3.4888888888888886E-2"/>
                  <c:y val="-1.6805555555555557E-4"/>
                </c:manualLayout>
              </c:layout>
              <c:tx>
                <c:rich>
                  <a:bodyPr/>
                  <a:lstStyle/>
                  <a:p>
                    <a:r>
                      <a:rPr lang="en-US" sz="820" baseline="0"/>
                      <a:t> Industry specific</a:t>
                    </a:r>
                  </a:p>
                  <a:p>
                    <a:r>
                      <a:rPr lang="en-US" sz="820" baseline="0"/>
                      <a:t>31%</a:t>
                    </a:r>
                    <a:endParaRPr lang="en-US"/>
                  </a:p>
                </c:rich>
              </c:tx>
              <c:showLegendKey val="0"/>
              <c:showVal val="1"/>
              <c:showCatName val="0"/>
              <c:showSerName val="0"/>
              <c:showPercent val="0"/>
              <c:showBubbleSize val="0"/>
            </c:dLbl>
            <c:dLbl>
              <c:idx val="4"/>
              <c:layout>
                <c:manualLayout>
                  <c:x val="-2.5078361652354667E-2"/>
                  <c:y val="1.0819097222222223E-2"/>
                </c:manualLayout>
              </c:layout>
              <c:tx>
                <c:rich>
                  <a:bodyPr/>
                  <a:lstStyle/>
                  <a:p>
                    <a:r>
                      <a:rPr lang="en-US" sz="820" baseline="0"/>
                      <a:t> Sectoral </a:t>
                    </a:r>
                  </a:p>
                  <a:p>
                    <a:r>
                      <a:rPr lang="en-US" sz="820" baseline="0"/>
                      <a:t>8%</a:t>
                    </a:r>
                    <a:endParaRPr lang="en-US"/>
                  </a:p>
                </c:rich>
              </c:tx>
              <c:showLegendKey val="0"/>
              <c:showVal val="1"/>
              <c:showCatName val="0"/>
              <c:showSerName val="0"/>
              <c:showPercent val="0"/>
              <c:showBubbleSize val="0"/>
            </c:dLbl>
            <c:dLbl>
              <c:idx val="5"/>
              <c:layout>
                <c:manualLayout>
                  <c:x val="-3.761796536796537E-2"/>
                  <c:y val="-6.6897569444444444E-2"/>
                </c:manualLayout>
              </c:layout>
              <c:tx>
                <c:rich>
                  <a:bodyPr/>
                  <a:lstStyle/>
                  <a:p>
                    <a:r>
                      <a:rPr lang="en-US" sz="820" baseline="0"/>
                      <a:t>Regional adjust-ment </a:t>
                    </a:r>
                  </a:p>
                  <a:p>
                    <a:r>
                      <a:rPr lang="en-US" sz="820" baseline="0"/>
                      <a:t>2%</a:t>
                    </a:r>
                    <a:endParaRPr lang="en-US"/>
                  </a:p>
                </c:rich>
              </c:tx>
              <c:showLegendKey val="0"/>
              <c:showVal val="1"/>
              <c:showCatName val="0"/>
              <c:showSerName val="0"/>
              <c:showPercent val="0"/>
              <c:showBubbleSize val="0"/>
            </c:dLbl>
            <c:dLbl>
              <c:idx val="6"/>
              <c:layout>
                <c:manualLayout>
                  <c:x val="4.689587806518794E-2"/>
                  <c:y val="-3.9687500000000001E-2"/>
                </c:manualLayout>
              </c:layout>
              <c:tx>
                <c:rich>
                  <a:bodyPr/>
                  <a:lstStyle/>
                  <a:p>
                    <a:r>
                      <a:rPr lang="en-US" sz="820" baseline="0"/>
                      <a:t> Small business</a:t>
                    </a:r>
                  </a:p>
                  <a:p>
                    <a:r>
                      <a:rPr lang="en-US" sz="820" baseline="0"/>
                      <a:t>22%</a:t>
                    </a:r>
                    <a:endParaRPr lang="en-US"/>
                  </a:p>
                </c:rich>
              </c:tx>
              <c:showLegendKey val="0"/>
              <c:showVal val="1"/>
              <c:showCatName val="0"/>
              <c:showSerName val="0"/>
              <c:showPercent val="0"/>
              <c:showBubbleSize val="0"/>
            </c:dLbl>
            <c:dLbl>
              <c:idx val="7"/>
              <c:layout>
                <c:manualLayout>
                  <c:x val="4.6103896103896102E-4"/>
                  <c:y val="-7.624201388888889E-2"/>
                </c:manualLayout>
              </c:layout>
              <c:tx>
                <c:rich>
                  <a:bodyPr/>
                  <a:lstStyle/>
                  <a:p>
                    <a:r>
                      <a:rPr lang="en-US" sz="820" baseline="0"/>
                      <a:t>Other measures 4%</a:t>
                    </a:r>
                    <a:endParaRPr lang="en-US"/>
                  </a:p>
                </c:rich>
              </c:tx>
              <c:showLegendKey val="0"/>
              <c:showVal val="1"/>
              <c:showCatName val="0"/>
              <c:showSerName val="0"/>
              <c:showPercent val="0"/>
              <c:showBubbleSize val="0"/>
            </c:dLbl>
            <c:txPr>
              <a:bodyPr/>
              <a:lstStyle/>
              <a:p>
                <a:pPr>
                  <a:defRPr sz="820"/>
                </a:pPr>
                <a:endParaRPr lang="en-US"/>
              </a:p>
            </c:txPr>
            <c:showLegendKey val="0"/>
            <c:showVal val="1"/>
            <c:showCatName val="0"/>
            <c:showSerName val="0"/>
            <c:showPercent val="0"/>
            <c:showBubbleSize val="0"/>
            <c:showLeaderLines val="1"/>
          </c:dLbls>
          <c:cat>
            <c:strRef>
              <c:f>'Figure 2.3'!$A$5:$A$12</c:f>
              <c:strCache>
                <c:ptCount val="8"/>
                <c:pt idx="0">
                  <c:v>R&amp;D</c:v>
                </c:pt>
                <c:pt idx="1">
                  <c:v>Export</c:v>
                </c:pt>
                <c:pt idx="2">
                  <c:v>Investment</c:v>
                </c:pt>
                <c:pt idx="3">
                  <c:v>Industry-specific assistance</c:v>
                </c:pt>
                <c:pt idx="4">
                  <c:v>Sectoral assistance</c:v>
                </c:pt>
                <c:pt idx="5">
                  <c:v>Regional/Structural adjustment</c:v>
                </c:pt>
                <c:pt idx="6">
                  <c:v>Small business</c:v>
                </c:pt>
                <c:pt idx="7">
                  <c:v>Other measures</c:v>
                </c:pt>
              </c:strCache>
            </c:strRef>
          </c:cat>
          <c:val>
            <c:numRef>
              <c:f>'Figure 2.3'!$C$5:$C$12</c:f>
              <c:numCache>
                <c:formatCode>0.0</c:formatCode>
                <c:ptCount val="8"/>
                <c:pt idx="0">
                  <c:v>2612.8986108037898</c:v>
                </c:pt>
                <c:pt idx="1">
                  <c:v>476.09754022275303</c:v>
                </c:pt>
                <c:pt idx="2">
                  <c:v>1</c:v>
                </c:pt>
                <c:pt idx="3">
                  <c:v>2930.9687421200001</c:v>
                </c:pt>
                <c:pt idx="4">
                  <c:v>758.64681131999998</c:v>
                </c:pt>
                <c:pt idx="5">
                  <c:v>168.02699999999999</c:v>
                </c:pt>
                <c:pt idx="6">
                  <c:v>2057.1386446500001</c:v>
                </c:pt>
                <c:pt idx="7">
                  <c:v>415.13161400000001</c:v>
                </c:pt>
              </c:numCache>
            </c:numRef>
          </c:val>
        </c:ser>
        <c:dLbls>
          <c:showLegendKey val="0"/>
          <c:showVal val="0"/>
          <c:showCatName val="0"/>
          <c:showSerName val="0"/>
          <c:showPercent val="0"/>
          <c:showBubbleSize val="0"/>
          <c:showLeaderLines val="1"/>
        </c:dLbls>
        <c:firstSliceAng val="50"/>
      </c:pieChart>
    </c:plotArea>
    <c:plotVisOnly val="1"/>
    <c:dispBlanksAs val="gap"/>
    <c:showDLblsOverMax val="0"/>
  </c:chart>
  <c:spPr>
    <a:ln>
      <a:noFill/>
    </a:ln>
  </c:spPr>
  <c:txPr>
    <a:bodyPr/>
    <a:lstStyle/>
    <a:p>
      <a:pPr>
        <a:defRPr sz="900">
          <a:latin typeface="Arial" pitchFamily="34" charset="0"/>
          <a:cs typeface="Arial" pitchFamily="34" charset="0"/>
        </a:defRPr>
      </a:pPr>
      <a:endParaRPr lang="en-US"/>
    </a:p>
  </c:tx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'Figure 2.4'!$B$4</c:f>
              <c:strCache>
                <c:ptCount val="1"/>
                <c:pt idx="0">
                  <c:v>2006-07</c:v>
                </c:pt>
              </c:strCache>
            </c:strRef>
          </c:tx>
          <c:spPr>
            <a:ln>
              <a:solidFill>
                <a:schemeClr val="tx1"/>
              </a:solidFill>
            </a:ln>
          </c:spPr>
          <c:dPt>
            <c:idx val="0"/>
            <c:bubble3D val="0"/>
            <c:spPr>
              <a:solidFill>
                <a:schemeClr val="tx1"/>
              </a:solidFill>
              <a:ln>
                <a:solidFill>
                  <a:schemeClr val="tx1"/>
                </a:solidFill>
              </a:ln>
            </c:spPr>
          </c:dPt>
          <c:dPt>
            <c:idx val="1"/>
            <c:bubble3D val="0"/>
            <c:spPr>
              <a:pattFill prst="ltHorz">
                <a:fgClr>
                  <a:schemeClr val="tx1"/>
                </a:fgClr>
                <a:bgClr>
                  <a:schemeClr val="bg1"/>
                </a:bgClr>
              </a:pattFill>
              <a:ln>
                <a:solidFill>
                  <a:schemeClr val="tx1"/>
                </a:solidFill>
              </a:ln>
            </c:spPr>
          </c:dPt>
          <c:dPt>
            <c:idx val="2"/>
            <c:bubble3D val="0"/>
            <c:spPr>
              <a:pattFill prst="smGrid">
                <a:fgClr>
                  <a:schemeClr val="tx1"/>
                </a:fgClr>
                <a:bgClr>
                  <a:schemeClr val="bg1"/>
                </a:bgClr>
              </a:pattFill>
              <a:ln>
                <a:solidFill>
                  <a:schemeClr val="tx1"/>
                </a:solidFill>
              </a:ln>
            </c:spPr>
          </c:dPt>
          <c:dPt>
            <c:idx val="3"/>
            <c:bubble3D val="0"/>
            <c:spPr>
              <a:noFill/>
              <a:ln>
                <a:solidFill>
                  <a:schemeClr val="tx1"/>
                </a:solidFill>
              </a:ln>
            </c:spPr>
          </c:dPt>
          <c:dPt>
            <c:idx val="4"/>
            <c:bubble3D val="0"/>
            <c:spPr>
              <a:pattFill prst="openDmnd">
                <a:fgClr>
                  <a:schemeClr val="tx1"/>
                </a:fgClr>
                <a:bgClr>
                  <a:schemeClr val="bg1"/>
                </a:bgClr>
              </a:pattFill>
              <a:ln>
                <a:solidFill>
                  <a:schemeClr val="tx1"/>
                </a:solidFill>
              </a:ln>
            </c:spPr>
          </c:dPt>
          <c:dLbls>
            <c:dLbl>
              <c:idx val="0"/>
              <c:layout>
                <c:manualLayout>
                  <c:x val="-2.3945754989811264E-2"/>
                  <c:y val="-4.3365080554930893E-2"/>
                </c:manualLayout>
              </c:layout>
              <c:tx>
                <c:rich>
                  <a:bodyPr/>
                  <a:lstStyle/>
                  <a:p>
                    <a:r>
                      <a:rPr lang="en-US" sz="820" baseline="0">
                        <a:latin typeface="Arial" pitchFamily="34" charset="0"/>
                        <a:cs typeface="Arial" pitchFamily="34" charset="0"/>
                      </a:rPr>
                      <a:t> Primary prod.</a:t>
                    </a:r>
                  </a:p>
                  <a:p>
                    <a:r>
                      <a:rPr lang="en-US" sz="820" baseline="0">
                        <a:latin typeface="Arial" pitchFamily="34" charset="0"/>
                        <a:cs typeface="Arial" pitchFamily="34" charset="0"/>
                      </a:rPr>
                      <a:t>27%</a:t>
                    </a:r>
                    <a:endParaRPr lang="en-US"/>
                  </a:p>
                </c:rich>
              </c:tx>
              <c:showLegendKey val="0"/>
              <c:showVal val="1"/>
              <c:showCatName val="0"/>
              <c:showSerName val="0"/>
              <c:showPercent val="0"/>
              <c:showBubbleSize val="0"/>
            </c:dLbl>
            <c:dLbl>
              <c:idx val="1"/>
              <c:layout>
                <c:manualLayout>
                  <c:x val="0"/>
                  <c:y val="8.833834459131179E-2"/>
                </c:manualLayout>
              </c:layout>
              <c:tx>
                <c:rich>
                  <a:bodyPr/>
                  <a:lstStyle/>
                  <a:p>
                    <a:r>
                      <a:rPr lang="en-US" sz="820" baseline="0">
                        <a:latin typeface="Arial" pitchFamily="34" charset="0"/>
                        <a:cs typeface="Arial" pitchFamily="34" charset="0"/>
                      </a:rPr>
                      <a:t> Mining</a:t>
                    </a:r>
                  </a:p>
                  <a:p>
                    <a:r>
                      <a:rPr lang="en-US" sz="820" baseline="0">
                        <a:latin typeface="Arial" pitchFamily="34" charset="0"/>
                        <a:cs typeface="Arial" pitchFamily="34" charset="0"/>
                      </a:rPr>
                      <a:t>5%</a:t>
                    </a:r>
                    <a:endParaRPr lang="en-US"/>
                  </a:p>
                </c:rich>
              </c:tx>
              <c:showLegendKey val="0"/>
              <c:showVal val="1"/>
              <c:showCatName val="0"/>
              <c:showSerName val="0"/>
              <c:showPercent val="0"/>
              <c:showBubbleSize val="0"/>
            </c:dLbl>
            <c:dLbl>
              <c:idx val="2"/>
              <c:layout>
                <c:manualLayout>
                  <c:x val="9.2423109893010946E-2"/>
                  <c:y val="-2.3080938063072442E-2"/>
                </c:manualLayout>
              </c:layout>
              <c:tx>
                <c:rich>
                  <a:bodyPr/>
                  <a:lstStyle/>
                  <a:p>
                    <a:r>
                      <a:rPr lang="en-US" sz="820" baseline="0">
                        <a:latin typeface="Arial" pitchFamily="34" charset="0"/>
                        <a:cs typeface="Arial" pitchFamily="34" charset="0"/>
                      </a:rPr>
                      <a:t>Manuf-acturing</a:t>
                    </a:r>
                  </a:p>
                  <a:p>
                    <a:r>
                      <a:rPr lang="en-US" sz="820" baseline="0">
                        <a:latin typeface="Arial" pitchFamily="34" charset="0"/>
                        <a:cs typeface="Arial" pitchFamily="34" charset="0"/>
                      </a:rPr>
                      <a:t>24%</a:t>
                    </a:r>
                    <a:endParaRPr lang="en-US"/>
                  </a:p>
                </c:rich>
              </c:tx>
              <c:showLegendKey val="0"/>
              <c:showVal val="1"/>
              <c:showCatName val="0"/>
              <c:showSerName val="0"/>
              <c:showPercent val="0"/>
              <c:showBubbleSize val="0"/>
            </c:dLbl>
            <c:dLbl>
              <c:idx val="3"/>
              <c:layout>
                <c:manualLayout>
                  <c:x val="0"/>
                  <c:y val="0.23861674010033621"/>
                </c:manualLayout>
              </c:layout>
              <c:tx>
                <c:rich>
                  <a:bodyPr/>
                  <a:lstStyle/>
                  <a:p>
                    <a:r>
                      <a:rPr lang="en-US" sz="820" baseline="0">
                        <a:latin typeface="Arial" pitchFamily="34" charset="0"/>
                        <a:cs typeface="Arial" pitchFamily="34" charset="0"/>
                      </a:rPr>
                      <a:t>Services</a:t>
                    </a:r>
                  </a:p>
                  <a:p>
                    <a:r>
                      <a:rPr lang="en-US" sz="820" baseline="0">
                        <a:latin typeface="Arial" pitchFamily="34" charset="0"/>
                        <a:cs typeface="Arial" pitchFamily="34" charset="0"/>
                      </a:rPr>
                      <a:t>34%</a:t>
                    </a:r>
                    <a:endParaRPr lang="en-US"/>
                  </a:p>
                </c:rich>
              </c:tx>
              <c:showLegendKey val="0"/>
              <c:showVal val="1"/>
              <c:showCatName val="0"/>
              <c:showSerName val="0"/>
              <c:showPercent val="0"/>
              <c:showBubbleSize val="0"/>
            </c:dLbl>
            <c:dLbl>
              <c:idx val="4"/>
              <c:layout>
                <c:manualLayout>
                  <c:x val="-8.3370781017805817E-2"/>
                  <c:y val="9.8823117863121868E-3"/>
                </c:manualLayout>
              </c:layout>
              <c:tx>
                <c:rich>
                  <a:bodyPr/>
                  <a:lstStyle/>
                  <a:p>
                    <a:r>
                      <a:rPr lang="en-US" sz="820">
                        <a:latin typeface="Arial" pitchFamily="34" charset="0"/>
                        <a:cs typeface="Arial" pitchFamily="34" charset="0"/>
                      </a:rPr>
                      <a:t>Unalloc-ated</a:t>
                    </a:r>
                  </a:p>
                  <a:p>
                    <a:r>
                      <a:rPr lang="en-US" sz="820">
                        <a:latin typeface="Arial" pitchFamily="34" charset="0"/>
                        <a:cs typeface="Arial" pitchFamily="34" charset="0"/>
                      </a:rPr>
                      <a:t>10%</a:t>
                    </a:r>
                    <a:endParaRPr lang="en-US"/>
                  </a:p>
                </c:rich>
              </c:tx>
              <c:showLegendKey val="0"/>
              <c:showVal val="1"/>
              <c:showCatName val="0"/>
              <c:showSerName val="0"/>
              <c:showPercent val="0"/>
              <c:showBubbleSize val="0"/>
            </c:dLbl>
            <c:txPr>
              <a:bodyPr/>
              <a:lstStyle/>
              <a:p>
                <a:pPr>
                  <a:defRPr sz="820">
                    <a:latin typeface="Arial" pitchFamily="34" charset="0"/>
                    <a:cs typeface="Arial" pitchFamily="34" charset="0"/>
                  </a:defRPr>
                </a:pPr>
                <a:endParaRPr lang="en-US"/>
              </a:p>
            </c:txPr>
            <c:showLegendKey val="0"/>
            <c:showVal val="0"/>
            <c:showCatName val="0"/>
            <c:showSerName val="0"/>
            <c:showPercent val="0"/>
            <c:showBubbleSize val="0"/>
          </c:dLbls>
          <c:cat>
            <c:strRef>
              <c:f>'Figure 2.4'!$A$5:$A$9</c:f>
              <c:strCache>
                <c:ptCount val="5"/>
                <c:pt idx="0">
                  <c:v>Primary industries</c:v>
                </c:pt>
                <c:pt idx="1">
                  <c:v>Mining</c:v>
                </c:pt>
                <c:pt idx="2">
                  <c:v>Manufacturing</c:v>
                </c:pt>
                <c:pt idx="3">
                  <c:v>Services</c:v>
                </c:pt>
                <c:pt idx="4">
                  <c:v>Unallocated</c:v>
                </c:pt>
              </c:strCache>
            </c:strRef>
          </c:cat>
          <c:val>
            <c:numRef>
              <c:f>'Figure 2.4'!$B$5:$B$9</c:f>
              <c:numCache>
                <c:formatCode>0.0</c:formatCode>
                <c:ptCount val="5"/>
                <c:pt idx="0">
                  <c:v>1830.5956143482499</c:v>
                </c:pt>
                <c:pt idx="1">
                  <c:v>316.69589538272902</c:v>
                </c:pt>
                <c:pt idx="2">
                  <c:v>1660.8055622797999</c:v>
                </c:pt>
                <c:pt idx="3">
                  <c:v>2336.5491845332199</c:v>
                </c:pt>
                <c:pt idx="4">
                  <c:v>660.59946261598998</c:v>
                </c:pt>
              </c:numCache>
            </c:numRef>
          </c:val>
        </c:ser>
        <c:dLbls>
          <c:showLegendKey val="0"/>
          <c:showVal val="0"/>
          <c:showCatName val="0"/>
          <c:showSerName val="0"/>
          <c:showPercent val="0"/>
          <c:showBubbleSize val="0"/>
          <c:showLeaderLines val="1"/>
        </c:dLbls>
        <c:firstSliceAng val="0"/>
      </c:pieChart>
      <c:spPr>
        <a:noFill/>
      </c:spPr>
    </c:plotArea>
    <c:plotVisOnly val="1"/>
    <c:dispBlanksAs val="gap"/>
    <c:showDLblsOverMax val="0"/>
  </c:chart>
  <c:spPr>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441185185185185"/>
          <c:y val="0.14006111111111111"/>
          <c:w val="0.76829999999999998"/>
          <c:h val="0.72028124999999998"/>
        </c:manualLayout>
      </c:layout>
      <c:pieChart>
        <c:varyColors val="1"/>
        <c:ser>
          <c:idx val="0"/>
          <c:order val="0"/>
          <c:tx>
            <c:strRef>
              <c:f>'Figure 2.4'!$C$4</c:f>
              <c:strCache>
                <c:ptCount val="1"/>
                <c:pt idx="0">
                  <c:v>2011-12</c:v>
                </c:pt>
              </c:strCache>
            </c:strRef>
          </c:tx>
          <c:spPr>
            <a:ln>
              <a:solidFill>
                <a:schemeClr val="tx1"/>
              </a:solidFill>
            </a:ln>
          </c:spPr>
          <c:dPt>
            <c:idx val="0"/>
            <c:bubble3D val="0"/>
            <c:spPr>
              <a:solidFill>
                <a:schemeClr val="tx1"/>
              </a:solidFill>
              <a:ln>
                <a:solidFill>
                  <a:schemeClr val="tx1"/>
                </a:solidFill>
              </a:ln>
            </c:spPr>
          </c:dPt>
          <c:dPt>
            <c:idx val="1"/>
            <c:bubble3D val="0"/>
            <c:spPr>
              <a:pattFill prst="ltHorz">
                <a:fgClr>
                  <a:schemeClr val="tx1"/>
                </a:fgClr>
                <a:bgClr>
                  <a:schemeClr val="bg1"/>
                </a:bgClr>
              </a:pattFill>
              <a:ln>
                <a:solidFill>
                  <a:schemeClr val="tx1"/>
                </a:solidFill>
              </a:ln>
            </c:spPr>
          </c:dPt>
          <c:dPt>
            <c:idx val="2"/>
            <c:bubble3D val="0"/>
            <c:spPr>
              <a:pattFill prst="smGrid">
                <a:fgClr>
                  <a:schemeClr val="tx1"/>
                </a:fgClr>
                <a:bgClr>
                  <a:schemeClr val="bg1"/>
                </a:bgClr>
              </a:pattFill>
              <a:ln>
                <a:solidFill>
                  <a:schemeClr val="tx1"/>
                </a:solidFill>
              </a:ln>
            </c:spPr>
          </c:dPt>
          <c:dPt>
            <c:idx val="3"/>
            <c:bubble3D val="0"/>
            <c:spPr>
              <a:noFill/>
              <a:ln>
                <a:solidFill>
                  <a:schemeClr val="tx1"/>
                </a:solidFill>
              </a:ln>
            </c:spPr>
          </c:dPt>
          <c:dPt>
            <c:idx val="4"/>
            <c:bubble3D val="0"/>
            <c:spPr>
              <a:pattFill prst="openDmnd">
                <a:fgClr>
                  <a:schemeClr val="tx1"/>
                </a:fgClr>
                <a:bgClr>
                  <a:schemeClr val="bg1"/>
                </a:bgClr>
              </a:pattFill>
              <a:ln>
                <a:solidFill>
                  <a:schemeClr val="tx1"/>
                </a:solidFill>
              </a:ln>
            </c:spPr>
          </c:dPt>
          <c:dLbls>
            <c:dLbl>
              <c:idx val="0"/>
              <c:layout>
                <c:manualLayout>
                  <c:x val="3.9093832020997372E-2"/>
                  <c:y val="1.2915946482299469E-2"/>
                </c:manualLayout>
              </c:layout>
              <c:tx>
                <c:rich>
                  <a:bodyPr/>
                  <a:lstStyle/>
                  <a:p>
                    <a:r>
                      <a:rPr lang="en-US" sz="820" baseline="0">
                        <a:latin typeface="Arial" pitchFamily="34" charset="0"/>
                        <a:cs typeface="Arial" pitchFamily="34" charset="0"/>
                      </a:rPr>
                      <a:t>Primary Industries</a:t>
                    </a:r>
                  </a:p>
                  <a:p>
                    <a:r>
                      <a:rPr lang="en-US" sz="820" baseline="0">
                        <a:latin typeface="Arial" pitchFamily="34" charset="0"/>
                        <a:cs typeface="Arial" pitchFamily="34" charset="0"/>
                      </a:rPr>
                      <a:t>15%</a:t>
                    </a:r>
                    <a:endParaRPr lang="en-US"/>
                  </a:p>
                </c:rich>
              </c:tx>
              <c:showLegendKey val="0"/>
              <c:showVal val="1"/>
              <c:showCatName val="0"/>
              <c:showSerName val="0"/>
              <c:showPercent val="0"/>
              <c:showBubbleSize val="0"/>
            </c:dLbl>
            <c:dLbl>
              <c:idx val="1"/>
              <c:layout>
                <c:manualLayout>
                  <c:x val="0"/>
                  <c:y val="-2.6429527275957859E-2"/>
                </c:manualLayout>
              </c:layout>
              <c:tx>
                <c:rich>
                  <a:bodyPr/>
                  <a:lstStyle/>
                  <a:p>
                    <a:r>
                      <a:rPr lang="en-US" sz="820" baseline="0">
                        <a:latin typeface="Arial" pitchFamily="34" charset="0"/>
                        <a:cs typeface="Arial" pitchFamily="34" charset="0"/>
                      </a:rPr>
                      <a:t>Mining</a:t>
                    </a:r>
                  </a:p>
                  <a:p>
                    <a:r>
                      <a:rPr lang="en-US" sz="820" baseline="0">
                        <a:latin typeface="Arial" pitchFamily="34" charset="0"/>
                        <a:cs typeface="Arial" pitchFamily="34" charset="0"/>
                      </a:rPr>
                      <a:t>7%</a:t>
                    </a:r>
                    <a:endParaRPr lang="en-US"/>
                  </a:p>
                </c:rich>
              </c:tx>
              <c:showLegendKey val="0"/>
              <c:showVal val="1"/>
              <c:showCatName val="0"/>
              <c:showSerName val="0"/>
              <c:showPercent val="0"/>
              <c:showBubbleSize val="0"/>
            </c:dLbl>
            <c:dLbl>
              <c:idx val="2"/>
              <c:layout>
                <c:manualLayout>
                  <c:x val="0"/>
                  <c:y val="0.100659375"/>
                </c:manualLayout>
              </c:layout>
              <c:tx>
                <c:rich>
                  <a:bodyPr/>
                  <a:lstStyle/>
                  <a:p>
                    <a:r>
                      <a:rPr lang="en-US" sz="820">
                        <a:latin typeface="Arial" pitchFamily="34" charset="0"/>
                        <a:cs typeface="Arial" pitchFamily="34" charset="0"/>
                      </a:rPr>
                      <a:t>Manuf-acturing</a:t>
                    </a:r>
                  </a:p>
                  <a:p>
                    <a:r>
                      <a:rPr lang="en-US" sz="820">
                        <a:latin typeface="Arial" pitchFamily="34" charset="0"/>
                        <a:cs typeface="Arial" pitchFamily="34" charset="0"/>
                      </a:rPr>
                      <a:t>19%</a:t>
                    </a:r>
                    <a:endParaRPr lang="en-US"/>
                  </a:p>
                </c:rich>
              </c:tx>
              <c:showLegendKey val="0"/>
              <c:showVal val="1"/>
              <c:showCatName val="0"/>
              <c:showSerName val="0"/>
              <c:showPercent val="0"/>
              <c:showBubbleSize val="0"/>
            </c:dLbl>
            <c:dLbl>
              <c:idx val="3"/>
              <c:layout>
                <c:manualLayout>
                  <c:x val="1.3177506473629415E-2"/>
                  <c:y val="3.2725527431431832E-2"/>
                </c:manualLayout>
              </c:layout>
              <c:tx>
                <c:rich>
                  <a:bodyPr/>
                  <a:lstStyle/>
                  <a:p>
                    <a:r>
                      <a:rPr lang="en-US" sz="820" baseline="0">
                        <a:latin typeface="Arial" pitchFamily="34" charset="0"/>
                        <a:cs typeface="Arial" pitchFamily="34" charset="0"/>
                      </a:rPr>
                      <a:t>Services</a:t>
                    </a:r>
                  </a:p>
                  <a:p>
                    <a:r>
                      <a:rPr lang="en-US" sz="820" baseline="0">
                        <a:latin typeface="Arial" pitchFamily="34" charset="0"/>
                        <a:cs typeface="Arial" pitchFamily="34" charset="0"/>
                      </a:rPr>
                      <a:t>45%</a:t>
                    </a:r>
                    <a:endParaRPr lang="en-US" baseline="0"/>
                  </a:p>
                </c:rich>
              </c:tx>
              <c:showLegendKey val="0"/>
              <c:showVal val="1"/>
              <c:showCatName val="0"/>
              <c:showSerName val="0"/>
              <c:showPercent val="0"/>
              <c:showBubbleSize val="0"/>
            </c:dLbl>
            <c:dLbl>
              <c:idx val="4"/>
              <c:layout>
                <c:manualLayout>
                  <c:x val="-6.9344583952517816E-2"/>
                  <c:y val="1.4926191527225989E-2"/>
                </c:manualLayout>
              </c:layout>
              <c:tx>
                <c:rich>
                  <a:bodyPr/>
                  <a:lstStyle/>
                  <a:p>
                    <a:r>
                      <a:rPr lang="en-US" sz="820">
                        <a:latin typeface="Arial" pitchFamily="34" charset="0"/>
                        <a:cs typeface="Arial" pitchFamily="34" charset="0"/>
                      </a:rPr>
                      <a:t>Unalloc-ated</a:t>
                    </a:r>
                  </a:p>
                  <a:p>
                    <a:r>
                      <a:rPr lang="en-US" sz="820">
                        <a:latin typeface="Arial" pitchFamily="34" charset="0"/>
                        <a:cs typeface="Arial" pitchFamily="34" charset="0"/>
                      </a:rPr>
                      <a:t>14%</a:t>
                    </a:r>
                    <a:endParaRPr lang="en-US"/>
                  </a:p>
                </c:rich>
              </c:tx>
              <c:showLegendKey val="0"/>
              <c:showVal val="1"/>
              <c:showCatName val="0"/>
              <c:showSerName val="0"/>
              <c:showPercent val="0"/>
              <c:showBubbleSize val="0"/>
            </c:dLbl>
            <c:txPr>
              <a:bodyPr/>
              <a:lstStyle/>
              <a:p>
                <a:pPr>
                  <a:defRPr sz="820">
                    <a:latin typeface="Arial" pitchFamily="34" charset="0"/>
                    <a:cs typeface="Arial" pitchFamily="34" charset="0"/>
                  </a:defRPr>
                </a:pPr>
                <a:endParaRPr lang="en-US"/>
              </a:p>
            </c:txPr>
            <c:showLegendKey val="0"/>
            <c:showVal val="0"/>
            <c:showCatName val="0"/>
            <c:showSerName val="0"/>
            <c:showPercent val="0"/>
            <c:showBubbleSize val="0"/>
          </c:dLbls>
          <c:cat>
            <c:strRef>
              <c:f>'Figure 2.4'!$A$5:$A$9</c:f>
              <c:strCache>
                <c:ptCount val="5"/>
                <c:pt idx="0">
                  <c:v>Primary industries</c:v>
                </c:pt>
                <c:pt idx="1">
                  <c:v>Mining</c:v>
                </c:pt>
                <c:pt idx="2">
                  <c:v>Manufacturing</c:v>
                </c:pt>
                <c:pt idx="3">
                  <c:v>Services</c:v>
                </c:pt>
                <c:pt idx="4">
                  <c:v>Unallocated</c:v>
                </c:pt>
              </c:strCache>
            </c:strRef>
          </c:cat>
          <c:val>
            <c:numRef>
              <c:f>'Figure 2.4'!$C$5:$C$9</c:f>
              <c:numCache>
                <c:formatCode>0.0</c:formatCode>
                <c:ptCount val="5"/>
                <c:pt idx="0">
                  <c:v>1439.5440258614899</c:v>
                </c:pt>
                <c:pt idx="1">
                  <c:v>700.35576964132099</c:v>
                </c:pt>
                <c:pt idx="2">
                  <c:v>1752.5638004656801</c:v>
                </c:pt>
                <c:pt idx="3">
                  <c:v>4201.4651211528098</c:v>
                </c:pt>
                <c:pt idx="4">
                  <c:v>1325.98024599524</c:v>
                </c:pt>
              </c:numCache>
            </c:numRef>
          </c:val>
        </c:ser>
        <c:dLbls>
          <c:showLegendKey val="0"/>
          <c:showVal val="0"/>
          <c:showCatName val="0"/>
          <c:showSerName val="0"/>
          <c:showPercent val="0"/>
          <c:showBubbleSize val="0"/>
          <c:showLeaderLines val="1"/>
        </c:dLbls>
        <c:firstSliceAng val="0"/>
      </c:pieChart>
    </c:plotArea>
    <c:plotVisOnly val="1"/>
    <c:dispBlanksAs val="gap"/>
    <c:showDLblsOverMax val="0"/>
  </c:chart>
  <c:spPr>
    <a:ln>
      <a:noFill/>
    </a:ln>
  </c:sp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0.72407</cdr:x>
      <cdr:y>0.28412</cdr:y>
    </cdr:from>
    <cdr:to>
      <cdr:x>0.92087</cdr:x>
      <cdr:y>0.36277</cdr:y>
    </cdr:to>
    <cdr:sp macro="" textlink="">
      <cdr:nvSpPr>
        <cdr:cNvPr id="2" name="TextBox 1"/>
        <cdr:cNvSpPr txBox="1"/>
      </cdr:nvSpPr>
      <cdr:spPr>
        <a:xfrm xmlns:a="http://schemas.openxmlformats.org/drawingml/2006/main">
          <a:off x="3910490" y="1001306"/>
          <a:ext cx="1062853" cy="27718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AU" sz="1100"/>
            <a:t>2008-09 Series</a:t>
          </a:r>
        </a:p>
      </cdr:txBody>
    </cdr:sp>
  </cdr:relSizeAnchor>
  <cdr:relSizeAnchor xmlns:cdr="http://schemas.openxmlformats.org/drawingml/2006/chartDrawing">
    <cdr:from>
      <cdr:x>0.19522</cdr:x>
      <cdr:y>0.63398</cdr:y>
    </cdr:from>
    <cdr:to>
      <cdr:x>0.40565</cdr:x>
      <cdr:y>0.71263</cdr:y>
    </cdr:to>
    <cdr:sp macro="" textlink="">
      <cdr:nvSpPr>
        <cdr:cNvPr id="3" name="TextBox 2"/>
        <cdr:cNvSpPr txBox="1"/>
      </cdr:nvSpPr>
      <cdr:spPr>
        <a:xfrm xmlns:a="http://schemas.openxmlformats.org/drawingml/2006/main">
          <a:off x="1054312" y="2234319"/>
          <a:ext cx="1136464" cy="27718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AU" sz="1100"/>
            <a:t>2001-02 Series</a:t>
          </a:r>
        </a:p>
      </cdr:txBody>
    </cdr:sp>
  </cdr:relSizeAnchor>
  <cdr:relSizeAnchor xmlns:cdr="http://schemas.openxmlformats.org/drawingml/2006/chartDrawing">
    <cdr:from>
      <cdr:x>0.25397</cdr:x>
      <cdr:y>0.30811</cdr:y>
    </cdr:from>
    <cdr:to>
      <cdr:x>0.45503</cdr:x>
      <cdr:y>0.38108</cdr:y>
    </cdr:to>
    <cdr:sp macro="" textlink="">
      <cdr:nvSpPr>
        <cdr:cNvPr id="4" name="TextBox 3"/>
        <cdr:cNvSpPr txBox="1"/>
      </cdr:nvSpPr>
      <cdr:spPr>
        <a:xfrm xmlns:a="http://schemas.openxmlformats.org/drawingml/2006/main">
          <a:off x="1371604" y="1085862"/>
          <a:ext cx="1085860" cy="25716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AU" sz="1100"/>
            <a:t>2004-05 Series</a:t>
          </a:r>
        </a:p>
      </cdr:txBody>
    </cdr:sp>
  </cdr:relSizeAnchor>
</c:userShapes>
</file>

<file path=word/drawings/drawing2.xml><?xml version="1.0" encoding="utf-8"?>
<c:userShapes xmlns:c="http://schemas.openxmlformats.org/drawingml/2006/chart">
  <cdr:relSizeAnchor xmlns:cdr="http://schemas.openxmlformats.org/drawingml/2006/chartDrawing">
    <cdr:from>
      <cdr:x>0.0194</cdr:x>
      <cdr:y>0.37538</cdr:y>
    </cdr:from>
    <cdr:to>
      <cdr:x>0.0829</cdr:x>
      <cdr:y>0.68296</cdr:y>
    </cdr:to>
    <cdr:sp macro="" textlink="">
      <cdr:nvSpPr>
        <cdr:cNvPr id="2" name="TextBox 1"/>
        <cdr:cNvSpPr txBox="1"/>
      </cdr:nvSpPr>
      <cdr:spPr>
        <a:xfrm xmlns:a="http://schemas.openxmlformats.org/drawingml/2006/main">
          <a:off x="104775" y="1081088"/>
          <a:ext cx="342900" cy="885825"/>
        </a:xfrm>
        <a:prstGeom xmlns:a="http://schemas.openxmlformats.org/drawingml/2006/main" prst="rect">
          <a:avLst/>
        </a:prstGeom>
      </cdr:spPr>
      <cdr:txBody>
        <a:bodyPr xmlns:a="http://schemas.openxmlformats.org/drawingml/2006/main" vertOverflow="clip" vert="vert270" wrap="square" rtlCol="0"/>
        <a:lstStyle xmlns:a="http://schemas.openxmlformats.org/drawingml/2006/main"/>
        <a:p xmlns:a="http://schemas.openxmlformats.org/drawingml/2006/main">
          <a:endParaRPr lang="en-AU" sz="1100" b="1"/>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9B1DE4-A900-4194-B285-BBD1F0B6C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310</TotalTime>
  <Pages>26</Pages>
  <Words>7018</Words>
  <Characters>45678</Characters>
  <Application>Microsoft Office Word</Application>
  <DocSecurity>0</DocSecurity>
  <Lines>380</Lines>
  <Paragraphs>105</Paragraphs>
  <ScaleCrop>false</ScaleCrop>
  <HeadingPairs>
    <vt:vector size="2" baseType="variant">
      <vt:variant>
        <vt:lpstr>Title</vt:lpstr>
      </vt:variant>
      <vt:variant>
        <vt:i4>1</vt:i4>
      </vt:variant>
    </vt:vector>
  </HeadingPairs>
  <TitlesOfParts>
    <vt:vector size="1" baseType="lpstr">
      <vt:lpstr>Assistance estimates</vt:lpstr>
    </vt:vector>
  </TitlesOfParts>
  <Company>Productivity Commission</Company>
  <LinksUpToDate>false</LinksUpToDate>
  <CharactersWithSpaces>52591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estimates</dc:title>
  <dc:subject>Trade &amp; Assistance Review 2011-12</dc:subject>
  <dc:creator>Productivity Commission</dc:creator>
  <cp:keywords/>
  <dc:description>2.</dc:description>
  <cp:lastModifiedBy>Productivity Commission</cp:lastModifiedBy>
  <cp:revision>180</cp:revision>
  <cp:lastPrinted>2013-06-07T05:10:00Z</cp:lastPrinted>
  <dcterms:created xsi:type="dcterms:W3CDTF">2013-02-25T05:34:00Z</dcterms:created>
  <dcterms:modified xsi:type="dcterms:W3CDTF">2013-06-10T23:53:00Z</dcterms:modified>
</cp:coreProperties>
</file>