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75773" w:rsidP="00CD5E6B">
      <w:pPr>
        <w:pStyle w:val="BodyText"/>
        <w:rPr>
          <w:b/>
          <w:szCs w:val="26"/>
        </w:rPr>
      </w:pPr>
      <w:bookmarkStart w:id="0" w:name="_GoBack"/>
      <w:r>
        <w:rPr>
          <w:noProof/>
          <w:lang w:eastAsia="en-AU"/>
        </w:rPr>
        <w:drawing>
          <wp:anchor distT="0" distB="0" distL="114300" distR="114300" simplePos="0" relativeHeight="251658240" behindDoc="1" locked="0" layoutInCell="1" allowOverlap="1">
            <wp:simplePos x="1152525" y="1057275"/>
            <wp:positionH relativeFrom="page">
              <wp:align>center</wp:align>
            </wp:positionH>
            <wp:positionV relativeFrom="page">
              <wp:align>bottom</wp:align>
            </wp:positionV>
            <wp:extent cx="7560000" cy="10137600"/>
            <wp:effectExtent l="0" t="0" r="3175" b="0"/>
            <wp:wrapNone/>
            <wp:docPr id="1" name="Picture 1" descr="Cover image for the Australian Government Productivity publication titled 'Trade and Assistance Review 2011-12'. Part of the Annual Report S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1-12-web-cov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37600"/>
                    </a:xfrm>
                    <a:prstGeom prst="rect">
                      <a:avLst/>
                    </a:prstGeom>
                  </pic:spPr>
                </pic:pic>
              </a:graphicData>
            </a:graphic>
            <wp14:sizeRelH relativeFrom="margin">
              <wp14:pctWidth>0</wp14:pctWidth>
            </wp14:sizeRelH>
            <wp14:sizeRelV relativeFrom="margin">
              <wp14:pctHeight>0</wp14:pctHeight>
            </wp14:sizeRelV>
          </wp:anchor>
        </w:drawing>
      </w:r>
      <w:bookmarkEnd w:id="0"/>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E7BB2" w:rsidRPr="007809B8" w:rsidRDefault="003E7BB2">
      <w:pPr>
        <w:pStyle w:val="BodyText"/>
        <w:tabs>
          <w:tab w:val="left" w:pos="851"/>
        </w:tabs>
        <w:spacing w:before="200" w:after="120"/>
        <w:jc w:val="left"/>
        <w:rPr>
          <w:b/>
          <w:sz w:val="24"/>
        </w:rPr>
      </w:pPr>
      <w:bookmarkStart w:id="1" w:name="ISSN"/>
      <w:bookmarkEnd w:id="1"/>
      <w:r>
        <w:rPr>
          <w:b/>
          <w:sz w:val="24"/>
        </w:rPr>
        <w:t>ISBN</w:t>
      </w:r>
      <w:r>
        <w:rPr>
          <w:b/>
          <w:sz w:val="24"/>
        </w:rPr>
        <w:tab/>
      </w:r>
      <w:r w:rsidR="00F3526C">
        <w:rPr>
          <w:b/>
          <w:sz w:val="24"/>
        </w:rPr>
        <w:t>978-1-74037-442-2</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36300F" w:rsidP="003E7802">
      <w:pPr>
        <w:pStyle w:val="BodyText"/>
        <w:spacing w:before="160" w:after="120" w:line="240" w:lineRule="auto"/>
        <w:rPr>
          <w:sz w:val="24"/>
          <w:szCs w:val="24"/>
        </w:rPr>
      </w:pPr>
      <w:r>
        <w:rPr>
          <w:sz w:val="24"/>
          <w:szCs w:val="24"/>
        </w:rPr>
        <w:t xml:space="preserve">Productivity Commission 2013, </w:t>
      </w:r>
      <w:r w:rsidRPr="0036300F">
        <w:rPr>
          <w:i/>
          <w:sz w:val="24"/>
          <w:szCs w:val="24"/>
        </w:rPr>
        <w:t>Trade &amp; Assistance Review 2011-12,</w:t>
      </w:r>
      <w:r>
        <w:rPr>
          <w:sz w:val="24"/>
          <w:szCs w:val="24"/>
        </w:rPr>
        <w:t xml:space="preserve"> Annual Report Series, Productivity Commission, Canberra, June.</w:t>
      </w: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3E7BB2" w:rsidRDefault="003E7BB2">
      <w:pPr>
        <w:pStyle w:val="Heading1"/>
      </w:pPr>
      <w:bookmarkStart w:id="4" w:name="_Toc358033541"/>
      <w:r>
        <w:lastRenderedPageBreak/>
        <w:t>Foreword</w:t>
      </w:r>
      <w:bookmarkEnd w:id="4"/>
    </w:p>
    <w:p w:rsidR="0036300F" w:rsidRDefault="0036300F" w:rsidP="0036300F">
      <w:pPr>
        <w:spacing w:before="240" w:line="320" w:lineRule="exact"/>
        <w:jc w:val="both"/>
      </w:pPr>
      <w:r w:rsidRPr="0036300F">
        <w:t xml:space="preserve">The Productivity Commission is required under its Act to report annually on industry assistance and its effects on the economy. </w:t>
      </w:r>
      <w:r w:rsidR="00526106">
        <w:rPr>
          <w:i/>
        </w:rPr>
        <w:t>Trade &amp; Assistance Review 2011-12</w:t>
      </w:r>
      <w:r w:rsidRPr="0036300F">
        <w:t xml:space="preserve"> contains the Commission’s latest quantitative estimates of Australian Government assistance to industry. It also identifies recent developments in assistance for various industries and sectors of the economy, and international trade policy. </w:t>
      </w:r>
    </w:p>
    <w:p w:rsidR="00266971" w:rsidRPr="000A48FF" w:rsidRDefault="00266971" w:rsidP="00266971">
      <w:pPr>
        <w:spacing w:before="200" w:line="320" w:lineRule="exact"/>
        <w:jc w:val="both"/>
      </w:pPr>
      <w:r w:rsidRPr="000A48FF">
        <w:t xml:space="preserve">This year’s review includes an information chapter on </w:t>
      </w:r>
      <w:r>
        <w:t>I</w:t>
      </w:r>
      <w:r w:rsidRPr="000A48FF">
        <w:t xml:space="preserve">ntellectual </w:t>
      </w:r>
      <w:r>
        <w:t>P</w:t>
      </w:r>
      <w:r w:rsidRPr="000A48FF">
        <w:t xml:space="preserve">roperty, the design and implementation of which has widespread influences on Australia’s innovation and trade. </w:t>
      </w:r>
      <w:r>
        <w:t xml:space="preserve">The Commission has also recently completed a report on </w:t>
      </w:r>
      <w:r w:rsidRPr="00F47340">
        <w:rPr>
          <w:i/>
        </w:rPr>
        <w:t>Compulsory Licensing of Patents</w:t>
      </w:r>
      <w:r>
        <w:rPr>
          <w:i/>
        </w:rPr>
        <w:t>.</w:t>
      </w:r>
      <w:r>
        <w:t xml:space="preserve"> Combined, this work could provide a base for further work on what is likely to be an area of increasing trade and innovation policy interest.</w:t>
      </w:r>
    </w:p>
    <w:p w:rsidR="00266971" w:rsidRDefault="00266971" w:rsidP="00266971">
      <w:pPr>
        <w:pStyle w:val="BodyText"/>
      </w:pPr>
      <w:r>
        <w:t xml:space="preserve">In preparing this report, the Commission has received helpful advice and feedback from a number of officials in Australian Government agencies and academia. The Commission is very grateful for their assistance. </w:t>
      </w:r>
    </w:p>
    <w:p w:rsidR="00266971" w:rsidRDefault="00266971" w:rsidP="00266971">
      <w:pPr>
        <w:pStyle w:val="BodyText"/>
      </w:pPr>
    </w:p>
    <w:p w:rsidR="00266971" w:rsidRDefault="00266971" w:rsidP="00266971">
      <w:pPr>
        <w:pStyle w:val="BodyText"/>
      </w:pPr>
    </w:p>
    <w:p w:rsidR="00266971" w:rsidRDefault="00266971" w:rsidP="00266971">
      <w:pPr>
        <w:pStyle w:val="BodyText"/>
        <w:jc w:val="left"/>
      </w:pPr>
      <w:r>
        <w:t>Peter Harris</w:t>
      </w:r>
      <w:r>
        <w:br/>
        <w:t xml:space="preserve">Chairman </w:t>
      </w:r>
      <w:r>
        <w:br/>
        <w:t>June 2013</w:t>
      </w:r>
    </w:p>
    <w:p w:rsidR="003E7BB2" w:rsidRDefault="00F03965">
      <w:pPr>
        <w:pStyle w:val="BodyText"/>
      </w:pPr>
      <w:r>
        <w:br w:type="page"/>
      </w:r>
    </w:p>
    <w:p w:rsidR="0036300F" w:rsidRDefault="0036300F">
      <w:pPr>
        <w:pStyle w:val="BodyText"/>
        <w:sectPr w:rsidR="0036300F" w:rsidSect="00AC3585">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AC3585" w:rsidRDefault="00735FEA" w:rsidP="008206EE">
      <w:pPr>
        <w:pStyle w:val="Heading1NotTOC"/>
        <w:rPr>
          <w:noProof/>
        </w:rPr>
      </w:pPr>
      <w:bookmarkStart w:id="5" w:name="Contents"/>
      <w:bookmarkEnd w:id="5"/>
      <w:r w:rsidRPr="00B153C3">
        <w:lastRenderedPageBreak/>
        <w:t>Contents</w:t>
      </w:r>
      <w:bookmarkStart w:id="6" w:name="InsertContents"/>
      <w:bookmarkEnd w:id="6"/>
    </w:p>
    <w:p w:rsidR="00AC3585" w:rsidRDefault="00AC3585" w:rsidP="00AC3585">
      <w:pPr>
        <w:pStyle w:val="TOC1"/>
        <w:spacing w:before="100"/>
        <w:rPr>
          <w:rFonts w:asciiTheme="minorHAnsi" w:eastAsiaTheme="minorEastAsia" w:hAnsiTheme="minorHAnsi" w:cstheme="minorBidi"/>
          <w:b w:val="0"/>
          <w:noProof/>
          <w:sz w:val="22"/>
          <w:szCs w:val="22"/>
          <w:lang w:eastAsia="en-AU"/>
        </w:rPr>
      </w:pPr>
      <w:r>
        <w:rPr>
          <w:noProof/>
        </w:rPr>
        <w:t>Foreword</w:t>
      </w:r>
      <w:r>
        <w:rPr>
          <w:noProof/>
        </w:rPr>
        <w:tab/>
        <w:t>iii</w:t>
      </w:r>
    </w:p>
    <w:p w:rsidR="00AC3585" w:rsidRDefault="00AC3585" w:rsidP="00AC3585">
      <w:pPr>
        <w:pStyle w:val="TOC1"/>
        <w:spacing w:before="100"/>
        <w:rPr>
          <w:rFonts w:asciiTheme="minorHAnsi" w:eastAsiaTheme="minorEastAsia" w:hAnsiTheme="minorHAnsi" w:cstheme="minorBidi"/>
          <w:b w:val="0"/>
          <w:noProof/>
          <w:sz w:val="22"/>
          <w:szCs w:val="22"/>
          <w:lang w:eastAsia="en-AU"/>
        </w:rPr>
      </w:pPr>
      <w:r>
        <w:rPr>
          <w:noProof/>
        </w:rPr>
        <w:t>Abbreviations</w:t>
      </w:r>
      <w:r>
        <w:rPr>
          <w:noProof/>
        </w:rPr>
        <w:tab/>
        <w:t>ix</w:t>
      </w:r>
    </w:p>
    <w:p w:rsidR="00AC3585" w:rsidRDefault="00AC3585" w:rsidP="00AC3585">
      <w:pPr>
        <w:pStyle w:val="TOC1"/>
        <w:spacing w:before="100"/>
        <w:rPr>
          <w:rFonts w:asciiTheme="minorHAnsi" w:eastAsiaTheme="minorEastAsia" w:hAnsiTheme="minorHAnsi" w:cstheme="minorBidi"/>
          <w:b w:val="0"/>
          <w:noProof/>
          <w:sz w:val="22"/>
          <w:szCs w:val="22"/>
          <w:lang w:eastAsia="en-AU"/>
        </w:rPr>
      </w:pPr>
      <w:r>
        <w:rPr>
          <w:noProof/>
        </w:rPr>
        <w:t>Overview</w:t>
      </w:r>
      <w:r>
        <w:rPr>
          <w:noProof/>
        </w:rPr>
        <w:tab/>
        <w:t>1</w:t>
      </w:r>
    </w:p>
    <w:p w:rsidR="00AC3585" w:rsidRDefault="00AC3585" w:rsidP="00AC3585">
      <w:pPr>
        <w:pStyle w:val="TOC1"/>
        <w:spacing w:before="100"/>
        <w:rPr>
          <w:rFonts w:asciiTheme="minorHAnsi" w:eastAsiaTheme="minorEastAsia" w:hAnsiTheme="minorHAnsi" w:cstheme="minorBidi"/>
          <w:b w:val="0"/>
          <w:noProof/>
          <w:sz w:val="22"/>
          <w:szCs w:val="22"/>
          <w:lang w:eastAsia="en-AU"/>
        </w:rPr>
      </w:pPr>
      <w:r>
        <w:rPr>
          <w:noProof/>
        </w:rPr>
        <w:t>Key points</w:t>
      </w:r>
      <w:r>
        <w:rPr>
          <w:noProof/>
        </w:rPr>
        <w:tab/>
        <w:t>2</w:t>
      </w:r>
    </w:p>
    <w:p w:rsidR="00AC3585" w:rsidRDefault="00AC3585">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11</w:t>
      </w:r>
    </w:p>
    <w:p w:rsidR="00AC3585" w:rsidRDefault="00AC3585">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Assistance estimates</w:t>
      </w:r>
      <w:r>
        <w:rPr>
          <w:noProof/>
        </w:rPr>
        <w:tab/>
        <w:t>13</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Tariff assistance</w:t>
      </w:r>
      <w:r>
        <w:rPr>
          <w:noProof/>
        </w:rPr>
        <w:tab/>
        <w:t>16</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Australian Government budgetary assistance</w:t>
      </w:r>
      <w:r>
        <w:rPr>
          <w:noProof/>
        </w:rPr>
        <w:tab/>
        <w:t>22</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Combined assistance</w:t>
      </w:r>
      <w:r>
        <w:rPr>
          <w:noProof/>
        </w:rPr>
        <w:tab/>
        <w:t>30</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Effective rates of industry assistance since 1970</w:t>
      </w:r>
      <w:r>
        <w:rPr>
          <w:noProof/>
        </w:rPr>
        <w:tab/>
        <w:t>35</w:t>
      </w:r>
    </w:p>
    <w:p w:rsidR="00AC3585" w:rsidRDefault="00AC3585">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Recent developments in industry assistance</w:t>
      </w:r>
      <w:r>
        <w:rPr>
          <w:noProof/>
        </w:rPr>
        <w:tab/>
        <w:t>39</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Research, development and innovation</w:t>
      </w:r>
      <w:r>
        <w:rPr>
          <w:noProof/>
        </w:rPr>
        <w:tab/>
        <w:t>39</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Primary industries</w:t>
      </w:r>
      <w:r>
        <w:rPr>
          <w:noProof/>
        </w:rPr>
        <w:tab/>
        <w:t>41</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Manufacturing sector</w:t>
      </w:r>
      <w:r>
        <w:rPr>
          <w:noProof/>
        </w:rPr>
        <w:tab/>
        <w:t>47</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Carbon emissions reduction and energy efficiency</w:t>
      </w:r>
      <w:r>
        <w:rPr>
          <w:noProof/>
        </w:rPr>
        <w:tab/>
        <w:t>48</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Regional assistance programs</w:t>
      </w:r>
      <w:r>
        <w:rPr>
          <w:noProof/>
        </w:rPr>
        <w:tab/>
        <w:t>53</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Broadcasting and communications</w:t>
      </w:r>
      <w:r>
        <w:rPr>
          <w:noProof/>
        </w:rPr>
        <w:tab/>
        <w:t>57</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Other industry assistance developments</w:t>
      </w:r>
      <w:r>
        <w:rPr>
          <w:noProof/>
        </w:rPr>
        <w:tab/>
        <w:t>59</w:t>
      </w:r>
    </w:p>
    <w:p w:rsidR="00AC3585" w:rsidRDefault="00AC3585">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 xml:space="preserve"> Intellectual property</w:t>
      </w:r>
      <w:r>
        <w:rPr>
          <w:noProof/>
        </w:rPr>
        <w:tab/>
        <w:t>65</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Types of intellectual property in Australia</w:t>
      </w:r>
      <w:r>
        <w:rPr>
          <w:noProof/>
        </w:rPr>
        <w:tab/>
        <w:t>66</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sidRPr="009A775A">
        <w:rPr>
          <w:noProof/>
          <w:lang w:val="en"/>
        </w:rPr>
        <w:t>4.2</w:t>
      </w:r>
      <w:r>
        <w:rPr>
          <w:rFonts w:asciiTheme="minorHAnsi" w:eastAsiaTheme="minorEastAsia" w:hAnsiTheme="minorHAnsi" w:cstheme="minorBidi"/>
          <w:noProof/>
          <w:sz w:val="22"/>
          <w:szCs w:val="22"/>
          <w:lang w:eastAsia="en-AU"/>
        </w:rPr>
        <w:tab/>
      </w:r>
      <w:r w:rsidRPr="009A775A">
        <w:rPr>
          <w:noProof/>
          <w:lang w:val="en"/>
        </w:rPr>
        <w:t>Historical background</w:t>
      </w:r>
      <w:r>
        <w:rPr>
          <w:noProof/>
        </w:rPr>
        <w:tab/>
        <w:t>69</w:t>
      </w:r>
    </w:p>
    <w:p w:rsidR="004D1DB2" w:rsidRDefault="004D1DB2" w:rsidP="004D1DB2">
      <w:pPr>
        <w:pStyle w:val="TOC2"/>
        <w:tabs>
          <w:tab w:val="left" w:pos="1190"/>
        </w:tabs>
        <w:ind w:left="1134" w:hanging="624"/>
        <w:rPr>
          <w:noProof/>
          <w:lang w:val="en"/>
        </w:rPr>
      </w:pPr>
      <w:r>
        <w:rPr>
          <w:noProof/>
          <w:lang w:val="en"/>
        </w:rPr>
        <w:t>4.3</w:t>
      </w:r>
      <w:r>
        <w:rPr>
          <w:noProof/>
          <w:lang w:val="en"/>
        </w:rPr>
        <w:tab/>
      </w:r>
      <w:r w:rsidRPr="00247BC9">
        <w:rPr>
          <w:noProof/>
        </w:rPr>
        <w:t>Extent of trade and commerce in IP in Australia</w:t>
      </w:r>
      <w:r w:rsidRPr="00247BC9">
        <w:rPr>
          <w:noProof/>
          <w:lang w:val="en"/>
        </w:rPr>
        <w:t xml:space="preserve"> </w:t>
      </w:r>
      <w:r>
        <w:rPr>
          <w:noProof/>
          <w:lang w:val="en"/>
        </w:rPr>
        <w:tab/>
      </w:r>
      <w:r w:rsidRPr="00247BC9">
        <w:rPr>
          <w:noProof/>
        </w:rPr>
        <w:t>73</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Bilateral, regional and global frameworks</w:t>
      </w:r>
      <w:r>
        <w:rPr>
          <w:noProof/>
        </w:rPr>
        <w:tab/>
        <w:t>78</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IP administration and legal recourse</w:t>
      </w:r>
      <w:r>
        <w:rPr>
          <w:noProof/>
        </w:rPr>
        <w:tab/>
        <w:t>84</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Some recent empirical research into IP</w:t>
      </w:r>
      <w:r>
        <w:rPr>
          <w:noProof/>
        </w:rPr>
        <w:tab/>
        <w:t>90</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Review activity in Australia</w:t>
      </w:r>
      <w:r>
        <w:rPr>
          <w:noProof/>
        </w:rPr>
        <w:tab/>
        <w:t>93</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lastRenderedPageBreak/>
        <w:t>4.8</w:t>
      </w:r>
      <w:r>
        <w:rPr>
          <w:rFonts w:asciiTheme="minorHAnsi" w:eastAsiaTheme="minorEastAsia" w:hAnsiTheme="minorHAnsi" w:cstheme="minorBidi"/>
          <w:noProof/>
          <w:sz w:val="22"/>
          <w:szCs w:val="22"/>
          <w:lang w:eastAsia="en-AU"/>
        </w:rPr>
        <w:tab/>
      </w:r>
      <w:r>
        <w:rPr>
          <w:noProof/>
        </w:rPr>
        <w:t>Some concluding remarks</w:t>
      </w:r>
      <w:r>
        <w:rPr>
          <w:noProof/>
        </w:rPr>
        <w:tab/>
        <w:t>95</w:t>
      </w:r>
    </w:p>
    <w:p w:rsidR="00AC3585" w:rsidRDefault="00AC3585">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Recent developments in trade policy</w:t>
      </w:r>
      <w:r>
        <w:rPr>
          <w:noProof/>
        </w:rPr>
        <w:tab/>
        <w:t>97</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Post-GFC trade developments</w:t>
      </w:r>
      <w:r>
        <w:rPr>
          <w:noProof/>
        </w:rPr>
        <w:tab/>
        <w:t>97</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Trade negotiations and agreements</w:t>
      </w:r>
      <w:r>
        <w:rPr>
          <w:noProof/>
        </w:rPr>
        <w:tab/>
        <w:t>103</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Dispute settlement in the global trading system</w:t>
      </w:r>
      <w:r>
        <w:rPr>
          <w:noProof/>
        </w:rPr>
        <w:tab/>
        <w:t>112</w:t>
      </w:r>
    </w:p>
    <w:p w:rsidR="00AC3585" w:rsidRDefault="00AC3585" w:rsidP="00AC3585">
      <w:pPr>
        <w:pStyle w:val="TOC2"/>
        <w:tabs>
          <w:tab w:val="left" w:pos="1190"/>
        </w:tabs>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Other trade policy developments</w:t>
      </w:r>
      <w:r>
        <w:rPr>
          <w:noProof/>
        </w:rPr>
        <w:tab/>
        <w:t>114</w:t>
      </w:r>
    </w:p>
    <w:p w:rsidR="00AC3585" w:rsidRDefault="00AC3585">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Detailed estimates of Australian Government assistance to industry</w:t>
      </w:r>
      <w:r>
        <w:rPr>
          <w:noProof/>
        </w:rPr>
        <w:tab/>
        <w:t>119</w:t>
      </w:r>
    </w:p>
    <w:p w:rsidR="00AC3585" w:rsidRDefault="00AC3585">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Types of intellectual property</w:t>
      </w:r>
      <w:r>
        <w:rPr>
          <w:noProof/>
        </w:rPr>
        <w:tab/>
        <w:t>173</w:t>
      </w:r>
    </w:p>
    <w:p w:rsidR="00AC3585" w:rsidRDefault="00AC3585">
      <w:pPr>
        <w:pStyle w:val="TOC1"/>
        <w:rPr>
          <w:noProof/>
        </w:rPr>
      </w:pPr>
      <w:r>
        <w:rPr>
          <w:noProof/>
        </w:rPr>
        <w:t>C</w:t>
      </w:r>
      <w:r>
        <w:rPr>
          <w:rFonts w:asciiTheme="minorHAnsi" w:eastAsiaTheme="minorEastAsia" w:hAnsiTheme="minorHAnsi" w:cstheme="minorBidi"/>
          <w:b w:val="0"/>
          <w:noProof/>
          <w:sz w:val="22"/>
          <w:szCs w:val="22"/>
          <w:lang w:eastAsia="en-AU"/>
        </w:rPr>
        <w:tab/>
      </w:r>
      <w:r>
        <w:rPr>
          <w:noProof/>
        </w:rPr>
        <w:t>Anti-dumping and countervailing activity</w:t>
      </w:r>
      <w:r>
        <w:rPr>
          <w:noProof/>
        </w:rPr>
        <w:tab/>
        <w:t>179</w:t>
      </w:r>
    </w:p>
    <w:p w:rsidR="00AC3585" w:rsidRDefault="00AC3585">
      <w:pPr>
        <w:pStyle w:val="TOC1"/>
        <w:rPr>
          <w:rFonts w:asciiTheme="minorHAnsi" w:eastAsiaTheme="minorEastAsia" w:hAnsiTheme="minorHAnsi" w:cstheme="minorBidi"/>
          <w:b w:val="0"/>
          <w:noProof/>
          <w:sz w:val="22"/>
          <w:szCs w:val="22"/>
          <w:lang w:eastAsia="en-AU"/>
        </w:rPr>
      </w:pPr>
      <w:r>
        <w:rPr>
          <w:noProof/>
        </w:rPr>
        <w:t>References</w:t>
      </w:r>
      <w:r>
        <w:rPr>
          <w:noProof/>
        </w:rPr>
        <w:tab/>
        <w:t>185</w:t>
      </w:r>
    </w:p>
    <w:p w:rsidR="001B7F1E" w:rsidRDefault="00CD770B" w:rsidP="00CD770B">
      <w:pPr>
        <w:pStyle w:val="TOC1"/>
      </w:pPr>
      <w:r>
        <w:t>Boxes</w:t>
      </w:r>
    </w:p>
    <w:p w:rsidR="00AC3585" w:rsidRDefault="00AC3585" w:rsidP="00AC3585">
      <w:pPr>
        <w:pStyle w:val="TOC2"/>
        <w:ind w:left="1134" w:hanging="624"/>
        <w:rPr>
          <w:rFonts w:asciiTheme="minorHAnsi" w:eastAsiaTheme="minorEastAsia" w:hAnsiTheme="minorHAnsi" w:cstheme="minorBidi"/>
          <w:noProof/>
          <w:sz w:val="22"/>
          <w:szCs w:val="22"/>
          <w:lang w:eastAsia="en-AU"/>
        </w:rPr>
      </w:pPr>
      <w:r w:rsidRPr="00A52E4E">
        <w:rPr>
          <w:noProof/>
        </w:rPr>
        <w:t>2.1</w:t>
      </w:r>
      <w:r>
        <w:rPr>
          <w:rFonts w:asciiTheme="minorHAnsi" w:eastAsiaTheme="minorEastAsia" w:hAnsiTheme="minorHAnsi" w:cstheme="minorBidi"/>
          <w:noProof/>
          <w:sz w:val="22"/>
          <w:szCs w:val="22"/>
          <w:lang w:eastAsia="en-AU"/>
        </w:rPr>
        <w:tab/>
      </w:r>
      <w:r>
        <w:rPr>
          <w:noProof/>
        </w:rPr>
        <w:t>Coverage of the Commission’s assistance estimates</w:t>
      </w:r>
      <w:r>
        <w:rPr>
          <w:noProof/>
        </w:rPr>
        <w:tab/>
        <w:t>14</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2.2</w:t>
      </w:r>
      <w:r>
        <w:rPr>
          <w:rFonts w:asciiTheme="minorHAnsi" w:eastAsiaTheme="minorEastAsia" w:hAnsiTheme="minorHAnsi" w:cstheme="minorBidi"/>
          <w:noProof/>
          <w:sz w:val="22"/>
          <w:szCs w:val="22"/>
          <w:lang w:eastAsia="en-AU"/>
        </w:rPr>
        <w:tab/>
      </w:r>
      <w:r>
        <w:rPr>
          <w:noProof/>
        </w:rPr>
        <w:t>The ‘new series’ of assistance estimates</w:t>
      </w:r>
      <w:r>
        <w:rPr>
          <w:noProof/>
        </w:rPr>
        <w:tab/>
        <w:t>15</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2.3</w:t>
      </w:r>
      <w:r>
        <w:rPr>
          <w:rFonts w:asciiTheme="minorHAnsi" w:eastAsiaTheme="minorEastAsia" w:hAnsiTheme="minorHAnsi" w:cstheme="minorBidi"/>
          <w:noProof/>
          <w:sz w:val="22"/>
          <w:szCs w:val="22"/>
          <w:lang w:eastAsia="en-AU"/>
        </w:rPr>
        <w:tab/>
      </w:r>
      <w:r>
        <w:rPr>
          <w:noProof/>
        </w:rPr>
        <w:t>Treatment of preferential tariffs in assistance estimates</w:t>
      </w:r>
      <w:r>
        <w:rPr>
          <w:noProof/>
        </w:rPr>
        <w:tab/>
        <w:t>19</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2.4</w:t>
      </w:r>
      <w:r>
        <w:rPr>
          <w:rFonts w:asciiTheme="minorHAnsi" w:eastAsiaTheme="minorEastAsia" w:hAnsiTheme="minorHAnsi" w:cstheme="minorBidi"/>
          <w:noProof/>
          <w:sz w:val="22"/>
          <w:szCs w:val="22"/>
          <w:lang w:eastAsia="en-AU"/>
        </w:rPr>
        <w:tab/>
      </w:r>
      <w:r>
        <w:rPr>
          <w:noProof/>
        </w:rPr>
        <w:t>Summary measures of combined assistance</w:t>
      </w:r>
      <w:r>
        <w:rPr>
          <w:noProof/>
        </w:rPr>
        <w:tab/>
        <w:t>30</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3.1</w:t>
      </w:r>
      <w:r>
        <w:rPr>
          <w:rFonts w:asciiTheme="minorHAnsi" w:eastAsiaTheme="minorEastAsia" w:hAnsiTheme="minorHAnsi" w:cstheme="minorBidi"/>
          <w:noProof/>
          <w:sz w:val="22"/>
          <w:szCs w:val="22"/>
          <w:lang w:eastAsia="en-AU"/>
        </w:rPr>
        <w:tab/>
      </w:r>
      <w:r>
        <w:rPr>
          <w:noProof/>
        </w:rPr>
        <w:t xml:space="preserve">Main elements of </w:t>
      </w:r>
      <w:r w:rsidRPr="00A52E4E">
        <w:rPr>
          <w:i/>
          <w:noProof/>
        </w:rPr>
        <w:t>A Plan for Australian Jobs</w:t>
      </w:r>
      <w:r>
        <w:rPr>
          <w:noProof/>
        </w:rPr>
        <w:tab/>
        <w:t>42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3.2</w:t>
      </w:r>
      <w:r>
        <w:rPr>
          <w:rFonts w:asciiTheme="minorHAnsi" w:eastAsiaTheme="minorEastAsia" w:hAnsiTheme="minorHAnsi" w:cstheme="minorBidi"/>
          <w:noProof/>
          <w:sz w:val="22"/>
          <w:szCs w:val="22"/>
          <w:lang w:eastAsia="en-AU"/>
        </w:rPr>
        <w:tab/>
      </w:r>
      <w:r>
        <w:rPr>
          <w:noProof/>
        </w:rPr>
        <w:t>Australia’s National Landscapes – Grant funding details</w:t>
      </w:r>
      <w:r>
        <w:rPr>
          <w:noProof/>
        </w:rPr>
        <w:tab/>
        <w:t>62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4.1</w:t>
      </w:r>
      <w:r>
        <w:rPr>
          <w:rFonts w:asciiTheme="minorHAnsi" w:eastAsiaTheme="minorEastAsia" w:hAnsiTheme="minorHAnsi" w:cstheme="minorBidi"/>
          <w:noProof/>
          <w:sz w:val="22"/>
          <w:szCs w:val="22"/>
          <w:lang w:eastAsia="en-AU"/>
        </w:rPr>
        <w:tab/>
      </w:r>
      <w:r>
        <w:rPr>
          <w:noProof/>
        </w:rPr>
        <w:t>Some types of intellectual property</w:t>
      </w:r>
      <w:r>
        <w:rPr>
          <w:noProof/>
        </w:rPr>
        <w:tab/>
        <w:t>67</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4.2</w:t>
      </w:r>
      <w:r>
        <w:rPr>
          <w:rFonts w:asciiTheme="minorHAnsi" w:eastAsiaTheme="minorEastAsia" w:hAnsiTheme="minorHAnsi" w:cstheme="minorBidi"/>
          <w:noProof/>
          <w:sz w:val="22"/>
          <w:szCs w:val="22"/>
          <w:lang w:eastAsia="en-AU"/>
        </w:rPr>
        <w:tab/>
      </w:r>
      <w:r>
        <w:rPr>
          <w:noProof/>
        </w:rPr>
        <w:t>‘Raising the Bar’ reforms</w:t>
      </w:r>
      <w:r>
        <w:rPr>
          <w:noProof/>
        </w:rPr>
        <w:tab/>
        <w:t>72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5.1</w:t>
      </w:r>
      <w:r>
        <w:rPr>
          <w:rFonts w:asciiTheme="minorHAnsi" w:eastAsiaTheme="minorEastAsia" w:hAnsiTheme="minorHAnsi" w:cstheme="minorBidi"/>
          <w:noProof/>
          <w:sz w:val="22"/>
          <w:szCs w:val="22"/>
          <w:lang w:eastAsia="en-AU"/>
        </w:rPr>
        <w:tab/>
      </w:r>
      <w:r>
        <w:rPr>
          <w:noProof/>
        </w:rPr>
        <w:t>Lamy’s 2012 Richard Snape Lecture</w:t>
      </w:r>
      <w:r>
        <w:rPr>
          <w:noProof/>
        </w:rPr>
        <w:tab/>
        <w:t>102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A52E4E">
        <w:rPr>
          <w:noProof/>
        </w:rPr>
        <w:t>5.2</w:t>
      </w:r>
      <w:r>
        <w:rPr>
          <w:rFonts w:asciiTheme="minorHAnsi" w:eastAsiaTheme="minorEastAsia" w:hAnsiTheme="minorHAnsi" w:cstheme="minorBidi"/>
          <w:noProof/>
          <w:sz w:val="22"/>
          <w:szCs w:val="22"/>
          <w:lang w:eastAsia="en-AU"/>
        </w:rPr>
        <w:tab/>
      </w:r>
      <w:r>
        <w:rPr>
          <w:noProof/>
        </w:rPr>
        <w:t>The Commission’s study on bilateral and regional trade agreements (BRTAs)</w:t>
      </w:r>
      <w:r>
        <w:rPr>
          <w:noProof/>
        </w:rPr>
        <w:tab/>
        <w:t>111</w:t>
      </w:r>
    </w:p>
    <w:p w:rsidR="00CD770B" w:rsidRDefault="00CD770B" w:rsidP="00CD770B">
      <w:pPr>
        <w:pStyle w:val="TOC1"/>
      </w:pPr>
      <w:r>
        <w:t>Figures</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41509C">
        <w:rPr>
          <w:noProof/>
        </w:rPr>
        <w:t>1</w:t>
      </w:r>
      <w:r>
        <w:rPr>
          <w:rFonts w:asciiTheme="minorHAnsi" w:eastAsiaTheme="minorEastAsia" w:hAnsiTheme="minorHAnsi" w:cstheme="minorBidi"/>
          <w:noProof/>
          <w:sz w:val="22"/>
          <w:szCs w:val="22"/>
          <w:lang w:eastAsia="en-AU"/>
        </w:rPr>
        <w:tab/>
      </w:r>
      <w:r>
        <w:rPr>
          <w:noProof/>
        </w:rPr>
        <w:t>Net tariff assistance to Australian industry</w:t>
      </w:r>
      <w:r>
        <w:rPr>
          <w:noProof/>
        </w:rPr>
        <w:tab/>
        <w:t>4</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2.1</w:t>
      </w:r>
      <w:r>
        <w:rPr>
          <w:rFonts w:asciiTheme="minorHAnsi" w:eastAsiaTheme="minorEastAsia" w:hAnsiTheme="minorHAnsi" w:cstheme="minorBidi"/>
          <w:noProof/>
          <w:sz w:val="22"/>
          <w:szCs w:val="22"/>
          <w:lang w:eastAsia="en-AU"/>
        </w:rPr>
        <w:tab/>
      </w:r>
      <w:r>
        <w:rPr>
          <w:noProof/>
        </w:rPr>
        <w:t>Net tariff assistance, 2001</w:t>
      </w:r>
      <w:r>
        <w:rPr>
          <w:noProof/>
        </w:rPr>
        <w:noBreakHyphen/>
        <w:t>02, 2004</w:t>
      </w:r>
      <w:r>
        <w:rPr>
          <w:noProof/>
        </w:rPr>
        <w:noBreakHyphen/>
        <w:t>05 and 2008</w:t>
      </w:r>
      <w:r>
        <w:rPr>
          <w:noProof/>
        </w:rPr>
        <w:noBreakHyphen/>
        <w:t>09 Series</w:t>
      </w:r>
      <w:r>
        <w:rPr>
          <w:noProof/>
        </w:rPr>
        <w:tab/>
        <w:t>18</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2.2</w:t>
      </w:r>
      <w:r>
        <w:rPr>
          <w:rFonts w:asciiTheme="minorHAnsi" w:eastAsiaTheme="minorEastAsia" w:hAnsiTheme="minorHAnsi" w:cstheme="minorBidi"/>
          <w:noProof/>
          <w:sz w:val="22"/>
          <w:szCs w:val="22"/>
          <w:lang w:eastAsia="en-AU"/>
        </w:rPr>
        <w:tab/>
      </w:r>
      <w:r>
        <w:rPr>
          <w:noProof/>
        </w:rPr>
        <w:t>Forms of budgetary assistance</w:t>
      </w:r>
      <w:r>
        <w:rPr>
          <w:noProof/>
        </w:rPr>
        <w:tab/>
        <w:t>22</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2.3</w:t>
      </w:r>
      <w:r>
        <w:rPr>
          <w:rFonts w:asciiTheme="minorHAnsi" w:eastAsiaTheme="minorEastAsia" w:hAnsiTheme="minorHAnsi" w:cstheme="minorBidi"/>
          <w:noProof/>
          <w:sz w:val="22"/>
          <w:szCs w:val="22"/>
          <w:lang w:eastAsia="en-AU"/>
        </w:rPr>
        <w:tab/>
      </w:r>
      <w:r>
        <w:rPr>
          <w:noProof/>
        </w:rPr>
        <w:t>Budgetary assistance to industry, 2006</w:t>
      </w:r>
      <w:r>
        <w:rPr>
          <w:noProof/>
        </w:rPr>
        <w:noBreakHyphen/>
        <w:t>07 to 2011</w:t>
      </w:r>
      <w:r>
        <w:rPr>
          <w:noProof/>
        </w:rPr>
        <w:noBreakHyphen/>
        <w:t>12</w:t>
      </w:r>
      <w:r>
        <w:rPr>
          <w:noProof/>
        </w:rPr>
        <w:tab/>
        <w:t>23</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2.4</w:t>
      </w:r>
      <w:r>
        <w:rPr>
          <w:rFonts w:asciiTheme="minorHAnsi" w:eastAsiaTheme="minorEastAsia" w:hAnsiTheme="minorHAnsi" w:cstheme="minorBidi"/>
          <w:noProof/>
          <w:sz w:val="22"/>
          <w:szCs w:val="22"/>
          <w:lang w:eastAsia="en-AU"/>
        </w:rPr>
        <w:tab/>
      </w:r>
      <w:r>
        <w:rPr>
          <w:noProof/>
        </w:rPr>
        <w:t>Budgetary assistance by category, 2006</w:t>
      </w:r>
      <w:r>
        <w:rPr>
          <w:noProof/>
        </w:rPr>
        <w:noBreakHyphen/>
        <w:t>07 and 2011</w:t>
      </w:r>
      <w:r>
        <w:rPr>
          <w:noProof/>
        </w:rPr>
        <w:noBreakHyphen/>
        <w:t>12</w:t>
      </w:r>
      <w:r>
        <w:rPr>
          <w:noProof/>
        </w:rPr>
        <w:tab/>
        <w:t>26</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2.5</w:t>
      </w:r>
      <w:r>
        <w:rPr>
          <w:rFonts w:asciiTheme="minorHAnsi" w:eastAsiaTheme="minorEastAsia" w:hAnsiTheme="minorHAnsi" w:cstheme="minorBidi"/>
          <w:noProof/>
          <w:sz w:val="22"/>
          <w:szCs w:val="22"/>
          <w:lang w:eastAsia="en-AU"/>
        </w:rPr>
        <w:tab/>
      </w:r>
      <w:r>
        <w:rPr>
          <w:noProof/>
        </w:rPr>
        <w:t>Budgetary assistance by industry sector, 2006</w:t>
      </w:r>
      <w:r>
        <w:rPr>
          <w:noProof/>
        </w:rPr>
        <w:noBreakHyphen/>
        <w:t>07 and 2011</w:t>
      </w:r>
      <w:r>
        <w:rPr>
          <w:noProof/>
        </w:rPr>
        <w:noBreakHyphen/>
        <w:t>12</w:t>
      </w:r>
      <w:r>
        <w:rPr>
          <w:noProof/>
        </w:rPr>
        <w:tab/>
        <w:t>27</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lastRenderedPageBreak/>
        <w:t>2.6</w:t>
      </w:r>
      <w:r>
        <w:rPr>
          <w:rFonts w:asciiTheme="minorHAnsi" w:eastAsiaTheme="minorEastAsia" w:hAnsiTheme="minorHAnsi" w:cstheme="minorBidi"/>
          <w:noProof/>
          <w:sz w:val="22"/>
          <w:szCs w:val="22"/>
          <w:lang w:eastAsia="en-AU"/>
        </w:rPr>
        <w:tab/>
      </w:r>
      <w:r>
        <w:rPr>
          <w:noProof/>
        </w:rPr>
        <w:t>Effective rates of assistance to manufacturing and agriculture, 1970</w:t>
      </w:r>
      <w:r>
        <w:rPr>
          <w:noProof/>
        </w:rPr>
        <w:noBreakHyphen/>
        <w:t>71 to 2011</w:t>
      </w:r>
      <w:r>
        <w:rPr>
          <w:noProof/>
        </w:rPr>
        <w:noBreakHyphen/>
        <w:t>12</w:t>
      </w:r>
      <w:r>
        <w:rPr>
          <w:noProof/>
        </w:rPr>
        <w:tab/>
        <w:t>36</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4.1</w:t>
      </w:r>
      <w:r>
        <w:rPr>
          <w:rFonts w:asciiTheme="minorHAnsi" w:eastAsiaTheme="minorEastAsia" w:hAnsiTheme="minorHAnsi" w:cstheme="minorBidi"/>
          <w:noProof/>
          <w:sz w:val="22"/>
          <w:szCs w:val="22"/>
          <w:lang w:eastAsia="en-AU"/>
        </w:rPr>
        <w:tab/>
      </w:r>
      <w:r>
        <w:rPr>
          <w:noProof/>
        </w:rPr>
        <w:t>Volume of Australia IP law and incidence of reviews, 1905 to 2005</w:t>
      </w:r>
      <w:r>
        <w:rPr>
          <w:noProof/>
          <w:vertAlign w:val="superscript"/>
        </w:rPr>
        <w:tab/>
      </w:r>
      <w:r>
        <w:rPr>
          <w:noProof/>
        </w:rPr>
        <w:tab/>
        <w:t>72</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4.2</w:t>
      </w:r>
      <w:r>
        <w:rPr>
          <w:rFonts w:asciiTheme="minorHAnsi" w:eastAsiaTheme="minorEastAsia" w:hAnsiTheme="minorHAnsi" w:cstheme="minorBidi"/>
          <w:noProof/>
          <w:sz w:val="22"/>
          <w:szCs w:val="22"/>
          <w:lang w:eastAsia="en-AU"/>
        </w:rPr>
        <w:tab/>
      </w:r>
      <w:r>
        <w:rPr>
          <w:noProof/>
        </w:rPr>
        <w:t>Balance of payments licence, royalty and other charges for the use of intellectual property, Australia, 2011</w:t>
      </w:r>
      <w:r>
        <w:rPr>
          <w:noProof/>
        </w:rPr>
        <w:noBreakHyphen/>
        <w:t>12</w:t>
      </w:r>
      <w:r>
        <w:rPr>
          <w:noProof/>
        </w:rPr>
        <w:tab/>
        <w:t>76</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4.3</w:t>
      </w:r>
      <w:r>
        <w:rPr>
          <w:rFonts w:asciiTheme="minorHAnsi" w:eastAsiaTheme="minorEastAsia" w:hAnsiTheme="minorHAnsi" w:cstheme="minorBidi"/>
          <w:noProof/>
          <w:sz w:val="22"/>
          <w:szCs w:val="22"/>
          <w:lang w:eastAsia="en-AU"/>
        </w:rPr>
        <w:tab/>
      </w:r>
      <w:r>
        <w:rPr>
          <w:noProof/>
        </w:rPr>
        <w:t>Stylised overview of a standard patent application process and patent term</w:t>
      </w:r>
      <w:r>
        <w:rPr>
          <w:noProof/>
        </w:rPr>
        <w:tab/>
        <w:t>87</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5.1</w:t>
      </w:r>
      <w:r>
        <w:rPr>
          <w:rFonts w:asciiTheme="minorHAnsi" w:eastAsiaTheme="minorEastAsia" w:hAnsiTheme="minorHAnsi" w:cstheme="minorBidi"/>
          <w:noProof/>
          <w:sz w:val="22"/>
          <w:szCs w:val="22"/>
          <w:lang w:eastAsia="en-AU"/>
        </w:rPr>
        <w:tab/>
      </w:r>
      <w:r>
        <w:rPr>
          <w:noProof/>
        </w:rPr>
        <w:t>World merchandise trade by volume</w:t>
      </w:r>
      <w:r>
        <w:rPr>
          <w:noProof/>
        </w:rPr>
        <w:tab/>
        <w:t>98</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5.2</w:t>
      </w:r>
      <w:r>
        <w:rPr>
          <w:rFonts w:asciiTheme="minorHAnsi" w:eastAsiaTheme="minorEastAsia" w:hAnsiTheme="minorHAnsi" w:cstheme="minorBidi"/>
          <w:noProof/>
          <w:sz w:val="22"/>
          <w:szCs w:val="22"/>
          <w:lang w:eastAsia="en-AU"/>
        </w:rPr>
        <w:tab/>
      </w:r>
      <w:r>
        <w:rPr>
          <w:noProof/>
        </w:rPr>
        <w:t>World tariff rates (simple mean), 1996-2010</w:t>
      </w:r>
      <w:r>
        <w:rPr>
          <w:noProof/>
        </w:rPr>
        <w:tab/>
        <w:t>99</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5.3</w:t>
      </w:r>
      <w:r>
        <w:rPr>
          <w:rFonts w:asciiTheme="minorHAnsi" w:eastAsiaTheme="minorEastAsia" w:hAnsiTheme="minorHAnsi" w:cstheme="minorBidi"/>
          <w:noProof/>
          <w:sz w:val="22"/>
          <w:szCs w:val="22"/>
          <w:lang w:eastAsia="en-AU"/>
        </w:rPr>
        <w:tab/>
      </w:r>
      <w:r>
        <w:rPr>
          <w:noProof/>
        </w:rPr>
        <w:t>Implementation of trade restrictive measures by WTO members</w:t>
      </w:r>
      <w:r>
        <w:rPr>
          <w:noProof/>
        </w:rPr>
        <w:tab/>
        <w:t>100</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5.4</w:t>
      </w:r>
      <w:r>
        <w:rPr>
          <w:rFonts w:asciiTheme="minorHAnsi" w:eastAsiaTheme="minorEastAsia" w:hAnsiTheme="minorHAnsi" w:cstheme="minorBidi"/>
          <w:noProof/>
          <w:sz w:val="22"/>
          <w:szCs w:val="22"/>
          <w:lang w:eastAsia="en-AU"/>
        </w:rPr>
        <w:tab/>
      </w:r>
      <w:r>
        <w:rPr>
          <w:noProof/>
        </w:rPr>
        <w:t>Number of trade agreement notifications to the WTO, January 2013</w:t>
      </w:r>
      <w:r>
        <w:rPr>
          <w:noProof/>
        </w:rPr>
        <w:tab/>
        <w:t>107</w:t>
      </w:r>
    </w:p>
    <w:p w:rsidR="00AC3585" w:rsidRDefault="00AC3585" w:rsidP="00AC3585">
      <w:pPr>
        <w:pStyle w:val="TOC2"/>
        <w:tabs>
          <w:tab w:val="left" w:pos="1799"/>
        </w:tabs>
        <w:ind w:left="1134" w:hanging="624"/>
        <w:rPr>
          <w:rFonts w:asciiTheme="minorHAnsi" w:eastAsiaTheme="minorEastAsia" w:hAnsiTheme="minorHAnsi" w:cstheme="minorBidi"/>
          <w:noProof/>
          <w:sz w:val="22"/>
          <w:szCs w:val="22"/>
          <w:lang w:eastAsia="en-AU"/>
        </w:rPr>
      </w:pPr>
      <w:r w:rsidRPr="0041509C">
        <w:rPr>
          <w:bCs/>
          <w:noProof/>
        </w:rPr>
        <w:t>5.5</w:t>
      </w:r>
      <w:r>
        <w:rPr>
          <w:rFonts w:asciiTheme="minorHAnsi" w:eastAsiaTheme="minorEastAsia" w:hAnsiTheme="minorHAnsi" w:cstheme="minorBidi"/>
          <w:noProof/>
          <w:sz w:val="22"/>
          <w:szCs w:val="22"/>
          <w:lang w:eastAsia="en-AU"/>
        </w:rPr>
        <w:tab/>
      </w:r>
      <w:r>
        <w:rPr>
          <w:noProof/>
        </w:rPr>
        <w:t>Inter-linkages between PTAs in the APEC economies</w:t>
      </w:r>
      <w:r>
        <w:rPr>
          <w:noProof/>
        </w:rPr>
        <w:tab/>
        <w:t>108</w:t>
      </w:r>
    </w:p>
    <w:p w:rsidR="00AC3585" w:rsidRDefault="00AC3585" w:rsidP="00AC3585">
      <w:pPr>
        <w:pStyle w:val="TOC2"/>
        <w:tabs>
          <w:tab w:val="left" w:pos="1799"/>
        </w:tabs>
        <w:ind w:left="1134" w:hanging="624"/>
        <w:rPr>
          <w:noProof/>
        </w:rPr>
      </w:pPr>
      <w:r w:rsidRPr="0041509C">
        <w:rPr>
          <w:noProof/>
        </w:rPr>
        <w:t>5.6</w:t>
      </w:r>
      <w:r>
        <w:rPr>
          <w:rFonts w:asciiTheme="minorHAnsi" w:eastAsiaTheme="minorEastAsia" w:hAnsiTheme="minorHAnsi" w:cstheme="minorBidi"/>
          <w:noProof/>
          <w:sz w:val="22"/>
          <w:szCs w:val="22"/>
          <w:lang w:eastAsia="en-AU"/>
        </w:rPr>
        <w:tab/>
      </w:r>
      <w:r>
        <w:rPr>
          <w:noProof/>
        </w:rPr>
        <w:t>Contribution of TPP and RCEP negotiating parties to global merchandise trade and potential coverage of agreements, 2010</w:t>
      </w:r>
      <w:r>
        <w:rPr>
          <w:noProof/>
        </w:rPr>
        <w:tab/>
        <w:t>110</w:t>
      </w:r>
    </w:p>
    <w:p w:rsidR="001E2A72" w:rsidRDefault="001E2A72" w:rsidP="001E2A72">
      <w:pPr>
        <w:pStyle w:val="TOC2"/>
        <w:tabs>
          <w:tab w:val="left" w:pos="1842"/>
        </w:tabs>
        <w:ind w:left="1134" w:hanging="624"/>
        <w:rPr>
          <w:rFonts w:asciiTheme="minorHAnsi" w:eastAsiaTheme="minorEastAsia" w:hAnsiTheme="minorHAnsi" w:cstheme="minorBidi"/>
          <w:noProof/>
          <w:sz w:val="22"/>
          <w:szCs w:val="22"/>
          <w:lang w:eastAsia="en-AU"/>
        </w:rPr>
      </w:pPr>
      <w:r w:rsidRPr="0041509C">
        <w:rPr>
          <w:noProof/>
        </w:rPr>
        <w:t>C.1</w:t>
      </w:r>
      <w:r>
        <w:rPr>
          <w:rFonts w:asciiTheme="minorHAnsi" w:eastAsiaTheme="minorEastAsia" w:hAnsiTheme="minorHAnsi" w:cstheme="minorBidi"/>
          <w:noProof/>
          <w:sz w:val="22"/>
          <w:szCs w:val="22"/>
          <w:lang w:eastAsia="en-AU"/>
        </w:rPr>
        <w:tab/>
      </w:r>
      <w:r>
        <w:rPr>
          <w:noProof/>
        </w:rPr>
        <w:t>Australian anti-dumping and countervailing activity, 1978</w:t>
      </w:r>
      <w:r>
        <w:rPr>
          <w:noProof/>
        </w:rPr>
        <w:noBreakHyphen/>
        <w:t>79 to 2011</w:t>
      </w:r>
      <w:r>
        <w:rPr>
          <w:noProof/>
        </w:rPr>
        <w:noBreakHyphen/>
        <w:t>12</w:t>
      </w:r>
      <w:r>
        <w:rPr>
          <w:noProof/>
        </w:rPr>
        <w:tab/>
        <w:t>181</w:t>
      </w:r>
    </w:p>
    <w:p w:rsidR="001E2A72" w:rsidRDefault="001E2A72" w:rsidP="001E2A72">
      <w:pPr>
        <w:pStyle w:val="TOC2"/>
        <w:tabs>
          <w:tab w:val="left" w:pos="1799"/>
        </w:tabs>
        <w:ind w:left="1134" w:hanging="624"/>
        <w:rPr>
          <w:rFonts w:asciiTheme="minorHAnsi" w:eastAsiaTheme="minorEastAsia" w:hAnsiTheme="minorHAnsi" w:cstheme="minorBidi"/>
          <w:noProof/>
          <w:sz w:val="22"/>
          <w:szCs w:val="22"/>
          <w:lang w:eastAsia="en-AU"/>
        </w:rPr>
      </w:pPr>
      <w:r w:rsidRPr="0041509C">
        <w:rPr>
          <w:noProof/>
        </w:rPr>
        <w:t>C.2</w:t>
      </w:r>
      <w:r>
        <w:rPr>
          <w:rFonts w:asciiTheme="minorHAnsi" w:eastAsiaTheme="minorEastAsia" w:hAnsiTheme="minorHAnsi" w:cstheme="minorBidi"/>
          <w:noProof/>
          <w:sz w:val="22"/>
          <w:szCs w:val="22"/>
          <w:lang w:eastAsia="en-AU"/>
        </w:rPr>
        <w:tab/>
      </w:r>
      <w:r>
        <w:rPr>
          <w:noProof/>
        </w:rPr>
        <w:t>Anti-dumping and countervailing global investigations and measures imposed, 1995 to 2011</w:t>
      </w:r>
      <w:r>
        <w:rPr>
          <w:noProof/>
        </w:rPr>
        <w:tab/>
        <w:t>184</w:t>
      </w:r>
    </w:p>
    <w:p w:rsidR="00CD770B" w:rsidRDefault="00CD770B" w:rsidP="00CD770B">
      <w:pPr>
        <w:pStyle w:val="TOC1"/>
      </w:pPr>
      <w:r>
        <w:t>Tables</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2.1</w:t>
      </w:r>
      <w:r>
        <w:rPr>
          <w:rFonts w:asciiTheme="minorHAnsi" w:eastAsiaTheme="minorEastAsia" w:hAnsiTheme="minorHAnsi" w:cstheme="minorBidi"/>
          <w:noProof/>
          <w:sz w:val="22"/>
          <w:szCs w:val="22"/>
          <w:lang w:eastAsia="en-AU"/>
        </w:rPr>
        <w:tab/>
      </w:r>
      <w:r>
        <w:rPr>
          <w:noProof/>
        </w:rPr>
        <w:t>Tariff assistance, 2006</w:t>
      </w:r>
      <w:r>
        <w:rPr>
          <w:noProof/>
        </w:rPr>
        <w:noBreakHyphen/>
        <w:t>07 to 2011</w:t>
      </w:r>
      <w:r>
        <w:rPr>
          <w:noProof/>
        </w:rPr>
        <w:noBreakHyphen/>
        <w:t>12</w:t>
      </w:r>
      <w:r>
        <w:rPr>
          <w:noProof/>
        </w:rPr>
        <w:tab/>
        <w:t>17</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2.2</w:t>
      </w:r>
      <w:r>
        <w:rPr>
          <w:rFonts w:asciiTheme="minorHAnsi" w:eastAsiaTheme="minorEastAsia" w:hAnsiTheme="minorHAnsi" w:cstheme="minorBidi"/>
          <w:noProof/>
          <w:sz w:val="22"/>
          <w:szCs w:val="22"/>
          <w:lang w:eastAsia="en-AU"/>
        </w:rPr>
        <w:tab/>
      </w:r>
      <w:r>
        <w:rPr>
          <w:noProof/>
        </w:rPr>
        <w:t>Tariff assistance by industry grouping, 2011</w:t>
      </w:r>
      <w:r>
        <w:rPr>
          <w:noProof/>
        </w:rPr>
        <w:noBreakHyphen/>
        <w:t>12</w:t>
      </w:r>
      <w:r>
        <w:rPr>
          <w:noProof/>
        </w:rPr>
        <w:tab/>
        <w:t>20</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2.3</w:t>
      </w:r>
      <w:r>
        <w:rPr>
          <w:rFonts w:asciiTheme="minorHAnsi" w:eastAsiaTheme="minorEastAsia" w:hAnsiTheme="minorHAnsi" w:cstheme="minorBidi"/>
          <w:noProof/>
          <w:sz w:val="22"/>
          <w:szCs w:val="22"/>
          <w:lang w:eastAsia="en-AU"/>
        </w:rPr>
        <w:tab/>
      </w:r>
      <w:r>
        <w:rPr>
          <w:noProof/>
        </w:rPr>
        <w:t>Net tariff assistance by industry sector, 2006</w:t>
      </w:r>
      <w:r>
        <w:rPr>
          <w:noProof/>
        </w:rPr>
        <w:noBreakHyphen/>
        <w:t>07 to 2011</w:t>
      </w:r>
      <w:r>
        <w:rPr>
          <w:noProof/>
        </w:rPr>
        <w:noBreakHyphen/>
        <w:t>12</w:t>
      </w:r>
      <w:r>
        <w:rPr>
          <w:noProof/>
        </w:rPr>
        <w:tab/>
        <w:t>21</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2.4</w:t>
      </w:r>
      <w:r>
        <w:rPr>
          <w:rFonts w:asciiTheme="minorHAnsi" w:eastAsiaTheme="minorEastAsia" w:hAnsiTheme="minorHAnsi" w:cstheme="minorBidi"/>
          <w:noProof/>
          <w:sz w:val="22"/>
          <w:szCs w:val="22"/>
          <w:lang w:eastAsia="en-AU"/>
        </w:rPr>
        <w:tab/>
      </w:r>
      <w:r>
        <w:rPr>
          <w:noProof/>
        </w:rPr>
        <w:t>Budgetary assistance by industry grouping, 2011</w:t>
      </w:r>
      <w:r>
        <w:rPr>
          <w:noProof/>
        </w:rPr>
        <w:noBreakHyphen/>
        <w:t>12</w:t>
      </w:r>
      <w:r>
        <w:rPr>
          <w:noProof/>
        </w:rPr>
        <w:tab/>
        <w:t>29</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2.5</w:t>
      </w:r>
      <w:r>
        <w:rPr>
          <w:rFonts w:asciiTheme="minorHAnsi" w:eastAsiaTheme="minorEastAsia" w:hAnsiTheme="minorHAnsi" w:cstheme="minorBidi"/>
          <w:noProof/>
          <w:sz w:val="22"/>
          <w:szCs w:val="22"/>
          <w:lang w:eastAsia="en-AU"/>
        </w:rPr>
        <w:tab/>
      </w:r>
      <w:r>
        <w:rPr>
          <w:noProof/>
        </w:rPr>
        <w:t>Combined assistance, 2006</w:t>
      </w:r>
      <w:r>
        <w:rPr>
          <w:noProof/>
        </w:rPr>
        <w:noBreakHyphen/>
        <w:t>07 to 2011</w:t>
      </w:r>
      <w:r>
        <w:rPr>
          <w:noProof/>
        </w:rPr>
        <w:noBreakHyphen/>
        <w:t>12</w:t>
      </w:r>
      <w:r>
        <w:rPr>
          <w:noProof/>
        </w:rPr>
        <w:tab/>
        <w:t>31</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2.6</w:t>
      </w:r>
      <w:r>
        <w:rPr>
          <w:rFonts w:asciiTheme="minorHAnsi" w:eastAsiaTheme="minorEastAsia" w:hAnsiTheme="minorHAnsi" w:cstheme="minorBidi"/>
          <w:noProof/>
          <w:sz w:val="22"/>
          <w:szCs w:val="22"/>
          <w:lang w:eastAsia="en-AU"/>
        </w:rPr>
        <w:tab/>
      </w:r>
      <w:r>
        <w:rPr>
          <w:noProof/>
        </w:rPr>
        <w:t>Combined assistance by industry grouping, 2011</w:t>
      </w:r>
      <w:r>
        <w:rPr>
          <w:noProof/>
        </w:rPr>
        <w:noBreakHyphen/>
        <w:t>12</w:t>
      </w:r>
      <w:r>
        <w:rPr>
          <w:noProof/>
        </w:rPr>
        <w:tab/>
        <w:t>32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2.7</w:t>
      </w:r>
      <w:r>
        <w:rPr>
          <w:rFonts w:asciiTheme="minorHAnsi" w:eastAsiaTheme="minorEastAsia" w:hAnsiTheme="minorHAnsi" w:cstheme="minorBidi"/>
          <w:noProof/>
          <w:sz w:val="22"/>
          <w:szCs w:val="22"/>
          <w:lang w:eastAsia="en-AU"/>
        </w:rPr>
        <w:tab/>
      </w:r>
      <w:r>
        <w:rPr>
          <w:noProof/>
        </w:rPr>
        <w:t>Effective rate of combined assistance by industry grouping, 2006</w:t>
      </w:r>
      <w:r>
        <w:rPr>
          <w:noProof/>
        </w:rPr>
        <w:noBreakHyphen/>
        <w:t>07 to 2011</w:t>
      </w:r>
      <w:r>
        <w:rPr>
          <w:noProof/>
        </w:rPr>
        <w:noBreakHyphen/>
        <w:t>12</w:t>
      </w:r>
      <w:r>
        <w:rPr>
          <w:noProof/>
        </w:rPr>
        <w:tab/>
        <w:t>33</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4.1</w:t>
      </w:r>
      <w:r>
        <w:rPr>
          <w:rFonts w:asciiTheme="minorHAnsi" w:eastAsiaTheme="minorEastAsia" w:hAnsiTheme="minorHAnsi" w:cstheme="minorBidi"/>
          <w:noProof/>
          <w:sz w:val="22"/>
          <w:szCs w:val="22"/>
          <w:lang w:eastAsia="en-AU"/>
        </w:rPr>
        <w:tab/>
      </w:r>
      <w:r>
        <w:rPr>
          <w:noProof/>
        </w:rPr>
        <w:t>Intellectual property applications and grants in Australia,  2005 to 2012</w:t>
      </w:r>
      <w:r>
        <w:rPr>
          <w:noProof/>
        </w:rPr>
        <w:tab/>
        <w:t>74</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4.2</w:t>
      </w:r>
      <w:r>
        <w:rPr>
          <w:rFonts w:asciiTheme="minorHAnsi" w:eastAsiaTheme="minorEastAsia" w:hAnsiTheme="minorHAnsi" w:cstheme="minorBidi"/>
          <w:noProof/>
          <w:sz w:val="22"/>
          <w:szCs w:val="22"/>
          <w:lang w:eastAsia="en-AU"/>
        </w:rPr>
        <w:tab/>
      </w:r>
      <w:r>
        <w:rPr>
          <w:noProof/>
        </w:rPr>
        <w:t>Current international IP agreements administered by WIPO</w:t>
      </w:r>
      <w:r>
        <w:rPr>
          <w:noProof/>
        </w:rPr>
        <w:tab/>
        <w:t>82</w:t>
      </w:r>
    </w:p>
    <w:p w:rsidR="00AC3585" w:rsidRPr="00AC3585" w:rsidRDefault="00AC3585" w:rsidP="00AC3585">
      <w:pPr>
        <w:pStyle w:val="TOC2"/>
        <w:tabs>
          <w:tab w:val="left" w:pos="1770"/>
        </w:tabs>
        <w:ind w:left="1134" w:hanging="624"/>
        <w:rPr>
          <w:noProof/>
        </w:rPr>
      </w:pPr>
      <w:r w:rsidRPr="00BC5B74">
        <w:rPr>
          <w:noProof/>
        </w:rPr>
        <w:t>A.1</w:t>
      </w:r>
      <w:r w:rsidRPr="00AC3585">
        <w:rPr>
          <w:noProof/>
        </w:rPr>
        <w:tab/>
        <w:t>Net tariff assistance by industry grouping, 2006</w:t>
      </w:r>
      <w:r w:rsidRPr="00AC3585">
        <w:rPr>
          <w:noProof/>
        </w:rPr>
        <w:noBreakHyphen/>
        <w:t>07 to 2011</w:t>
      </w:r>
      <w:r w:rsidRPr="00AC3585">
        <w:rPr>
          <w:noProof/>
        </w:rPr>
        <w:noBreakHyphen/>
        <w:t>12</w:t>
      </w:r>
      <w:r>
        <w:rPr>
          <w:noProof/>
        </w:rPr>
        <w:tab/>
        <w:t>120</w:t>
      </w:r>
    </w:p>
    <w:p w:rsidR="00AC3585" w:rsidRPr="00AC3585" w:rsidRDefault="00AC3585" w:rsidP="00AC3585">
      <w:pPr>
        <w:pStyle w:val="TOC2"/>
        <w:tabs>
          <w:tab w:val="left" w:pos="1770"/>
        </w:tabs>
        <w:ind w:left="1134" w:hanging="624"/>
        <w:rPr>
          <w:noProof/>
        </w:rPr>
      </w:pPr>
      <w:r w:rsidRPr="00BC5B74">
        <w:rPr>
          <w:noProof/>
        </w:rPr>
        <w:lastRenderedPageBreak/>
        <w:t>A.2</w:t>
      </w:r>
      <w:r w:rsidRPr="00AC3585">
        <w:rPr>
          <w:noProof/>
        </w:rPr>
        <w:tab/>
        <w:t>Budgetary assistance by industry grouping, 2006</w:t>
      </w:r>
      <w:r w:rsidRPr="00AC3585">
        <w:rPr>
          <w:noProof/>
        </w:rPr>
        <w:noBreakHyphen/>
        <w:t>07 to 2011</w:t>
      </w:r>
      <w:r w:rsidRPr="00AC3585">
        <w:rPr>
          <w:noProof/>
        </w:rPr>
        <w:noBreakHyphen/>
        <w:t>12</w:t>
      </w:r>
      <w:r>
        <w:rPr>
          <w:noProof/>
        </w:rPr>
        <w:tab/>
        <w:t>121</w:t>
      </w:r>
    </w:p>
    <w:p w:rsidR="00AC3585" w:rsidRPr="00AC3585" w:rsidRDefault="00AC3585" w:rsidP="00AC3585">
      <w:pPr>
        <w:pStyle w:val="TOC2"/>
        <w:tabs>
          <w:tab w:val="left" w:pos="1770"/>
        </w:tabs>
        <w:ind w:left="1134" w:hanging="624"/>
        <w:rPr>
          <w:noProof/>
        </w:rPr>
      </w:pPr>
      <w:r w:rsidRPr="00BC5B74">
        <w:rPr>
          <w:noProof/>
        </w:rPr>
        <w:t>A.3</w:t>
      </w:r>
      <w:r w:rsidRPr="00AC3585">
        <w:rPr>
          <w:noProof/>
        </w:rPr>
        <w:tab/>
        <w:t>Net combined assistance by industry grouping, 2006</w:t>
      </w:r>
      <w:r w:rsidRPr="00AC3585">
        <w:rPr>
          <w:noProof/>
        </w:rPr>
        <w:noBreakHyphen/>
        <w:t>07 to 2011</w:t>
      </w:r>
      <w:r w:rsidRPr="00AC3585">
        <w:rPr>
          <w:noProof/>
        </w:rPr>
        <w:noBreakHyphen/>
        <w:t>12</w:t>
      </w:r>
      <w:r>
        <w:rPr>
          <w:noProof/>
        </w:rPr>
        <w:tab/>
        <w:t>122</w:t>
      </w:r>
    </w:p>
    <w:p w:rsidR="00AC3585" w:rsidRPr="00AC3585" w:rsidRDefault="00AC3585" w:rsidP="00AC3585">
      <w:pPr>
        <w:pStyle w:val="TOC2"/>
        <w:tabs>
          <w:tab w:val="left" w:pos="1770"/>
        </w:tabs>
        <w:ind w:left="1134" w:hanging="624"/>
        <w:rPr>
          <w:noProof/>
        </w:rPr>
      </w:pPr>
      <w:r w:rsidRPr="00BC5B74">
        <w:rPr>
          <w:noProof/>
        </w:rPr>
        <w:t>A.4</w:t>
      </w:r>
      <w:r w:rsidRPr="00AC3585">
        <w:rPr>
          <w:noProof/>
        </w:rPr>
        <w:tab/>
        <w:t>Output tariff assistance by industry grouping, 2006</w:t>
      </w:r>
      <w:r w:rsidRPr="00AC3585">
        <w:rPr>
          <w:noProof/>
        </w:rPr>
        <w:noBreakHyphen/>
        <w:t>07 to 2011</w:t>
      </w:r>
      <w:r w:rsidRPr="00AC3585">
        <w:rPr>
          <w:noProof/>
        </w:rPr>
        <w:noBreakHyphen/>
        <w:t>12</w:t>
      </w:r>
      <w:r>
        <w:rPr>
          <w:noProof/>
        </w:rPr>
        <w:tab/>
        <w:t>123</w:t>
      </w:r>
    </w:p>
    <w:p w:rsidR="00AC3585" w:rsidRPr="00AC3585" w:rsidRDefault="00AC3585" w:rsidP="00AC3585">
      <w:pPr>
        <w:pStyle w:val="TOC2"/>
        <w:tabs>
          <w:tab w:val="left" w:pos="1770"/>
        </w:tabs>
        <w:ind w:left="1134" w:hanging="624"/>
        <w:rPr>
          <w:noProof/>
        </w:rPr>
      </w:pPr>
      <w:r w:rsidRPr="00BC5B74">
        <w:rPr>
          <w:noProof/>
        </w:rPr>
        <w:t>A.5</w:t>
      </w:r>
      <w:r w:rsidRPr="00AC3585">
        <w:rPr>
          <w:noProof/>
        </w:rPr>
        <w:tab/>
        <w:t>Input tariff penalty by industry grouping, 2006</w:t>
      </w:r>
      <w:r w:rsidRPr="00AC3585">
        <w:rPr>
          <w:noProof/>
        </w:rPr>
        <w:noBreakHyphen/>
        <w:t>07 to 2011</w:t>
      </w:r>
      <w:r w:rsidRPr="00AC3585">
        <w:rPr>
          <w:noProof/>
        </w:rPr>
        <w:noBreakHyphen/>
        <w:t>12</w:t>
      </w:r>
      <w:r>
        <w:rPr>
          <w:noProof/>
        </w:rPr>
        <w:tab/>
        <w:t>124</w:t>
      </w:r>
    </w:p>
    <w:p w:rsidR="00AC3585" w:rsidRPr="00AC3585" w:rsidRDefault="00AC3585" w:rsidP="00AC3585">
      <w:pPr>
        <w:pStyle w:val="TOC2"/>
        <w:tabs>
          <w:tab w:val="left" w:pos="1770"/>
        </w:tabs>
        <w:ind w:left="1134" w:hanging="624"/>
        <w:rPr>
          <w:noProof/>
        </w:rPr>
      </w:pPr>
      <w:r w:rsidRPr="00BC5B74">
        <w:rPr>
          <w:noProof/>
        </w:rPr>
        <w:t>A.6</w:t>
      </w:r>
      <w:r w:rsidRPr="00AC3585">
        <w:rPr>
          <w:noProof/>
        </w:rPr>
        <w:tab/>
        <w:t>Budgetary outlays by industry grouping, 2006</w:t>
      </w:r>
      <w:r w:rsidRPr="00AC3585">
        <w:rPr>
          <w:noProof/>
        </w:rPr>
        <w:noBreakHyphen/>
        <w:t>07 to 2011</w:t>
      </w:r>
      <w:r w:rsidRPr="00AC3585">
        <w:rPr>
          <w:noProof/>
        </w:rPr>
        <w:noBreakHyphen/>
        <w:t>12</w:t>
      </w:r>
      <w:r>
        <w:rPr>
          <w:noProof/>
        </w:rPr>
        <w:tab/>
        <w:t>125</w:t>
      </w:r>
    </w:p>
    <w:p w:rsidR="00AC3585" w:rsidRPr="00AC3585" w:rsidRDefault="00AC3585" w:rsidP="00AC3585">
      <w:pPr>
        <w:pStyle w:val="TOC2"/>
        <w:tabs>
          <w:tab w:val="left" w:pos="1770"/>
        </w:tabs>
        <w:ind w:left="1134" w:hanging="624"/>
        <w:rPr>
          <w:noProof/>
        </w:rPr>
      </w:pPr>
      <w:r w:rsidRPr="00BC5B74">
        <w:rPr>
          <w:noProof/>
        </w:rPr>
        <w:t>A.7</w:t>
      </w:r>
      <w:r w:rsidRPr="00AC3585">
        <w:rPr>
          <w:noProof/>
        </w:rPr>
        <w:tab/>
        <w:t>Budgetary tax concessions by industry grouping, 2006</w:t>
      </w:r>
      <w:r w:rsidRPr="00AC3585">
        <w:rPr>
          <w:noProof/>
        </w:rPr>
        <w:noBreakHyphen/>
        <w:t>07 to 2011</w:t>
      </w:r>
      <w:r w:rsidRPr="00AC3585">
        <w:rPr>
          <w:noProof/>
        </w:rPr>
        <w:noBreakHyphen/>
        <w:t>12</w:t>
      </w:r>
      <w:r>
        <w:rPr>
          <w:noProof/>
        </w:rPr>
        <w:tab/>
        <w:t>126</w:t>
      </w:r>
    </w:p>
    <w:p w:rsidR="00AC3585" w:rsidRDefault="00AC3585" w:rsidP="00AC3585">
      <w:pPr>
        <w:pStyle w:val="TOC2"/>
        <w:tabs>
          <w:tab w:val="left" w:pos="1770"/>
        </w:tabs>
        <w:ind w:left="1134" w:hanging="624"/>
        <w:rPr>
          <w:rFonts w:asciiTheme="minorHAnsi" w:eastAsiaTheme="minorEastAsia" w:hAnsiTheme="minorHAnsi" w:cstheme="minorBidi"/>
          <w:noProof/>
          <w:sz w:val="22"/>
          <w:szCs w:val="22"/>
          <w:lang w:eastAsia="en-AU"/>
        </w:rPr>
      </w:pPr>
      <w:r w:rsidRPr="00BC5B74">
        <w:rPr>
          <w:noProof/>
        </w:rPr>
        <w:t>A.8</w:t>
      </w:r>
      <w:r>
        <w:rPr>
          <w:rFonts w:asciiTheme="minorHAnsi" w:eastAsiaTheme="minorEastAsia" w:hAnsiTheme="minorHAnsi" w:cstheme="minorBidi"/>
          <w:noProof/>
          <w:sz w:val="22"/>
          <w:szCs w:val="22"/>
          <w:lang w:eastAsia="en-AU"/>
        </w:rPr>
        <w:tab/>
      </w:r>
      <w:r>
        <w:rPr>
          <w:noProof/>
        </w:rPr>
        <w:t>Nominal rate of combined assistance on outputs by industry grouping, 2006</w:t>
      </w:r>
      <w:r>
        <w:rPr>
          <w:noProof/>
        </w:rPr>
        <w:noBreakHyphen/>
        <w:t>07 to 2011</w:t>
      </w:r>
      <w:r>
        <w:rPr>
          <w:noProof/>
        </w:rPr>
        <w:noBreakHyphen/>
        <w:t>12</w:t>
      </w:r>
      <w:r>
        <w:rPr>
          <w:noProof/>
        </w:rPr>
        <w:tab/>
        <w:t>127</w:t>
      </w:r>
    </w:p>
    <w:p w:rsidR="00AC3585" w:rsidRDefault="00AC3585" w:rsidP="00AC3585">
      <w:pPr>
        <w:pStyle w:val="TOC2"/>
        <w:tabs>
          <w:tab w:val="left" w:pos="1770"/>
        </w:tabs>
        <w:ind w:left="1134" w:hanging="624"/>
        <w:rPr>
          <w:rFonts w:asciiTheme="minorHAnsi" w:eastAsiaTheme="minorEastAsia" w:hAnsiTheme="minorHAnsi" w:cstheme="minorBidi"/>
          <w:noProof/>
          <w:sz w:val="22"/>
          <w:szCs w:val="22"/>
          <w:lang w:eastAsia="en-AU"/>
        </w:rPr>
      </w:pPr>
      <w:r w:rsidRPr="00BC5B74">
        <w:rPr>
          <w:noProof/>
        </w:rPr>
        <w:t>A.9</w:t>
      </w:r>
      <w:r>
        <w:rPr>
          <w:rFonts w:asciiTheme="minorHAnsi" w:eastAsiaTheme="minorEastAsia" w:hAnsiTheme="minorHAnsi" w:cstheme="minorBidi"/>
          <w:noProof/>
          <w:sz w:val="22"/>
          <w:szCs w:val="22"/>
          <w:lang w:eastAsia="en-AU"/>
        </w:rPr>
        <w:tab/>
      </w:r>
      <w:r>
        <w:rPr>
          <w:noProof/>
        </w:rPr>
        <w:t>Nominal rate of combined assistance on materials by industry grouping, 2006</w:t>
      </w:r>
      <w:r>
        <w:rPr>
          <w:noProof/>
        </w:rPr>
        <w:noBreakHyphen/>
        <w:t>07 to 2011</w:t>
      </w:r>
      <w:r>
        <w:rPr>
          <w:noProof/>
        </w:rPr>
        <w:noBreakHyphen/>
        <w:t>12</w:t>
      </w:r>
      <w:r>
        <w:rPr>
          <w:noProof/>
        </w:rPr>
        <w:tab/>
        <w:t>128</w:t>
      </w:r>
    </w:p>
    <w:p w:rsidR="00AC3585" w:rsidRPr="00AC3585" w:rsidRDefault="00AC3585" w:rsidP="00AC3585">
      <w:pPr>
        <w:pStyle w:val="TOC2"/>
        <w:tabs>
          <w:tab w:val="left" w:pos="1900"/>
        </w:tabs>
        <w:ind w:left="1134" w:hanging="624"/>
        <w:rPr>
          <w:noProof/>
        </w:rPr>
      </w:pPr>
      <w:r w:rsidRPr="00BC5B74">
        <w:rPr>
          <w:noProof/>
        </w:rPr>
        <w:t>A.10</w:t>
      </w:r>
      <w:r w:rsidRPr="00AC3585">
        <w:rPr>
          <w:noProof/>
        </w:rPr>
        <w:tab/>
        <w:t>Australian Government budgetary assistance to primary industry, 2006-07 to 2011-12</w:t>
      </w:r>
      <w:r>
        <w:rPr>
          <w:noProof/>
        </w:rPr>
        <w:tab/>
        <w:t>129</w:t>
      </w:r>
    </w:p>
    <w:p w:rsidR="00AC3585" w:rsidRDefault="00AC3585" w:rsidP="00AC3585">
      <w:pPr>
        <w:pStyle w:val="TOC2"/>
        <w:tabs>
          <w:tab w:val="left" w:pos="1900"/>
        </w:tabs>
        <w:ind w:left="1134" w:hanging="624"/>
        <w:rPr>
          <w:rFonts w:asciiTheme="minorHAnsi" w:eastAsiaTheme="minorEastAsia" w:hAnsiTheme="minorHAnsi" w:cstheme="minorBidi"/>
          <w:noProof/>
          <w:sz w:val="22"/>
          <w:szCs w:val="22"/>
          <w:lang w:eastAsia="en-AU"/>
        </w:rPr>
      </w:pPr>
      <w:r w:rsidRPr="00BC5B74">
        <w:rPr>
          <w:noProof/>
        </w:rPr>
        <w:t>A.11</w:t>
      </w:r>
      <w:r w:rsidRPr="00AC3585">
        <w:rPr>
          <w:noProof/>
        </w:rPr>
        <w:tab/>
      </w:r>
      <w:r>
        <w:rPr>
          <w:noProof/>
        </w:rPr>
        <w:t>Australian Government budgetary assistance to mining, 2006-07 to 2011-12</w:t>
      </w:r>
      <w:r>
        <w:rPr>
          <w:noProof/>
        </w:rPr>
        <w:tab/>
        <w:t>140</w:t>
      </w:r>
    </w:p>
    <w:p w:rsidR="00AC3585" w:rsidRPr="00A40C52" w:rsidRDefault="00AC3585" w:rsidP="00AC3585">
      <w:pPr>
        <w:pStyle w:val="TOC2"/>
        <w:tabs>
          <w:tab w:val="left" w:pos="1900"/>
        </w:tabs>
        <w:ind w:left="1134" w:hanging="624"/>
        <w:rPr>
          <w:noProof/>
        </w:rPr>
      </w:pPr>
      <w:r w:rsidRPr="00BC5B74">
        <w:rPr>
          <w:noProof/>
        </w:rPr>
        <w:t>A.12</w:t>
      </w:r>
      <w:r w:rsidRPr="00A40C52">
        <w:rPr>
          <w:noProof/>
        </w:rPr>
        <w:tab/>
        <w:t>Australian Government budgetary assistance to manufacturing, 2006</w:t>
      </w:r>
      <w:r w:rsidRPr="00A40C52">
        <w:rPr>
          <w:noProof/>
        </w:rPr>
        <w:noBreakHyphen/>
        <w:t>07 to 2011-12</w:t>
      </w:r>
      <w:r>
        <w:rPr>
          <w:noProof/>
        </w:rPr>
        <w:tab/>
        <w:t>142</w:t>
      </w:r>
    </w:p>
    <w:p w:rsidR="00AC3585" w:rsidRPr="00A40C52" w:rsidRDefault="00AC3585" w:rsidP="00AC3585">
      <w:pPr>
        <w:pStyle w:val="TOC2"/>
        <w:tabs>
          <w:tab w:val="left" w:pos="1900"/>
        </w:tabs>
        <w:ind w:left="1134" w:hanging="624"/>
        <w:rPr>
          <w:noProof/>
        </w:rPr>
      </w:pPr>
      <w:r w:rsidRPr="00BC5B74">
        <w:rPr>
          <w:noProof/>
        </w:rPr>
        <w:t>A.13</w:t>
      </w:r>
      <w:r w:rsidRPr="00A40C52">
        <w:rPr>
          <w:noProof/>
        </w:rPr>
        <w:tab/>
      </w:r>
      <w:r>
        <w:rPr>
          <w:noProof/>
        </w:rPr>
        <w:t>Australian Government budgetary assistance to services, 2006</w:t>
      </w:r>
      <w:r w:rsidR="00A40C52">
        <w:rPr>
          <w:noProof/>
        </w:rPr>
        <w:noBreakHyphen/>
      </w:r>
      <w:r>
        <w:rPr>
          <w:noProof/>
        </w:rPr>
        <w:t>07 to 2011-12</w:t>
      </w:r>
      <w:r>
        <w:rPr>
          <w:noProof/>
        </w:rPr>
        <w:tab/>
        <w:t>155</w:t>
      </w:r>
    </w:p>
    <w:p w:rsidR="00AC3585" w:rsidRPr="00A40C52" w:rsidRDefault="00AC3585" w:rsidP="00AC3585">
      <w:pPr>
        <w:pStyle w:val="TOC2"/>
        <w:tabs>
          <w:tab w:val="left" w:pos="1900"/>
        </w:tabs>
        <w:ind w:left="1134" w:hanging="624"/>
        <w:rPr>
          <w:noProof/>
        </w:rPr>
      </w:pPr>
      <w:r w:rsidRPr="00BC5B74">
        <w:rPr>
          <w:noProof/>
        </w:rPr>
        <w:t>A.14</w:t>
      </w:r>
      <w:r w:rsidRPr="00A40C52">
        <w:rPr>
          <w:noProof/>
        </w:rPr>
        <w:tab/>
        <w:t>Australian Government budgetary assistance, Unallocated other, 2006-07 to 2011-12</w:t>
      </w:r>
      <w:r>
        <w:rPr>
          <w:noProof/>
        </w:rPr>
        <w:tab/>
        <w:t>170</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B.1</w:t>
      </w:r>
      <w:r w:rsidRPr="00A40C52">
        <w:rPr>
          <w:noProof/>
        </w:rPr>
        <w:tab/>
      </w:r>
      <w:r>
        <w:rPr>
          <w:noProof/>
        </w:rPr>
        <w:t>Types of intellectual property</w:t>
      </w:r>
      <w:r>
        <w:rPr>
          <w:noProof/>
        </w:rPr>
        <w:tab/>
        <w:t>174</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B.2</w:t>
      </w:r>
      <w:r>
        <w:rPr>
          <w:rFonts w:asciiTheme="minorHAnsi" w:eastAsiaTheme="minorEastAsia" w:hAnsiTheme="minorHAnsi" w:cstheme="minorBidi"/>
          <w:noProof/>
          <w:sz w:val="22"/>
          <w:szCs w:val="22"/>
          <w:lang w:eastAsia="en-AU"/>
        </w:rPr>
        <w:tab/>
      </w:r>
      <w:r>
        <w:rPr>
          <w:noProof/>
        </w:rPr>
        <w:t>Some IP-related arrangements</w:t>
      </w:r>
      <w:r>
        <w:rPr>
          <w:noProof/>
        </w:rPr>
        <w:tab/>
        <w:t>177</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C.1</w:t>
      </w:r>
      <w:r>
        <w:rPr>
          <w:rFonts w:asciiTheme="minorHAnsi" w:eastAsiaTheme="minorEastAsia" w:hAnsiTheme="minorHAnsi" w:cstheme="minorBidi"/>
          <w:noProof/>
          <w:sz w:val="22"/>
          <w:szCs w:val="22"/>
          <w:lang w:eastAsia="en-AU"/>
        </w:rPr>
        <w:tab/>
      </w:r>
      <w:r>
        <w:rPr>
          <w:noProof/>
        </w:rPr>
        <w:t>Australian anti-dumping and countervailing initiations, 2011</w:t>
      </w:r>
      <w:r>
        <w:rPr>
          <w:noProof/>
        </w:rPr>
        <w:noBreakHyphen/>
        <w:t>12</w:t>
      </w:r>
      <w:r>
        <w:rPr>
          <w:noProof/>
        </w:rPr>
        <w:tab/>
        <w:t>180</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C.2</w:t>
      </w:r>
      <w:r>
        <w:rPr>
          <w:rFonts w:asciiTheme="minorHAnsi" w:eastAsiaTheme="minorEastAsia" w:hAnsiTheme="minorHAnsi" w:cstheme="minorBidi"/>
          <w:noProof/>
          <w:sz w:val="22"/>
          <w:szCs w:val="22"/>
          <w:lang w:eastAsia="en-AU"/>
        </w:rPr>
        <w:tab/>
      </w:r>
      <w:r>
        <w:rPr>
          <w:noProof/>
        </w:rPr>
        <w:t>Australian anti-dumping and countervailing new investigations, 2002</w:t>
      </w:r>
      <w:r>
        <w:rPr>
          <w:noProof/>
        </w:rPr>
        <w:noBreakHyphen/>
        <w:t>03 to 2011</w:t>
      </w:r>
      <w:r>
        <w:rPr>
          <w:noProof/>
        </w:rPr>
        <w:noBreakHyphen/>
        <w:t>12</w:t>
      </w:r>
      <w:r>
        <w:rPr>
          <w:noProof/>
        </w:rPr>
        <w:tab/>
        <w:t>182</w:t>
      </w:r>
    </w:p>
    <w:p w:rsidR="00AC3585" w:rsidRDefault="00AC3585" w:rsidP="00AC3585">
      <w:pPr>
        <w:pStyle w:val="TOC2"/>
        <w:tabs>
          <w:tab w:val="left" w:pos="1760"/>
        </w:tabs>
        <w:ind w:left="1134" w:hanging="624"/>
        <w:rPr>
          <w:rFonts w:asciiTheme="minorHAnsi" w:eastAsiaTheme="minorEastAsia" w:hAnsiTheme="minorHAnsi" w:cstheme="minorBidi"/>
          <w:noProof/>
          <w:sz w:val="22"/>
          <w:szCs w:val="22"/>
          <w:lang w:eastAsia="en-AU"/>
        </w:rPr>
      </w:pPr>
      <w:r w:rsidRPr="00BC5B74">
        <w:rPr>
          <w:noProof/>
        </w:rPr>
        <w:t>C.3</w:t>
      </w:r>
      <w:r>
        <w:rPr>
          <w:rFonts w:asciiTheme="minorHAnsi" w:eastAsiaTheme="minorEastAsia" w:hAnsiTheme="minorHAnsi" w:cstheme="minorBidi"/>
          <w:noProof/>
          <w:sz w:val="22"/>
          <w:szCs w:val="22"/>
          <w:lang w:eastAsia="en-AU"/>
        </w:rPr>
        <w:tab/>
      </w:r>
      <w:r>
        <w:rPr>
          <w:noProof/>
        </w:rPr>
        <w:t>Australian initiations of anti-dumping and countervailing cases by trading region and economy, 2002</w:t>
      </w:r>
      <w:r>
        <w:rPr>
          <w:noProof/>
        </w:rPr>
        <w:noBreakHyphen/>
        <w:t>03 to 2011</w:t>
      </w:r>
      <w:r>
        <w:rPr>
          <w:noProof/>
        </w:rPr>
        <w:noBreakHyphen/>
        <w:t>12</w:t>
      </w:r>
      <w:r>
        <w:rPr>
          <w:noProof/>
        </w:rPr>
        <w:tab/>
        <w:t>183</w:t>
      </w:r>
    </w:p>
    <w:p w:rsidR="00735FEA" w:rsidRDefault="00735FEA">
      <w:pPr>
        <w:pStyle w:val="BodyText"/>
      </w:pPr>
    </w:p>
    <w:p w:rsidR="00F03965" w:rsidRPr="00526106" w:rsidRDefault="00F03965">
      <w:pPr>
        <w:pStyle w:val="BodyText"/>
        <w:rPr>
          <w:sz w:val="24"/>
          <w:szCs w:val="24"/>
        </w:rPr>
        <w:sectPr w:rsidR="00F03965" w:rsidRPr="00526106"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CD770B" w:rsidP="00F7477E">
      <w:pPr>
        <w:pStyle w:val="Heading1"/>
      </w:pPr>
      <w:bookmarkStart w:id="7" w:name="Abbreviations"/>
      <w:bookmarkStart w:id="8" w:name="EndContents"/>
      <w:bookmarkStart w:id="9" w:name="RDnote"/>
      <w:bookmarkStart w:id="10" w:name="_Toc358033542"/>
      <w:bookmarkEnd w:id="7"/>
      <w:bookmarkEnd w:id="8"/>
      <w:bookmarkEnd w:id="9"/>
      <w:r>
        <w:lastRenderedPageBreak/>
        <w:t>Abbreviations</w:t>
      </w:r>
      <w:bookmarkEnd w:id="10"/>
      <w:r>
        <w:t xml:space="preserve"> </w:t>
      </w:r>
    </w:p>
    <w:p w:rsidR="00A85DFC" w:rsidRDefault="00A85DFC" w:rsidP="00A85DFC">
      <w:pPr>
        <w:pStyle w:val="Abbreviation"/>
        <w:ind w:left="1418" w:hanging="1389"/>
      </w:pPr>
      <w:r>
        <w:t>ABS</w:t>
      </w:r>
      <w:r>
        <w:tab/>
        <w:t>Australian Bureau of Statistics</w:t>
      </w:r>
    </w:p>
    <w:p w:rsidR="001828D7" w:rsidRDefault="001828D7" w:rsidP="001828D7">
      <w:pPr>
        <w:pStyle w:val="Abbreviation"/>
        <w:ind w:left="1418" w:hanging="1389"/>
      </w:pPr>
      <w:proofErr w:type="spellStart"/>
      <w:r>
        <w:t>ACTA</w:t>
      </w:r>
      <w:proofErr w:type="spellEnd"/>
      <w:r>
        <w:t xml:space="preserve"> </w:t>
      </w:r>
      <w:r>
        <w:tab/>
        <w:t xml:space="preserve">Anti-Counterfeiting Trade Agreement </w:t>
      </w:r>
    </w:p>
    <w:p w:rsidR="00A85DFC" w:rsidRDefault="00A85DFC" w:rsidP="00A85DFC">
      <w:pPr>
        <w:pStyle w:val="Abbreviation"/>
        <w:ind w:left="1418" w:hanging="1389"/>
      </w:pPr>
      <w:proofErr w:type="spellStart"/>
      <w:r>
        <w:t>ANZSIC</w:t>
      </w:r>
      <w:proofErr w:type="spellEnd"/>
      <w:r>
        <w:tab/>
        <w:t>Australian and New Zealand Standard Industrial Classification</w:t>
      </w:r>
    </w:p>
    <w:p w:rsidR="001828D7" w:rsidRDefault="001828D7" w:rsidP="001828D7">
      <w:pPr>
        <w:pStyle w:val="Abbreviation"/>
        <w:ind w:left="1418" w:hanging="1389"/>
      </w:pPr>
      <w:r>
        <w:t>APEC</w:t>
      </w:r>
      <w:r>
        <w:tab/>
        <w:t xml:space="preserve"> Asia-Pacific Economic Cooperation </w:t>
      </w:r>
    </w:p>
    <w:p w:rsidR="001828D7" w:rsidRDefault="001828D7" w:rsidP="001828D7">
      <w:pPr>
        <w:pStyle w:val="Abbreviation"/>
        <w:ind w:left="1418" w:hanging="1389"/>
      </w:pPr>
      <w:proofErr w:type="spellStart"/>
      <w:r>
        <w:t>BRTAs</w:t>
      </w:r>
      <w:proofErr w:type="spellEnd"/>
      <w:r>
        <w:t xml:space="preserve"> </w:t>
      </w:r>
      <w:r>
        <w:tab/>
        <w:t xml:space="preserve">bilateral and regional trade agreements </w:t>
      </w:r>
    </w:p>
    <w:p w:rsidR="00A85DFC" w:rsidRDefault="00A85DFC" w:rsidP="00A85DFC">
      <w:pPr>
        <w:pStyle w:val="Abbreviation"/>
        <w:ind w:left="1418" w:hanging="1389"/>
      </w:pPr>
      <w:r>
        <w:t>CSIRO</w:t>
      </w:r>
      <w:r>
        <w:tab/>
        <w:t xml:space="preserve">Commonwealth Scientific and Industrial Research Organisation </w:t>
      </w:r>
    </w:p>
    <w:p w:rsidR="001828D7" w:rsidRPr="001828D7" w:rsidRDefault="001828D7" w:rsidP="001828D7">
      <w:pPr>
        <w:pStyle w:val="Abbreviation"/>
        <w:ind w:left="1418" w:hanging="1389"/>
      </w:pPr>
      <w:proofErr w:type="spellStart"/>
      <w:r w:rsidRPr="001828D7">
        <w:t>DBCDE</w:t>
      </w:r>
      <w:proofErr w:type="spellEnd"/>
      <w:r w:rsidRPr="001828D7">
        <w:t xml:space="preserve"> </w:t>
      </w:r>
      <w:r w:rsidRPr="001828D7">
        <w:tab/>
        <w:t>Department of Broadband, Communications and the Digital Economy</w:t>
      </w:r>
    </w:p>
    <w:p w:rsidR="001828D7" w:rsidRPr="001828D7" w:rsidRDefault="001828D7" w:rsidP="001828D7">
      <w:pPr>
        <w:pStyle w:val="Abbreviation"/>
        <w:ind w:left="1418" w:hanging="1389"/>
      </w:pPr>
      <w:proofErr w:type="spellStart"/>
      <w:r w:rsidRPr="00A85DFC">
        <w:t>DFAT</w:t>
      </w:r>
      <w:proofErr w:type="spellEnd"/>
      <w:r w:rsidRPr="00A85DFC">
        <w:t xml:space="preserve"> </w:t>
      </w:r>
      <w:r>
        <w:tab/>
      </w:r>
      <w:r w:rsidRPr="00A85DFC">
        <w:t>Departme</w:t>
      </w:r>
      <w:r>
        <w:t>nt of Foreign Affairs and Trade</w:t>
      </w:r>
    </w:p>
    <w:p w:rsidR="001828D7" w:rsidRPr="00A85DFC" w:rsidRDefault="001828D7" w:rsidP="001828D7">
      <w:pPr>
        <w:pStyle w:val="Abbreviation"/>
        <w:ind w:left="1418" w:hanging="1389"/>
      </w:pPr>
      <w:proofErr w:type="spellStart"/>
      <w:r w:rsidRPr="00A85DFC">
        <w:t>DIISRTE</w:t>
      </w:r>
      <w:proofErr w:type="spellEnd"/>
      <w:r w:rsidRPr="00A85DFC">
        <w:t xml:space="preserve"> </w:t>
      </w:r>
      <w:r>
        <w:tab/>
      </w:r>
      <w:r w:rsidRPr="00A85DFC">
        <w:t xml:space="preserve">Department of Industry, Innovation, Science, </w:t>
      </w:r>
      <w:r>
        <w:t>Research and Tertiary Education</w:t>
      </w:r>
    </w:p>
    <w:p w:rsidR="001828D7" w:rsidRPr="001828D7" w:rsidRDefault="001828D7" w:rsidP="001828D7">
      <w:pPr>
        <w:pStyle w:val="Abbreviation"/>
        <w:ind w:left="1418" w:hanging="1389"/>
      </w:pPr>
      <w:proofErr w:type="spellStart"/>
      <w:r w:rsidRPr="001828D7">
        <w:t>DRET</w:t>
      </w:r>
      <w:proofErr w:type="spellEnd"/>
      <w:r w:rsidRPr="001828D7">
        <w:tab/>
        <w:t>Department of Resources, Energy and Tourism</w:t>
      </w:r>
    </w:p>
    <w:p w:rsidR="00735FEA" w:rsidRDefault="00735FEA" w:rsidP="00A85DFC">
      <w:pPr>
        <w:pStyle w:val="Abbreviation"/>
        <w:ind w:left="1418" w:hanging="1389"/>
      </w:pPr>
      <w:proofErr w:type="spellStart"/>
      <w:r>
        <w:t>IAC</w:t>
      </w:r>
      <w:proofErr w:type="spellEnd"/>
      <w:r>
        <w:tab/>
        <w:t>Industries Assistance Commission</w:t>
      </w:r>
    </w:p>
    <w:p w:rsidR="00735FEA" w:rsidRDefault="00735FEA" w:rsidP="00A85DFC">
      <w:pPr>
        <w:pStyle w:val="Abbreviation"/>
        <w:ind w:left="1418" w:hanging="1389"/>
      </w:pPr>
      <w:r>
        <w:t>IC</w:t>
      </w:r>
      <w:r>
        <w:tab/>
        <w:t>Industry Commission</w:t>
      </w:r>
    </w:p>
    <w:p w:rsidR="001828D7" w:rsidRDefault="001828D7" w:rsidP="001828D7">
      <w:pPr>
        <w:pStyle w:val="Abbreviation"/>
        <w:ind w:left="1418" w:hanging="1389"/>
      </w:pPr>
      <w:r>
        <w:t xml:space="preserve">IP </w:t>
      </w:r>
      <w:r>
        <w:tab/>
        <w:t xml:space="preserve">Intellectual property </w:t>
      </w:r>
    </w:p>
    <w:p w:rsidR="001828D7" w:rsidRDefault="001828D7" w:rsidP="001828D7">
      <w:pPr>
        <w:pStyle w:val="Abbreviation"/>
        <w:ind w:left="1418" w:hanging="1389"/>
      </w:pPr>
      <w:proofErr w:type="spellStart"/>
      <w:r>
        <w:t>ISDS</w:t>
      </w:r>
      <w:proofErr w:type="spellEnd"/>
      <w:r>
        <w:t xml:space="preserve"> </w:t>
      </w:r>
      <w:r>
        <w:tab/>
        <w:t xml:space="preserve">investor-state dispute settlement </w:t>
      </w:r>
    </w:p>
    <w:p w:rsidR="00735FEA" w:rsidRDefault="00735FEA" w:rsidP="00A85DFC">
      <w:pPr>
        <w:pStyle w:val="Abbreviation"/>
        <w:ind w:left="1418" w:hanging="1389"/>
      </w:pPr>
      <w:r>
        <w:t>PC</w:t>
      </w:r>
      <w:r>
        <w:tab/>
        <w:t>Productivity Commission</w:t>
      </w:r>
    </w:p>
    <w:p w:rsidR="001828D7" w:rsidRDefault="001828D7" w:rsidP="001828D7">
      <w:pPr>
        <w:pStyle w:val="Abbreviation"/>
        <w:ind w:left="1418" w:hanging="1389"/>
      </w:pPr>
      <w:proofErr w:type="spellStart"/>
      <w:r>
        <w:t>RCEP</w:t>
      </w:r>
      <w:proofErr w:type="spellEnd"/>
      <w:r>
        <w:t xml:space="preserve"> </w:t>
      </w:r>
      <w:r>
        <w:tab/>
        <w:t xml:space="preserve">Regional Comprehensive Economic Partnership </w:t>
      </w:r>
    </w:p>
    <w:p w:rsidR="00A85DFC" w:rsidRDefault="00A85DFC" w:rsidP="00A85DFC">
      <w:pPr>
        <w:pStyle w:val="Abbreviation"/>
        <w:ind w:left="1418" w:hanging="1389"/>
      </w:pPr>
      <w:r>
        <w:t>R&amp;D</w:t>
      </w:r>
      <w:r>
        <w:tab/>
        <w:t>Research and Development</w:t>
      </w:r>
    </w:p>
    <w:p w:rsidR="00A85DFC" w:rsidRDefault="00A85DFC" w:rsidP="00A85DFC">
      <w:pPr>
        <w:pStyle w:val="Abbreviation"/>
        <w:ind w:left="1418" w:hanging="1389"/>
      </w:pPr>
      <w:r>
        <w:t>TES</w:t>
      </w:r>
      <w:r>
        <w:tab/>
        <w:t>Tax Expenditures Statement</w:t>
      </w:r>
    </w:p>
    <w:p w:rsidR="00A85DFC" w:rsidRDefault="001828D7" w:rsidP="00A85DFC">
      <w:pPr>
        <w:pStyle w:val="Abbreviation"/>
        <w:ind w:left="1418" w:hanging="1389"/>
      </w:pPr>
      <w:proofErr w:type="spellStart"/>
      <w:r>
        <w:t>TPP</w:t>
      </w:r>
      <w:proofErr w:type="spellEnd"/>
      <w:r>
        <w:tab/>
      </w:r>
      <w:r w:rsidR="00555AD8">
        <w:t>Trans-Pacific Partnership</w:t>
      </w:r>
    </w:p>
    <w:p w:rsidR="001828D7" w:rsidRPr="00A85DFC" w:rsidRDefault="001828D7" w:rsidP="001828D7">
      <w:pPr>
        <w:pStyle w:val="Abbreviation"/>
        <w:ind w:left="1418" w:hanging="1389"/>
      </w:pPr>
      <w:r w:rsidRPr="00A85DFC">
        <w:t xml:space="preserve">TRIPS </w:t>
      </w:r>
      <w:r>
        <w:tab/>
      </w:r>
      <w:r w:rsidRPr="00A85DFC">
        <w:t xml:space="preserve">Trade Related Aspects of Intellectual Property Rights </w:t>
      </w:r>
    </w:p>
    <w:p w:rsidR="00A85DFC" w:rsidRPr="00A85DFC" w:rsidRDefault="001828D7" w:rsidP="00A85DFC">
      <w:pPr>
        <w:pStyle w:val="Abbreviation"/>
        <w:ind w:left="1418" w:hanging="1389"/>
      </w:pPr>
      <w:proofErr w:type="spellStart"/>
      <w:r w:rsidRPr="00A85DFC">
        <w:t>WIPO</w:t>
      </w:r>
      <w:proofErr w:type="spellEnd"/>
      <w:r>
        <w:tab/>
      </w:r>
      <w:r w:rsidR="00A85DFC" w:rsidRPr="00A85DFC">
        <w:t xml:space="preserve">United Nations World Intellectual Property Organization </w:t>
      </w:r>
    </w:p>
    <w:p w:rsidR="00A85DFC" w:rsidRDefault="001828D7" w:rsidP="00230E94">
      <w:pPr>
        <w:pStyle w:val="Abbreviation"/>
        <w:ind w:left="1418" w:hanging="1389"/>
      </w:pPr>
      <w:r>
        <w:t xml:space="preserve">WTO </w:t>
      </w:r>
      <w:r>
        <w:tab/>
      </w:r>
      <w:r w:rsidR="00A85DFC">
        <w:t xml:space="preserve">World Trade Organization </w:t>
      </w:r>
    </w:p>
    <w:sectPr w:rsidR="00A85DFC"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9EF" w:rsidRDefault="005A29EF">
      <w:r>
        <w:separator/>
      </w:r>
    </w:p>
    <w:p w:rsidR="005A29EF" w:rsidRDefault="005A29EF"/>
    <w:p w:rsidR="005A29EF" w:rsidRDefault="005A29EF"/>
  </w:endnote>
  <w:endnote w:type="continuationSeparator" w:id="0">
    <w:p w:rsidR="005A29EF" w:rsidRDefault="005A29EF">
      <w:r>
        <w:continuationSeparator/>
      </w:r>
    </w:p>
    <w:p w:rsidR="005A29EF" w:rsidRDefault="005A29EF"/>
    <w:p w:rsidR="005A29EF" w:rsidRDefault="005A2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5A29EF">
      <w:trPr>
        <w:trHeight w:hRule="exact" w:val="740"/>
      </w:trPr>
      <w:tc>
        <w:tcPr>
          <w:tcW w:w="510" w:type="dxa"/>
          <w:tcBorders>
            <w:top w:val="single" w:sz="6" w:space="0" w:color="auto"/>
          </w:tcBorders>
        </w:tcPr>
        <w:p w:rsidR="005A29EF" w:rsidRPr="008A654B" w:rsidRDefault="005A29EF">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iv</w:t>
          </w:r>
          <w:r w:rsidRPr="008A654B">
            <w:rPr>
              <w:rStyle w:val="PageNumber"/>
              <w:caps w:val="0"/>
            </w:rPr>
            <w:fldChar w:fldCharType="end"/>
          </w:r>
        </w:p>
      </w:tc>
      <w:tc>
        <w:tcPr>
          <w:tcW w:w="1830" w:type="dxa"/>
          <w:tcBorders>
            <w:top w:val="single" w:sz="6" w:space="0" w:color="auto"/>
          </w:tcBorders>
        </w:tcPr>
        <w:p w:rsidR="005A29EF" w:rsidRDefault="00C75773">
          <w:pPr>
            <w:pStyle w:val="Footer"/>
          </w:pPr>
          <w:fldSimple w:instr=" STYLEREF &quot;Heading 1&quot; \* MERGEFORMAT ">
            <w:r w:rsidR="005A29EF">
              <w:rPr>
                <w:noProof/>
              </w:rPr>
              <w:t>Foreword</w:t>
            </w:r>
          </w:fldSimple>
        </w:p>
      </w:tc>
      <w:tc>
        <w:tcPr>
          <w:tcW w:w="6448" w:type="dxa"/>
        </w:tcPr>
        <w:p w:rsidR="005A29EF" w:rsidRDefault="005A29EF">
          <w:pPr>
            <w:pStyle w:val="Footer"/>
          </w:pPr>
        </w:p>
      </w:tc>
    </w:tr>
  </w:tbl>
  <w:p w:rsidR="005A29EF" w:rsidRDefault="005A29E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5A29EF">
      <w:trPr>
        <w:trHeight w:hRule="exact" w:val="740"/>
      </w:trPr>
      <w:tc>
        <w:tcPr>
          <w:tcW w:w="6480" w:type="dxa"/>
        </w:tcPr>
        <w:p w:rsidR="005A29EF" w:rsidRDefault="005A29EF">
          <w:pPr>
            <w:pStyle w:val="Footer"/>
          </w:pPr>
        </w:p>
      </w:tc>
      <w:tc>
        <w:tcPr>
          <w:tcW w:w="1798" w:type="dxa"/>
          <w:tcBorders>
            <w:top w:val="single" w:sz="6" w:space="0" w:color="auto"/>
          </w:tcBorders>
        </w:tcPr>
        <w:p w:rsidR="005A29EF" w:rsidRDefault="00C75773">
          <w:pPr>
            <w:pStyle w:val="Footer"/>
            <w:rPr>
              <w:rStyle w:val="PageNumber"/>
              <w:b w:val="0"/>
            </w:rPr>
          </w:pPr>
          <w:fldSimple w:instr=" STYLEREF &quot;Heading 1&quot; \* MERGEFORMAT ">
            <w:r w:rsidR="00C86AAC">
              <w:rPr>
                <w:noProof/>
              </w:rPr>
              <w:t>Foreword</w:t>
            </w:r>
          </w:fldSimple>
        </w:p>
      </w:tc>
      <w:tc>
        <w:tcPr>
          <w:tcW w:w="510" w:type="dxa"/>
          <w:tcBorders>
            <w:top w:val="single" w:sz="6" w:space="0" w:color="auto"/>
          </w:tcBorders>
        </w:tcPr>
        <w:p w:rsidR="005A29EF" w:rsidRPr="00B4787B" w:rsidRDefault="005A29EF" w:rsidP="00AC3585">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C86AAC">
            <w:rPr>
              <w:rStyle w:val="PageNumber"/>
              <w:smallCaps w:val="0"/>
              <w:noProof/>
            </w:rPr>
            <w:t>iii</w:t>
          </w:r>
          <w:r w:rsidRPr="00B4787B">
            <w:rPr>
              <w:rStyle w:val="PageNumber"/>
              <w:smallCaps w:val="0"/>
            </w:rPr>
            <w:fldChar w:fldCharType="end"/>
          </w:r>
        </w:p>
      </w:tc>
    </w:tr>
  </w:tbl>
  <w:p w:rsidR="005A29EF" w:rsidRDefault="005A29E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A29EF">
      <w:trPr>
        <w:trHeight w:hRule="exact" w:val="740"/>
      </w:trPr>
      <w:tc>
        <w:tcPr>
          <w:tcW w:w="510" w:type="dxa"/>
          <w:tcBorders>
            <w:top w:val="single" w:sz="6" w:space="0" w:color="auto"/>
          </w:tcBorders>
        </w:tcPr>
        <w:p w:rsidR="005A29EF" w:rsidRPr="008206EE" w:rsidRDefault="005A29EF">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C86AAC">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5A29EF" w:rsidRDefault="00C75773">
          <w:pPr>
            <w:pStyle w:val="Footer"/>
          </w:pPr>
          <w:fldSimple w:instr=" STYLEREF &quot;Heading 1 Not TOC&quot; \* MERGEFORMAT ">
            <w:r w:rsidR="00C86AAC">
              <w:rPr>
                <w:noProof/>
              </w:rPr>
              <w:t>Contents</w:t>
            </w:r>
          </w:fldSimple>
        </w:p>
      </w:tc>
      <w:tc>
        <w:tcPr>
          <w:tcW w:w="6634" w:type="dxa"/>
        </w:tcPr>
        <w:p w:rsidR="005A29EF" w:rsidRDefault="005A29EF">
          <w:pPr>
            <w:pStyle w:val="Footer"/>
            <w:rPr>
              <w:caps w:val="0"/>
            </w:rPr>
          </w:pPr>
        </w:p>
      </w:tc>
    </w:tr>
  </w:tbl>
  <w:p w:rsidR="005A29EF" w:rsidRDefault="005A29E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A29EF" w:rsidTr="008F7DB7">
      <w:trPr>
        <w:trHeight w:hRule="exact" w:val="740"/>
      </w:trPr>
      <w:tc>
        <w:tcPr>
          <w:tcW w:w="6634" w:type="dxa"/>
        </w:tcPr>
        <w:p w:rsidR="005A29EF" w:rsidRDefault="005A29EF">
          <w:pPr>
            <w:pStyle w:val="Footer"/>
          </w:pPr>
        </w:p>
      </w:tc>
      <w:tc>
        <w:tcPr>
          <w:tcW w:w="1644" w:type="dxa"/>
          <w:tcBorders>
            <w:top w:val="single" w:sz="6" w:space="0" w:color="auto"/>
          </w:tcBorders>
        </w:tcPr>
        <w:p w:rsidR="005A29EF" w:rsidRPr="008F7DB7" w:rsidRDefault="005A29EF">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C86AAC" w:rsidRPr="00C86AAC">
            <w:rPr>
              <w:bCs/>
              <w:noProof/>
            </w:rPr>
            <w:t>Contents</w:t>
          </w:r>
          <w:r w:rsidRPr="008F7DB7">
            <w:rPr>
              <w:noProof/>
            </w:rPr>
            <w:fldChar w:fldCharType="end"/>
          </w:r>
        </w:p>
      </w:tc>
      <w:tc>
        <w:tcPr>
          <w:tcW w:w="510" w:type="dxa"/>
          <w:tcBorders>
            <w:top w:val="single" w:sz="6" w:space="0" w:color="auto"/>
          </w:tcBorders>
        </w:tcPr>
        <w:p w:rsidR="005A29EF" w:rsidRPr="00C55A45" w:rsidRDefault="005A29EF">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86AAC">
            <w:rPr>
              <w:rStyle w:val="PageNumber"/>
              <w:caps w:val="0"/>
              <w:noProof/>
            </w:rPr>
            <w:t>vii</w:t>
          </w:r>
          <w:r w:rsidRPr="00C55A45">
            <w:rPr>
              <w:rStyle w:val="PageNumber"/>
              <w:caps w:val="0"/>
              <w:noProof/>
            </w:rPr>
            <w:fldChar w:fldCharType="end"/>
          </w:r>
        </w:p>
      </w:tc>
    </w:tr>
  </w:tbl>
  <w:p w:rsidR="005A29EF" w:rsidRDefault="005A29E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5A29EF" w:rsidTr="008F7DB7">
      <w:trPr>
        <w:trHeight w:hRule="exact" w:val="740"/>
      </w:trPr>
      <w:tc>
        <w:tcPr>
          <w:tcW w:w="510" w:type="dxa"/>
          <w:tcBorders>
            <w:top w:val="single" w:sz="6" w:space="0" w:color="auto"/>
          </w:tcBorders>
        </w:tcPr>
        <w:p w:rsidR="005A29EF" w:rsidRPr="00C55A45" w:rsidRDefault="005A29EF">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5A29EF" w:rsidRDefault="005A29EF">
          <w:pPr>
            <w:pStyle w:val="Footer"/>
            <w:rPr>
              <w:noProof/>
            </w:rPr>
          </w:pPr>
          <w:r>
            <w:rPr>
              <w:noProof/>
            </w:rPr>
            <w:fldChar w:fldCharType="begin"/>
          </w:r>
          <w:r>
            <w:rPr>
              <w:noProof/>
            </w:rPr>
            <w:instrText xml:space="preserve"> STYLEREF "Heading 1" \* MERGEFORMAT </w:instrText>
          </w:r>
          <w:r>
            <w:rPr>
              <w:noProof/>
            </w:rPr>
            <w:fldChar w:fldCharType="separate"/>
          </w:r>
          <w:r>
            <w:rPr>
              <w:noProof/>
            </w:rPr>
            <w:t>Foreword</w:t>
          </w:r>
          <w:r>
            <w:rPr>
              <w:noProof/>
            </w:rPr>
            <w:fldChar w:fldCharType="end"/>
          </w:r>
        </w:p>
      </w:tc>
      <w:tc>
        <w:tcPr>
          <w:tcW w:w="6634" w:type="dxa"/>
        </w:tcPr>
        <w:p w:rsidR="005A29EF" w:rsidRDefault="005A29EF">
          <w:pPr>
            <w:pStyle w:val="Footer"/>
            <w:rPr>
              <w:caps w:val="0"/>
            </w:rPr>
          </w:pPr>
        </w:p>
      </w:tc>
    </w:tr>
  </w:tbl>
  <w:p w:rsidR="005A29EF" w:rsidRDefault="005A29E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5A29EF">
      <w:trPr>
        <w:trHeight w:hRule="exact" w:val="740"/>
      </w:trPr>
      <w:tc>
        <w:tcPr>
          <w:tcW w:w="6663" w:type="dxa"/>
        </w:tcPr>
        <w:p w:rsidR="005A29EF" w:rsidRDefault="005A29EF">
          <w:pPr>
            <w:pStyle w:val="Footer"/>
          </w:pPr>
        </w:p>
      </w:tc>
      <w:tc>
        <w:tcPr>
          <w:tcW w:w="1615" w:type="dxa"/>
          <w:tcBorders>
            <w:top w:val="single" w:sz="6" w:space="0" w:color="auto"/>
          </w:tcBorders>
        </w:tcPr>
        <w:p w:rsidR="005A29EF" w:rsidRDefault="00C75773">
          <w:pPr>
            <w:pStyle w:val="Footer"/>
            <w:rPr>
              <w:rStyle w:val="PageNumber"/>
              <w:b w:val="0"/>
            </w:rPr>
          </w:pPr>
          <w:fldSimple w:instr=" STYLEREF &quot;Heading 1&quot; \* MERGEFORMAT ">
            <w:r w:rsidR="00C86AAC">
              <w:rPr>
                <w:noProof/>
              </w:rPr>
              <w:t>Abbreviations</w:t>
            </w:r>
          </w:fldSimple>
        </w:p>
      </w:tc>
      <w:tc>
        <w:tcPr>
          <w:tcW w:w="510" w:type="dxa"/>
          <w:tcBorders>
            <w:top w:val="single" w:sz="6" w:space="0" w:color="auto"/>
          </w:tcBorders>
        </w:tcPr>
        <w:p w:rsidR="005A29EF" w:rsidRPr="00E15FDC" w:rsidRDefault="005A29EF">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C86AAC">
            <w:rPr>
              <w:rStyle w:val="PageNumber"/>
              <w:caps w:val="0"/>
              <w:noProof/>
            </w:rPr>
            <w:t>ix</w:t>
          </w:r>
          <w:r w:rsidRPr="00E15FDC">
            <w:rPr>
              <w:rStyle w:val="PageNumber"/>
              <w:caps w:val="0"/>
              <w:noProof/>
            </w:rPr>
            <w:fldChar w:fldCharType="end"/>
          </w:r>
        </w:p>
      </w:tc>
    </w:tr>
  </w:tbl>
  <w:p w:rsidR="005A29EF" w:rsidRDefault="005A29EF"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9EF" w:rsidRDefault="005A29EF">
      <w:r>
        <w:separator/>
      </w:r>
    </w:p>
    <w:p w:rsidR="005A29EF" w:rsidRDefault="005A29EF"/>
    <w:p w:rsidR="005A29EF" w:rsidRDefault="005A29EF"/>
  </w:footnote>
  <w:footnote w:type="continuationSeparator" w:id="0">
    <w:p w:rsidR="005A29EF" w:rsidRDefault="005A29EF">
      <w:r>
        <w:continuationSeparator/>
      </w:r>
    </w:p>
    <w:p w:rsidR="005A29EF" w:rsidRDefault="005A29EF"/>
    <w:p w:rsidR="005A29EF" w:rsidRDefault="005A29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A29EF">
      <w:tc>
        <w:tcPr>
          <w:tcW w:w="2155" w:type="dxa"/>
          <w:tcBorders>
            <w:top w:val="single" w:sz="24" w:space="0" w:color="auto"/>
          </w:tcBorders>
        </w:tcPr>
        <w:p w:rsidR="005A29EF" w:rsidRDefault="005A29EF">
          <w:pPr>
            <w:pStyle w:val="HeaderEven"/>
          </w:pPr>
        </w:p>
      </w:tc>
      <w:tc>
        <w:tcPr>
          <w:tcW w:w="6634" w:type="dxa"/>
          <w:tcBorders>
            <w:top w:val="single" w:sz="6" w:space="0" w:color="auto"/>
          </w:tcBorders>
        </w:tcPr>
        <w:p w:rsidR="005A29EF" w:rsidRDefault="005A29EF">
          <w:pPr>
            <w:pStyle w:val="HeaderEven"/>
          </w:pPr>
        </w:p>
      </w:tc>
    </w:tr>
  </w:tbl>
  <w:p w:rsidR="005A29EF" w:rsidRDefault="005A29E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29EF">
      <w:tc>
        <w:tcPr>
          <w:tcW w:w="6634" w:type="dxa"/>
          <w:tcBorders>
            <w:top w:val="single" w:sz="6" w:space="0" w:color="auto"/>
          </w:tcBorders>
        </w:tcPr>
        <w:p w:rsidR="005A29EF" w:rsidRDefault="005A29EF">
          <w:pPr>
            <w:pStyle w:val="HeaderOdd"/>
          </w:pPr>
        </w:p>
      </w:tc>
      <w:tc>
        <w:tcPr>
          <w:tcW w:w="2155" w:type="dxa"/>
          <w:tcBorders>
            <w:top w:val="single" w:sz="24" w:space="0" w:color="auto"/>
          </w:tcBorders>
        </w:tcPr>
        <w:p w:rsidR="005A29EF" w:rsidRDefault="005A29EF">
          <w:pPr>
            <w:pStyle w:val="HeaderOdd"/>
          </w:pPr>
        </w:p>
      </w:tc>
    </w:tr>
  </w:tbl>
  <w:p w:rsidR="005A29EF" w:rsidRDefault="005A29E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A29EF">
      <w:tc>
        <w:tcPr>
          <w:tcW w:w="2155" w:type="dxa"/>
          <w:tcBorders>
            <w:top w:val="single" w:sz="24" w:space="0" w:color="auto"/>
          </w:tcBorders>
        </w:tcPr>
        <w:p w:rsidR="005A29EF" w:rsidRDefault="005A29EF">
          <w:pPr>
            <w:pStyle w:val="Header"/>
          </w:pPr>
        </w:p>
      </w:tc>
      <w:tc>
        <w:tcPr>
          <w:tcW w:w="6634" w:type="dxa"/>
          <w:tcBorders>
            <w:top w:val="single" w:sz="6" w:space="0" w:color="auto"/>
          </w:tcBorders>
        </w:tcPr>
        <w:p w:rsidR="005A29EF" w:rsidRDefault="005A29EF">
          <w:pPr>
            <w:pStyle w:val="Header"/>
          </w:pPr>
        </w:p>
      </w:tc>
    </w:tr>
  </w:tbl>
  <w:p w:rsidR="005A29EF" w:rsidRDefault="005A29E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29EF" w:rsidTr="005C68FE">
      <w:tc>
        <w:tcPr>
          <w:tcW w:w="6634" w:type="dxa"/>
          <w:tcBorders>
            <w:top w:val="single" w:sz="6" w:space="0" w:color="auto"/>
          </w:tcBorders>
        </w:tcPr>
        <w:p w:rsidR="005A29EF" w:rsidRDefault="005A29EF" w:rsidP="005C68FE">
          <w:pPr>
            <w:pStyle w:val="HeaderOdd"/>
          </w:pPr>
        </w:p>
      </w:tc>
      <w:tc>
        <w:tcPr>
          <w:tcW w:w="2155" w:type="dxa"/>
          <w:tcBorders>
            <w:top w:val="single" w:sz="24" w:space="0" w:color="auto"/>
          </w:tcBorders>
        </w:tcPr>
        <w:p w:rsidR="005A29EF" w:rsidRDefault="005A29EF" w:rsidP="005C68FE">
          <w:pPr>
            <w:pStyle w:val="HeaderOdd"/>
          </w:pPr>
        </w:p>
      </w:tc>
    </w:tr>
  </w:tbl>
  <w:p w:rsidR="005A29EF" w:rsidRPr="005C68FE" w:rsidRDefault="005A29EF"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A29EF" w:rsidTr="005C68FE">
      <w:tc>
        <w:tcPr>
          <w:tcW w:w="2155" w:type="dxa"/>
          <w:tcBorders>
            <w:top w:val="single" w:sz="24" w:space="0" w:color="auto"/>
          </w:tcBorders>
        </w:tcPr>
        <w:p w:rsidR="005A29EF" w:rsidRDefault="005A29EF" w:rsidP="005C68FE">
          <w:pPr>
            <w:pStyle w:val="HeaderEven"/>
          </w:pPr>
        </w:p>
      </w:tc>
      <w:tc>
        <w:tcPr>
          <w:tcW w:w="6634" w:type="dxa"/>
          <w:tcBorders>
            <w:top w:val="single" w:sz="6" w:space="0" w:color="auto"/>
          </w:tcBorders>
        </w:tcPr>
        <w:p w:rsidR="005A29EF" w:rsidRDefault="005A29EF" w:rsidP="005C68FE">
          <w:pPr>
            <w:pStyle w:val="HeaderEven"/>
          </w:pPr>
        </w:p>
      </w:tc>
    </w:tr>
  </w:tbl>
  <w:p w:rsidR="005A29EF" w:rsidRDefault="005A29EF"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29EF">
      <w:tc>
        <w:tcPr>
          <w:tcW w:w="6634" w:type="dxa"/>
          <w:tcBorders>
            <w:top w:val="single" w:sz="6" w:space="0" w:color="auto"/>
          </w:tcBorders>
        </w:tcPr>
        <w:p w:rsidR="005A29EF" w:rsidRDefault="005A29EF">
          <w:pPr>
            <w:pStyle w:val="HeaderOdd"/>
          </w:pPr>
        </w:p>
      </w:tc>
      <w:tc>
        <w:tcPr>
          <w:tcW w:w="2155" w:type="dxa"/>
          <w:tcBorders>
            <w:top w:val="single" w:sz="24" w:space="0" w:color="auto"/>
          </w:tcBorders>
        </w:tcPr>
        <w:p w:rsidR="005A29EF" w:rsidRDefault="005A29EF">
          <w:pPr>
            <w:pStyle w:val="HeaderOdd"/>
          </w:pPr>
        </w:p>
      </w:tc>
    </w:tr>
  </w:tbl>
  <w:p w:rsidR="005A29EF" w:rsidRDefault="005A29EF"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B2"/>
    <w:rsid w:val="00017AFC"/>
    <w:rsid w:val="00025878"/>
    <w:rsid w:val="00026B38"/>
    <w:rsid w:val="000502D3"/>
    <w:rsid w:val="000623BF"/>
    <w:rsid w:val="00095EEA"/>
    <w:rsid w:val="00097C15"/>
    <w:rsid w:val="000A48FF"/>
    <w:rsid w:val="000B416E"/>
    <w:rsid w:val="000F185F"/>
    <w:rsid w:val="000F2F5F"/>
    <w:rsid w:val="00106041"/>
    <w:rsid w:val="0013399B"/>
    <w:rsid w:val="00141BD5"/>
    <w:rsid w:val="00181F4B"/>
    <w:rsid w:val="001828D7"/>
    <w:rsid w:val="00196FB3"/>
    <w:rsid w:val="001A5071"/>
    <w:rsid w:val="001B4E73"/>
    <w:rsid w:val="001B7F1E"/>
    <w:rsid w:val="001D4B1F"/>
    <w:rsid w:val="001D6629"/>
    <w:rsid w:val="001E2A72"/>
    <w:rsid w:val="001F2270"/>
    <w:rsid w:val="00205A82"/>
    <w:rsid w:val="00211BEE"/>
    <w:rsid w:val="002179C6"/>
    <w:rsid w:val="00230E94"/>
    <w:rsid w:val="00247BC9"/>
    <w:rsid w:val="00261607"/>
    <w:rsid w:val="00263DD1"/>
    <w:rsid w:val="00264D3B"/>
    <w:rsid w:val="00265685"/>
    <w:rsid w:val="00266971"/>
    <w:rsid w:val="00281D5F"/>
    <w:rsid w:val="002923AD"/>
    <w:rsid w:val="00296592"/>
    <w:rsid w:val="002A0A4B"/>
    <w:rsid w:val="002B636E"/>
    <w:rsid w:val="002B64D6"/>
    <w:rsid w:val="002C12F5"/>
    <w:rsid w:val="002D6FCE"/>
    <w:rsid w:val="00313BB1"/>
    <w:rsid w:val="003149B6"/>
    <w:rsid w:val="0036300F"/>
    <w:rsid w:val="003B41E0"/>
    <w:rsid w:val="003D624D"/>
    <w:rsid w:val="003E7802"/>
    <w:rsid w:val="003E7BB2"/>
    <w:rsid w:val="00412BEE"/>
    <w:rsid w:val="00433C81"/>
    <w:rsid w:val="00446D6B"/>
    <w:rsid w:val="00457B3F"/>
    <w:rsid w:val="00463022"/>
    <w:rsid w:val="00481CF0"/>
    <w:rsid w:val="004A37ED"/>
    <w:rsid w:val="004B492A"/>
    <w:rsid w:val="004C0B0C"/>
    <w:rsid w:val="004D1DB2"/>
    <w:rsid w:val="004D3A50"/>
    <w:rsid w:val="004E52E2"/>
    <w:rsid w:val="004E6BB4"/>
    <w:rsid w:val="00515D43"/>
    <w:rsid w:val="0052544D"/>
    <w:rsid w:val="00526106"/>
    <w:rsid w:val="00551FB8"/>
    <w:rsid w:val="005537F6"/>
    <w:rsid w:val="00555AD8"/>
    <w:rsid w:val="00560F43"/>
    <w:rsid w:val="005654D0"/>
    <w:rsid w:val="005A29EF"/>
    <w:rsid w:val="005B17AB"/>
    <w:rsid w:val="005C68FE"/>
    <w:rsid w:val="00602523"/>
    <w:rsid w:val="00604351"/>
    <w:rsid w:val="00607D8A"/>
    <w:rsid w:val="0061590F"/>
    <w:rsid w:val="00636497"/>
    <w:rsid w:val="00641AE2"/>
    <w:rsid w:val="0064456A"/>
    <w:rsid w:val="00645B1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82B8D"/>
    <w:rsid w:val="00806E54"/>
    <w:rsid w:val="008206EE"/>
    <w:rsid w:val="008214B1"/>
    <w:rsid w:val="00836ED7"/>
    <w:rsid w:val="00844818"/>
    <w:rsid w:val="008453AC"/>
    <w:rsid w:val="00852CBF"/>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60757"/>
    <w:rsid w:val="0098401D"/>
    <w:rsid w:val="009A789F"/>
    <w:rsid w:val="009B12EF"/>
    <w:rsid w:val="009B6185"/>
    <w:rsid w:val="009E1E78"/>
    <w:rsid w:val="00A1597D"/>
    <w:rsid w:val="00A172AB"/>
    <w:rsid w:val="00A40C52"/>
    <w:rsid w:val="00A46989"/>
    <w:rsid w:val="00A71CE9"/>
    <w:rsid w:val="00A72A19"/>
    <w:rsid w:val="00A75A30"/>
    <w:rsid w:val="00A85DFC"/>
    <w:rsid w:val="00A93C82"/>
    <w:rsid w:val="00AB2A48"/>
    <w:rsid w:val="00AC3236"/>
    <w:rsid w:val="00AC3585"/>
    <w:rsid w:val="00AD4874"/>
    <w:rsid w:val="00AE1F8A"/>
    <w:rsid w:val="00B036B2"/>
    <w:rsid w:val="00B04D19"/>
    <w:rsid w:val="00B153C3"/>
    <w:rsid w:val="00B22087"/>
    <w:rsid w:val="00B722F2"/>
    <w:rsid w:val="00B84233"/>
    <w:rsid w:val="00B95339"/>
    <w:rsid w:val="00BB334E"/>
    <w:rsid w:val="00BB5DCF"/>
    <w:rsid w:val="00BF59EA"/>
    <w:rsid w:val="00BF79CD"/>
    <w:rsid w:val="00C0721B"/>
    <w:rsid w:val="00C16333"/>
    <w:rsid w:val="00C34C8C"/>
    <w:rsid w:val="00C50792"/>
    <w:rsid w:val="00C55A45"/>
    <w:rsid w:val="00C75773"/>
    <w:rsid w:val="00C86AAC"/>
    <w:rsid w:val="00C904D9"/>
    <w:rsid w:val="00C94C06"/>
    <w:rsid w:val="00CA48BF"/>
    <w:rsid w:val="00CB3ACC"/>
    <w:rsid w:val="00CB4745"/>
    <w:rsid w:val="00CD2163"/>
    <w:rsid w:val="00CD4FE7"/>
    <w:rsid w:val="00CD5E6B"/>
    <w:rsid w:val="00CD770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F00932"/>
    <w:rsid w:val="00F03965"/>
    <w:rsid w:val="00F12107"/>
    <w:rsid w:val="00F13165"/>
    <w:rsid w:val="00F3526C"/>
    <w:rsid w:val="00F4234E"/>
    <w:rsid w:val="00F45178"/>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E7BB2"/>
    <w:rPr>
      <w:caps/>
      <w:spacing w:val="-4"/>
      <w:sz w:val="16"/>
      <w:lang w:eastAsia="en-US"/>
    </w:rPr>
  </w:style>
  <w:style w:type="character" w:customStyle="1" w:styleId="Heading1Char">
    <w:name w:val="Heading 1 Char"/>
    <w:basedOn w:val="DefaultParagraphFont"/>
    <w:link w:val="Heading1"/>
    <w:rsid w:val="003E7BB2"/>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E7BB2"/>
    <w:rPr>
      <w:caps/>
      <w:spacing w:val="-4"/>
      <w:sz w:val="16"/>
      <w:lang w:eastAsia="en-US"/>
    </w:rPr>
  </w:style>
  <w:style w:type="character" w:customStyle="1" w:styleId="Heading1Char">
    <w:name w:val="Heading 1 Char"/>
    <w:basedOn w:val="DefaultParagraphFont"/>
    <w:link w:val="Heading1"/>
    <w:rsid w:val="003E7BB2"/>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55150358">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1A07-918B-4E8D-AA84-1704189D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135</TotalTime>
  <Pages>9</Pages>
  <Words>1325</Words>
  <Characters>7851</Characters>
  <Application>Microsoft Office Word</Application>
  <DocSecurity>0</DocSecurity>
  <Lines>206</Lines>
  <Paragraphs>143</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30</cp:revision>
  <cp:lastPrinted>2013-06-04T01:35:00Z</cp:lastPrinted>
  <dcterms:created xsi:type="dcterms:W3CDTF">2013-05-23T23:36:00Z</dcterms:created>
  <dcterms:modified xsi:type="dcterms:W3CDTF">2013-06-07T01:29:00Z</dcterms:modified>
</cp:coreProperties>
</file>