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034238" w:rsidP="00034238">
      <w:pPr>
        <w:pStyle w:val="Heading1"/>
        <w:spacing w:before="0"/>
      </w:pPr>
      <w:bookmarkStart w:id="0" w:name="ChapterNumber"/>
      <w:bookmarkStart w:id="1" w:name="_GoBack"/>
      <w:bookmarkEnd w:id="1"/>
      <w:r>
        <w:t>4</w:t>
      </w:r>
      <w:bookmarkEnd w:id="0"/>
      <w:r>
        <w:tab/>
      </w:r>
      <w:bookmarkStart w:id="2" w:name="ChapterTitle"/>
      <w:r>
        <w:t>Methodological changes to the estimates</w:t>
      </w:r>
      <w:bookmarkEnd w:id="2"/>
    </w:p>
    <w:p w:rsidR="0096563C" w:rsidRPr="0096563C" w:rsidRDefault="0096563C" w:rsidP="0096563C">
      <w:pPr>
        <w:rPr>
          <w:szCs w:val="20"/>
        </w:rPr>
      </w:pPr>
      <w:bookmarkStart w:id="3" w:name="begin"/>
      <w:bookmarkEnd w:id="3"/>
      <w:r w:rsidRPr="0096563C">
        <w:rPr>
          <w:szCs w:val="20"/>
        </w:rPr>
        <w:t xml:space="preserve">This chapter summarises the methodological adjustments </w:t>
      </w:r>
      <w:r w:rsidR="00A20E1C">
        <w:rPr>
          <w:szCs w:val="20"/>
        </w:rPr>
        <w:t>included in</w:t>
      </w:r>
      <w:r w:rsidRPr="0096563C">
        <w:rPr>
          <w:szCs w:val="20"/>
        </w:rPr>
        <w:t xml:space="preserve"> the assistance measurement system for the </w:t>
      </w:r>
      <w:r w:rsidRPr="00836A27">
        <w:rPr>
          <w:i/>
          <w:szCs w:val="20"/>
        </w:rPr>
        <w:t>Trade &amp; Assistance Review 2012</w:t>
      </w:r>
      <w:r w:rsidR="00836A27">
        <w:rPr>
          <w:i/>
          <w:szCs w:val="20"/>
        </w:rPr>
        <w:noBreakHyphen/>
      </w:r>
      <w:r w:rsidRPr="00836A27">
        <w:rPr>
          <w:i/>
          <w:szCs w:val="20"/>
        </w:rPr>
        <w:t>13</w:t>
      </w:r>
      <w:r w:rsidRPr="0096563C">
        <w:rPr>
          <w:szCs w:val="20"/>
        </w:rPr>
        <w:t xml:space="preserve">. These adjustments include </w:t>
      </w:r>
      <w:r w:rsidR="00836A27">
        <w:rPr>
          <w:szCs w:val="20"/>
        </w:rPr>
        <w:t>changes made to:</w:t>
      </w:r>
      <w:r w:rsidRPr="0096563C">
        <w:rPr>
          <w:szCs w:val="20"/>
        </w:rPr>
        <w:t xml:space="preserve"> </w:t>
      </w:r>
    </w:p>
    <w:p w:rsidR="00836A27" w:rsidRDefault="00836A27" w:rsidP="00836A27">
      <w:pPr>
        <w:pStyle w:val="ListBullet"/>
      </w:pPr>
      <w:r>
        <w:t xml:space="preserve">the </w:t>
      </w:r>
      <w:r w:rsidR="00A20E1C">
        <w:t xml:space="preserve">derivation </w:t>
      </w:r>
      <w:r>
        <w:t>of revenue foregone for the income tax averaging provisio</w:t>
      </w:r>
      <w:r w:rsidR="00CD5EF0">
        <w:t>ns for primary producers tax concession</w:t>
      </w:r>
      <w:r>
        <w:t>;</w:t>
      </w:r>
    </w:p>
    <w:p w:rsidR="00666E02" w:rsidRDefault="00836A27" w:rsidP="00836A27">
      <w:pPr>
        <w:pStyle w:val="ListBullet"/>
      </w:pPr>
      <w:r>
        <w:t xml:space="preserve">selected industry allocations for individual </w:t>
      </w:r>
      <w:r w:rsidR="00564326">
        <w:t>Co-operative Research Centre (</w:t>
      </w:r>
      <w:r>
        <w:t>CRC</w:t>
      </w:r>
      <w:r w:rsidR="00564326">
        <w:t>)</w:t>
      </w:r>
      <w:r>
        <w:t xml:space="preserve"> programs; and</w:t>
      </w:r>
    </w:p>
    <w:p w:rsidR="00836A27" w:rsidRDefault="00836A27" w:rsidP="00836A27">
      <w:pPr>
        <w:pStyle w:val="ListBullet"/>
      </w:pPr>
      <w:r>
        <w:t xml:space="preserve">the method used to </w:t>
      </w:r>
      <w:r w:rsidR="004C28AB">
        <w:t>revalue</w:t>
      </w:r>
      <w:r>
        <w:t xml:space="preserve"> mining sector assistance estimates from 2008</w:t>
      </w:r>
      <w:r>
        <w:noBreakHyphen/>
        <w:t xml:space="preserve">09 dollars to current dollar estimates. </w:t>
      </w:r>
    </w:p>
    <w:p w:rsidR="0096563C" w:rsidRDefault="0096563C" w:rsidP="0096563C">
      <w:pPr>
        <w:pStyle w:val="Heading3"/>
      </w:pPr>
      <w:r>
        <w:t>Income tax averaging provisions for primary producers</w:t>
      </w:r>
    </w:p>
    <w:p w:rsidR="0096563C" w:rsidRDefault="00CD5EF0" w:rsidP="00120072">
      <w:pPr>
        <w:pStyle w:val="BodyText"/>
      </w:pPr>
      <w:r>
        <w:t>The income tax averaging provisions for primary producers tax concession allows primary producers to average their income over a five</w:t>
      </w:r>
      <w:r w:rsidR="004C28AB">
        <w:t>-</w:t>
      </w:r>
      <w:r>
        <w:t xml:space="preserve">year cycle in order to minimise their tax liability. Under the averaging provisions, primary producers may pay tax on their income at the rate of tax applicable to their average income, regardless of whether the average rate is greater or less than ordinary rates. </w:t>
      </w:r>
      <w:r w:rsidR="00564326">
        <w:t>T</w:t>
      </w:r>
      <w:r>
        <w:t xml:space="preserve">his provides a concession as the </w:t>
      </w:r>
      <w:r w:rsidRPr="00CD5EF0">
        <w:t>saving from paying less tax in high income years outweighs additional tax paid in low income years</w:t>
      </w:r>
      <w:r>
        <w:t xml:space="preserve"> (Australian Government 2014</w:t>
      </w:r>
      <w:r w:rsidR="00D57707">
        <w:t>a</w:t>
      </w:r>
      <w:r>
        <w:t xml:space="preserve">). </w:t>
      </w:r>
    </w:p>
    <w:p w:rsidR="004454F0" w:rsidRDefault="00200E23" w:rsidP="00120072">
      <w:pPr>
        <w:pStyle w:val="BodyText"/>
      </w:pPr>
      <w:r>
        <w:t xml:space="preserve">The Commission sources estimates of revenue foregone </w:t>
      </w:r>
      <w:r w:rsidR="004E1037">
        <w:t>under</w:t>
      </w:r>
      <w:r w:rsidR="00946F8A">
        <w:t xml:space="preserve"> </w:t>
      </w:r>
      <w:r>
        <w:t xml:space="preserve">the income tax averaging scheme from the Treasury’s </w:t>
      </w:r>
      <w:r w:rsidR="00946F8A">
        <w:t xml:space="preserve">annual </w:t>
      </w:r>
      <w:r>
        <w:t xml:space="preserve">Tax Expenditure Statement (TES). </w:t>
      </w:r>
      <w:r w:rsidR="00946F8A">
        <w:t xml:space="preserve">For the 2013 TES, however, the Treasury </w:t>
      </w:r>
      <w:r w:rsidR="004454F0">
        <w:t xml:space="preserve">did not provide an estimate </w:t>
      </w:r>
      <w:r w:rsidR="004E1037">
        <w:t xml:space="preserve">for the tax concession in </w:t>
      </w:r>
      <w:r w:rsidR="004454F0">
        <w:t>2012</w:t>
      </w:r>
      <w:r w:rsidR="004454F0">
        <w:noBreakHyphen/>
        <w:t xml:space="preserve">13. </w:t>
      </w:r>
      <w:r w:rsidR="00BD386E">
        <w:t>Treasury noted that p</w:t>
      </w:r>
      <w:r w:rsidR="00E50285" w:rsidRPr="00E50285">
        <w:t>rojections beyond 2011</w:t>
      </w:r>
      <w:r w:rsidR="00BD386E">
        <w:noBreakHyphen/>
      </w:r>
      <w:r w:rsidR="00E50285" w:rsidRPr="00E50285">
        <w:t xml:space="preserve">12 </w:t>
      </w:r>
      <w:r w:rsidR="00BD386E">
        <w:t xml:space="preserve">have not been </w:t>
      </w:r>
      <w:r w:rsidR="00E50285" w:rsidRPr="00E50285">
        <w:t xml:space="preserve">reported as the </w:t>
      </w:r>
      <w:r w:rsidR="00BD386E">
        <w:t xml:space="preserve">concession </w:t>
      </w:r>
      <w:r w:rsidR="00E50285" w:rsidRPr="00E50285">
        <w:t>is sensitive to variations in primary production income, which depend</w:t>
      </w:r>
      <w:r w:rsidR="00BD386E">
        <w:t>s</w:t>
      </w:r>
      <w:r w:rsidR="00E50285" w:rsidRPr="00E50285">
        <w:t xml:space="preserve"> on a number of external factors.</w:t>
      </w:r>
      <w:r w:rsidR="00BD386E">
        <w:t xml:space="preserve"> </w:t>
      </w:r>
      <w:r w:rsidR="00946F8A">
        <w:t xml:space="preserve">The Treasury, however, provided a range of possible estimates of revenue foregone </w:t>
      </w:r>
      <w:r w:rsidR="004454F0">
        <w:t xml:space="preserve">from </w:t>
      </w:r>
      <w:r w:rsidR="004454F0" w:rsidRPr="0096563C">
        <w:t>$100</w:t>
      </w:r>
      <w:r w:rsidR="004454F0">
        <w:t> </w:t>
      </w:r>
      <w:r w:rsidR="004454F0" w:rsidRPr="0096563C">
        <w:t>million to $1</w:t>
      </w:r>
      <w:r w:rsidR="004454F0">
        <w:t> </w:t>
      </w:r>
      <w:r w:rsidR="004454F0" w:rsidRPr="0096563C">
        <w:t>billion.</w:t>
      </w:r>
      <w:r w:rsidR="00946F8A">
        <w:t xml:space="preserve"> </w:t>
      </w:r>
      <w:r w:rsidR="004454F0">
        <w:t xml:space="preserve">The Commission </w:t>
      </w:r>
      <w:r w:rsidR="00946F8A">
        <w:t>has used the lower end of the range to represent revenue foregone under the scheme in 2012</w:t>
      </w:r>
      <w:r w:rsidR="00946F8A">
        <w:noBreakHyphen/>
        <w:t xml:space="preserve">13. Estimates of </w:t>
      </w:r>
      <w:r w:rsidR="00270577">
        <w:t xml:space="preserve">the concession </w:t>
      </w:r>
      <w:r w:rsidR="00946F8A">
        <w:t>since 2007</w:t>
      </w:r>
      <w:r w:rsidR="00946F8A">
        <w:noBreakHyphen/>
        <w:t xml:space="preserve">08 are presented in table 4.1. </w:t>
      </w:r>
    </w:p>
    <w:p w:rsidR="00E50285" w:rsidRDefault="00E50285"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50285" w:rsidTr="00F95957">
        <w:tc>
          <w:tcPr>
            <w:tcW w:w="8771" w:type="dxa"/>
            <w:tcBorders>
              <w:top w:val="single" w:sz="6" w:space="0" w:color="78A22F" w:themeColor="accent1"/>
              <w:left w:val="nil"/>
              <w:bottom w:val="nil"/>
              <w:right w:val="nil"/>
            </w:tcBorders>
            <w:shd w:val="clear" w:color="auto" w:fill="auto"/>
          </w:tcPr>
          <w:p w:rsidR="00E50285" w:rsidRDefault="00E50285" w:rsidP="004267DB">
            <w:pPr>
              <w:pStyle w:val="TableTitle"/>
            </w:pPr>
            <w:r>
              <w:rPr>
                <w:b w:val="0"/>
              </w:rPr>
              <w:t xml:space="preserve">Table </w:t>
            </w:r>
            <w:r w:rsidR="00034238">
              <w:rPr>
                <w:b w:val="0"/>
              </w:rPr>
              <w:t>4.</w:t>
            </w:r>
            <w:r w:rsidR="00034238">
              <w:rPr>
                <w:b w:val="0"/>
                <w:noProof/>
              </w:rPr>
              <w:t>1</w:t>
            </w:r>
            <w:r>
              <w:tab/>
            </w:r>
            <w:r w:rsidR="00D72D82">
              <w:t>Income tax averaging provisions for primary producers, 2007</w:t>
            </w:r>
            <w:r w:rsidR="00D72D82">
              <w:noBreakHyphen/>
              <w:t>08 to 2012</w:t>
            </w:r>
            <w:r w:rsidR="00D72D82">
              <w:noBreakHyphen/>
              <w:t>13</w:t>
            </w:r>
          </w:p>
          <w:p w:rsidR="00E50285" w:rsidRPr="00784A05" w:rsidRDefault="00D72D82" w:rsidP="00784A05">
            <w:pPr>
              <w:pStyle w:val="Subtitle"/>
            </w:pPr>
            <w:r>
              <w:t>$ million</w:t>
            </w:r>
          </w:p>
        </w:tc>
      </w:tr>
      <w:tr w:rsidR="00E50285" w:rsidTr="00F95957">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720"/>
              <w:gridCol w:w="962"/>
              <w:gridCol w:w="961"/>
              <w:gridCol w:w="961"/>
              <w:gridCol w:w="961"/>
              <w:gridCol w:w="961"/>
              <w:gridCol w:w="961"/>
            </w:tblGrid>
            <w:tr w:rsidR="00E50285" w:rsidTr="00D72D82">
              <w:tc>
                <w:tcPr>
                  <w:tcW w:w="1602" w:type="pct"/>
                  <w:tcBorders>
                    <w:top w:val="single" w:sz="6" w:space="0" w:color="BFBFBF" w:themeColor="background2"/>
                    <w:bottom w:val="single" w:sz="6" w:space="0" w:color="BFBFBF" w:themeColor="background2"/>
                  </w:tcBorders>
                  <w:shd w:val="clear" w:color="auto" w:fill="auto"/>
                  <w:tcMar>
                    <w:top w:w="28" w:type="dxa"/>
                  </w:tcMar>
                  <w:vAlign w:val="bottom"/>
                </w:tcPr>
                <w:p w:rsidR="00E50285" w:rsidRDefault="00E50285" w:rsidP="00D72D82">
                  <w:pPr>
                    <w:pStyle w:val="TableColumnHeading"/>
                  </w:pPr>
                </w:p>
              </w:tc>
              <w:tc>
                <w:tcPr>
                  <w:tcW w:w="567" w:type="pct"/>
                  <w:tcBorders>
                    <w:top w:val="single" w:sz="6" w:space="0" w:color="BFBFBF" w:themeColor="background2"/>
                    <w:bottom w:val="single" w:sz="6" w:space="0" w:color="BFBFBF" w:themeColor="background2"/>
                  </w:tcBorders>
                  <w:shd w:val="clear" w:color="auto" w:fill="auto"/>
                  <w:tcMar>
                    <w:top w:w="28" w:type="dxa"/>
                  </w:tcMar>
                  <w:vAlign w:val="bottom"/>
                </w:tcPr>
                <w:p w:rsidR="00E50285" w:rsidRDefault="00E50285" w:rsidP="00D72D82">
                  <w:pPr>
                    <w:pStyle w:val="TableColumnHeading"/>
                  </w:pPr>
                  <w:r>
                    <w:t>2007</w:t>
                  </w:r>
                  <w:r>
                    <w:noBreakHyphen/>
                    <w:t>08</w:t>
                  </w:r>
                </w:p>
              </w:tc>
              <w:tc>
                <w:tcPr>
                  <w:tcW w:w="566" w:type="pct"/>
                  <w:tcBorders>
                    <w:top w:val="single" w:sz="6" w:space="0" w:color="BFBFBF" w:themeColor="background2"/>
                    <w:bottom w:val="single" w:sz="6" w:space="0" w:color="BFBFBF" w:themeColor="background2"/>
                  </w:tcBorders>
                  <w:vAlign w:val="bottom"/>
                </w:tcPr>
                <w:p w:rsidR="00E50285" w:rsidRDefault="00E50285" w:rsidP="00D72D82">
                  <w:pPr>
                    <w:pStyle w:val="TableColumnHeading"/>
                  </w:pPr>
                  <w:r>
                    <w:t>2008</w:t>
                  </w:r>
                  <w:r>
                    <w:noBreakHyphen/>
                    <w:t>09</w:t>
                  </w:r>
                </w:p>
              </w:tc>
              <w:tc>
                <w:tcPr>
                  <w:tcW w:w="566" w:type="pct"/>
                  <w:tcBorders>
                    <w:top w:val="single" w:sz="6" w:space="0" w:color="BFBFBF" w:themeColor="background2"/>
                    <w:bottom w:val="single" w:sz="6" w:space="0" w:color="BFBFBF" w:themeColor="background2"/>
                  </w:tcBorders>
                  <w:vAlign w:val="bottom"/>
                </w:tcPr>
                <w:p w:rsidR="00E50285" w:rsidRDefault="00E50285" w:rsidP="00D72D82">
                  <w:pPr>
                    <w:pStyle w:val="TableColumnHeading"/>
                  </w:pPr>
                  <w:r>
                    <w:t>2009</w:t>
                  </w:r>
                  <w:r>
                    <w:noBreakHyphen/>
                    <w:t>10</w:t>
                  </w:r>
                </w:p>
              </w:tc>
              <w:tc>
                <w:tcPr>
                  <w:tcW w:w="566" w:type="pct"/>
                  <w:tcBorders>
                    <w:top w:val="single" w:sz="6" w:space="0" w:color="BFBFBF" w:themeColor="background2"/>
                    <w:bottom w:val="single" w:sz="6" w:space="0" w:color="BFBFBF" w:themeColor="background2"/>
                  </w:tcBorders>
                  <w:vAlign w:val="bottom"/>
                </w:tcPr>
                <w:p w:rsidR="00E50285" w:rsidRDefault="00E50285" w:rsidP="00D72D82">
                  <w:pPr>
                    <w:pStyle w:val="TableColumnHeading"/>
                  </w:pPr>
                  <w:r>
                    <w:t>2010</w:t>
                  </w:r>
                  <w:r>
                    <w:noBreakHyphen/>
                    <w:t>11</w:t>
                  </w:r>
                </w:p>
              </w:tc>
              <w:tc>
                <w:tcPr>
                  <w:tcW w:w="566" w:type="pct"/>
                  <w:tcBorders>
                    <w:top w:val="single" w:sz="6" w:space="0" w:color="BFBFBF" w:themeColor="background2"/>
                    <w:bottom w:val="single" w:sz="6" w:space="0" w:color="BFBFBF" w:themeColor="background2"/>
                  </w:tcBorders>
                  <w:vAlign w:val="bottom"/>
                </w:tcPr>
                <w:p w:rsidR="00E50285" w:rsidRDefault="00E50285" w:rsidP="00D72D82">
                  <w:pPr>
                    <w:pStyle w:val="TableColumnHeading"/>
                  </w:pPr>
                  <w:r>
                    <w:t>2011</w:t>
                  </w:r>
                  <w:r>
                    <w:noBreakHyphen/>
                    <w:t>12</w:t>
                  </w:r>
                </w:p>
              </w:tc>
              <w:tc>
                <w:tcPr>
                  <w:tcW w:w="566" w:type="pct"/>
                  <w:tcBorders>
                    <w:top w:val="single" w:sz="6" w:space="0" w:color="BFBFBF" w:themeColor="background2"/>
                    <w:bottom w:val="single" w:sz="6" w:space="0" w:color="BFBFBF" w:themeColor="background2"/>
                  </w:tcBorders>
                  <w:shd w:val="clear" w:color="auto" w:fill="auto"/>
                  <w:tcMar>
                    <w:top w:w="28" w:type="dxa"/>
                  </w:tcMar>
                  <w:vAlign w:val="bottom"/>
                </w:tcPr>
                <w:p w:rsidR="00E50285" w:rsidRDefault="00E50285" w:rsidP="00D72D82">
                  <w:pPr>
                    <w:pStyle w:val="TableColumnHeading"/>
                    <w:ind w:right="28"/>
                  </w:pPr>
                  <w:r>
                    <w:t>2012</w:t>
                  </w:r>
                  <w:r>
                    <w:noBreakHyphen/>
                    <w:t>13</w:t>
                  </w:r>
                  <w:r w:rsidR="00D72D82" w:rsidRPr="00D72D82">
                    <w:rPr>
                      <w:rStyle w:val="NoteLabel"/>
                      <w:i w:val="0"/>
                    </w:rPr>
                    <w:t>a</w:t>
                  </w:r>
                </w:p>
              </w:tc>
            </w:tr>
            <w:tr w:rsidR="00E50285" w:rsidTr="00E50285">
              <w:tc>
                <w:tcPr>
                  <w:tcW w:w="1602" w:type="pct"/>
                  <w:tcBorders>
                    <w:bottom w:val="single" w:sz="6" w:space="0" w:color="C8C8C8"/>
                  </w:tcBorders>
                  <w:shd w:val="clear" w:color="auto" w:fill="auto"/>
                </w:tcPr>
                <w:p w:rsidR="00E50285" w:rsidRDefault="00E50285" w:rsidP="00D72D82">
                  <w:pPr>
                    <w:pStyle w:val="TableBodyText"/>
                    <w:spacing w:before="80"/>
                    <w:jc w:val="left"/>
                  </w:pPr>
                  <w:r>
                    <w:t>Income tax averaging provisions for primary producers</w:t>
                  </w:r>
                </w:p>
              </w:tc>
              <w:tc>
                <w:tcPr>
                  <w:tcW w:w="567" w:type="pct"/>
                  <w:tcBorders>
                    <w:bottom w:val="single" w:sz="6" w:space="0" w:color="C8C8C8"/>
                  </w:tcBorders>
                  <w:shd w:val="clear" w:color="auto" w:fill="auto"/>
                </w:tcPr>
                <w:p w:rsidR="00E50285" w:rsidRDefault="00D72D82" w:rsidP="00D72D82">
                  <w:pPr>
                    <w:pStyle w:val="TableBodyText"/>
                    <w:spacing w:before="80"/>
                  </w:pPr>
                  <w:r>
                    <w:br/>
                    <w:t>110.0</w:t>
                  </w:r>
                </w:p>
              </w:tc>
              <w:tc>
                <w:tcPr>
                  <w:tcW w:w="566" w:type="pct"/>
                  <w:tcBorders>
                    <w:bottom w:val="single" w:sz="6" w:space="0" w:color="C8C8C8"/>
                  </w:tcBorders>
                </w:tcPr>
                <w:p w:rsidR="00E50285" w:rsidRDefault="00D72D82" w:rsidP="00D72D82">
                  <w:pPr>
                    <w:pStyle w:val="TableBodyText"/>
                    <w:spacing w:before="80"/>
                  </w:pPr>
                  <w:r>
                    <w:br/>
                    <w:t>100.0</w:t>
                  </w:r>
                </w:p>
              </w:tc>
              <w:tc>
                <w:tcPr>
                  <w:tcW w:w="566" w:type="pct"/>
                  <w:tcBorders>
                    <w:bottom w:val="single" w:sz="6" w:space="0" w:color="C8C8C8"/>
                  </w:tcBorders>
                </w:tcPr>
                <w:p w:rsidR="00E50285" w:rsidRDefault="00D72D82" w:rsidP="00D72D82">
                  <w:pPr>
                    <w:pStyle w:val="TableBodyText"/>
                    <w:spacing w:before="80"/>
                  </w:pPr>
                  <w:r>
                    <w:br/>
                    <w:t>85.0</w:t>
                  </w:r>
                </w:p>
              </w:tc>
              <w:tc>
                <w:tcPr>
                  <w:tcW w:w="566" w:type="pct"/>
                  <w:tcBorders>
                    <w:bottom w:val="single" w:sz="6" w:space="0" w:color="C8C8C8"/>
                  </w:tcBorders>
                </w:tcPr>
                <w:p w:rsidR="00E50285" w:rsidRDefault="00D72D82" w:rsidP="00D72D82">
                  <w:pPr>
                    <w:pStyle w:val="TableBodyText"/>
                    <w:spacing w:before="80"/>
                  </w:pPr>
                  <w:r>
                    <w:br/>
                    <w:t>155.0</w:t>
                  </w:r>
                </w:p>
              </w:tc>
              <w:tc>
                <w:tcPr>
                  <w:tcW w:w="566" w:type="pct"/>
                  <w:tcBorders>
                    <w:bottom w:val="single" w:sz="6" w:space="0" w:color="C8C8C8"/>
                  </w:tcBorders>
                </w:tcPr>
                <w:p w:rsidR="00E50285" w:rsidRDefault="00D72D82" w:rsidP="00D72D82">
                  <w:pPr>
                    <w:pStyle w:val="TableBodyText"/>
                    <w:spacing w:before="80"/>
                  </w:pPr>
                  <w:r>
                    <w:br/>
                    <w:t>145.0</w:t>
                  </w:r>
                </w:p>
              </w:tc>
              <w:tc>
                <w:tcPr>
                  <w:tcW w:w="566" w:type="pct"/>
                  <w:tcBorders>
                    <w:bottom w:val="single" w:sz="6" w:space="0" w:color="C8C8C8"/>
                  </w:tcBorders>
                  <w:shd w:val="clear" w:color="auto" w:fill="auto"/>
                </w:tcPr>
                <w:p w:rsidR="00E50285" w:rsidRDefault="00D72D82" w:rsidP="00D72D82">
                  <w:pPr>
                    <w:pStyle w:val="TableBodyText"/>
                    <w:spacing w:before="80"/>
                    <w:ind w:right="28"/>
                  </w:pPr>
                  <w:r>
                    <w:br/>
                    <w:t>100.0</w:t>
                  </w:r>
                </w:p>
              </w:tc>
            </w:tr>
          </w:tbl>
          <w:p w:rsidR="00E50285" w:rsidRDefault="00E50285" w:rsidP="00846637">
            <w:pPr>
              <w:pStyle w:val="Box"/>
            </w:pPr>
          </w:p>
        </w:tc>
      </w:tr>
      <w:tr w:rsidR="00E50285" w:rsidTr="00F95957">
        <w:trPr>
          <w:cantSplit/>
        </w:trPr>
        <w:tc>
          <w:tcPr>
            <w:tcW w:w="8771" w:type="dxa"/>
            <w:tcBorders>
              <w:top w:val="nil"/>
              <w:left w:val="nil"/>
              <w:bottom w:val="nil"/>
              <w:right w:val="nil"/>
            </w:tcBorders>
            <w:shd w:val="clear" w:color="auto" w:fill="auto"/>
          </w:tcPr>
          <w:p w:rsidR="00E50285" w:rsidRDefault="00E50285" w:rsidP="00270577">
            <w:pPr>
              <w:pStyle w:val="Note"/>
              <w:rPr>
                <w:i/>
              </w:rPr>
            </w:pPr>
            <w:r w:rsidRPr="008E77FE">
              <w:rPr>
                <w:rStyle w:val="NoteLabel"/>
              </w:rPr>
              <w:t>a</w:t>
            </w:r>
            <w:r w:rsidR="00D72D82">
              <w:t> </w:t>
            </w:r>
            <w:r w:rsidR="00270577">
              <w:t>The Commission has selected Treasury’s lower bound of the estimated range – $100 million to $1 billion – of estimated revenue foregone from the income tax averaging scheme</w:t>
            </w:r>
            <w:r w:rsidR="00D72D82">
              <w:t xml:space="preserve">. </w:t>
            </w:r>
          </w:p>
        </w:tc>
      </w:tr>
      <w:tr w:rsidR="00E50285" w:rsidTr="00F95957">
        <w:trPr>
          <w:cantSplit/>
        </w:trPr>
        <w:tc>
          <w:tcPr>
            <w:tcW w:w="8771" w:type="dxa"/>
            <w:tcBorders>
              <w:top w:val="nil"/>
              <w:left w:val="nil"/>
              <w:bottom w:val="nil"/>
              <w:right w:val="nil"/>
            </w:tcBorders>
            <w:shd w:val="clear" w:color="auto" w:fill="auto"/>
          </w:tcPr>
          <w:p w:rsidR="00E50285" w:rsidRDefault="00E50285" w:rsidP="00D72D82">
            <w:pPr>
              <w:pStyle w:val="Source"/>
            </w:pPr>
            <w:r>
              <w:rPr>
                <w:i/>
              </w:rPr>
              <w:t>Source</w:t>
            </w:r>
            <w:r w:rsidRPr="00167F06">
              <w:t xml:space="preserve">: </w:t>
            </w:r>
            <w:r w:rsidR="00D72D82">
              <w:t>Australian Government (2014</w:t>
            </w:r>
            <w:r w:rsidR="00D57707">
              <w:t>a</w:t>
            </w:r>
            <w:r w:rsidR="00D72D82">
              <w:t>)</w:t>
            </w:r>
            <w:r>
              <w:t>.</w:t>
            </w:r>
          </w:p>
        </w:tc>
      </w:tr>
      <w:tr w:rsidR="00E50285" w:rsidTr="00F95957">
        <w:trPr>
          <w:cantSplit/>
        </w:trPr>
        <w:tc>
          <w:tcPr>
            <w:tcW w:w="8771" w:type="dxa"/>
            <w:tcBorders>
              <w:top w:val="nil"/>
              <w:left w:val="nil"/>
              <w:bottom w:val="single" w:sz="6" w:space="0" w:color="78A22F" w:themeColor="accent1"/>
              <w:right w:val="nil"/>
            </w:tcBorders>
            <w:shd w:val="clear" w:color="auto" w:fill="auto"/>
          </w:tcPr>
          <w:p w:rsidR="00E50285" w:rsidRDefault="00E50285" w:rsidP="00846637">
            <w:pPr>
              <w:pStyle w:val="Box"/>
              <w:spacing w:before="0" w:line="120" w:lineRule="exact"/>
            </w:pPr>
          </w:p>
        </w:tc>
      </w:tr>
      <w:tr w:rsidR="00E50285" w:rsidRPr="000863A5" w:rsidTr="002C071C">
        <w:tc>
          <w:tcPr>
            <w:tcW w:w="8771" w:type="dxa"/>
            <w:tcBorders>
              <w:top w:val="single" w:sz="6" w:space="0" w:color="78A22F" w:themeColor="accent1"/>
              <w:left w:val="nil"/>
              <w:bottom w:val="nil"/>
              <w:right w:val="nil"/>
            </w:tcBorders>
          </w:tcPr>
          <w:p w:rsidR="00E50285" w:rsidRPr="00626D32" w:rsidRDefault="00E50285" w:rsidP="00784A05">
            <w:pPr>
              <w:pStyle w:val="BoxSpaceBelow"/>
            </w:pPr>
          </w:p>
        </w:tc>
      </w:tr>
    </w:tbl>
    <w:p w:rsidR="00A20CCF" w:rsidRDefault="00A20CCF" w:rsidP="00A20CCF">
      <w:pPr>
        <w:pStyle w:val="Heading3"/>
      </w:pPr>
      <w:r>
        <w:t>Cooperative Research Centres</w:t>
      </w:r>
    </w:p>
    <w:p w:rsidR="00E57B34" w:rsidRDefault="00E57B34" w:rsidP="00E57B34">
      <w:pPr>
        <w:pStyle w:val="BodyText"/>
      </w:pPr>
      <w:r>
        <w:t>The Cooperative Research Centres (CRC) program was established by the Australian Government in 1991 with the intention of improving the effectiveness of Australia’s R&amp;D effort. Among other things, the program aims to link researchers with industry to focus R&amp;D efforts towards utilisation and commercialisation (</w:t>
      </w:r>
      <w:r w:rsidR="00D50218" w:rsidRPr="00D50218">
        <w:t>DIICCSRTE</w:t>
      </w:r>
      <w:r w:rsidR="00D50218">
        <w:t> 2013</w:t>
      </w:r>
      <w:r>
        <w:t xml:space="preserve">). </w:t>
      </w:r>
    </w:p>
    <w:p w:rsidR="00E57B34" w:rsidRDefault="00E57B34" w:rsidP="00E57B34">
      <w:pPr>
        <w:pStyle w:val="BodyText"/>
      </w:pPr>
      <w:r>
        <w:t xml:space="preserve">The CRC program is administered by the Department of Industry. Each year, the Department provides the Commission with funding information for each individual CRC. </w:t>
      </w:r>
    </w:p>
    <w:p w:rsidR="00E57B34" w:rsidRDefault="00E57B34" w:rsidP="00E57B34">
      <w:pPr>
        <w:pStyle w:val="BodyText"/>
      </w:pPr>
      <w:r>
        <w:t>In many cases, because of the particular focus of a CRC, an initial benefiting industry is readily identifiable.</w:t>
      </w:r>
      <w:r w:rsidR="002F2260">
        <w:rPr>
          <w:rStyle w:val="FootnoteReference"/>
        </w:rPr>
        <w:footnoteReference w:id="1"/>
      </w:r>
      <w:r>
        <w:t xml:space="preserve"> For example, the Metal Cast CRC </w:t>
      </w:r>
      <w:r w:rsidR="004C28AB">
        <w:t>is</w:t>
      </w:r>
      <w:r>
        <w:t xml:space="preserve"> allocated to the metal products manufacturing industry grouping. In some cases, however, the program’s research effort does not appear to benefit a particular industry or industries selectively. For example, the Antarctic Climate and Ecosystems CRC </w:t>
      </w:r>
      <w:r w:rsidR="004C28AB">
        <w:t xml:space="preserve">is </w:t>
      </w:r>
      <w:r>
        <w:t xml:space="preserve">not classified as budgetary assistance to industry. </w:t>
      </w:r>
    </w:p>
    <w:p w:rsidR="00A55654" w:rsidRDefault="00A20CCF" w:rsidP="00120072">
      <w:pPr>
        <w:pStyle w:val="BodyText"/>
      </w:pPr>
      <w:r>
        <w:t xml:space="preserve">For </w:t>
      </w:r>
      <w:r w:rsidRPr="00D50218">
        <w:rPr>
          <w:i/>
        </w:rPr>
        <w:t>Trade &amp; Assistance Review 2012</w:t>
      </w:r>
      <w:r w:rsidRPr="00D50218">
        <w:rPr>
          <w:i/>
        </w:rPr>
        <w:noBreakHyphen/>
        <w:t>13</w:t>
      </w:r>
      <w:r w:rsidR="00D50218">
        <w:t xml:space="preserve">, the Commission </w:t>
      </w:r>
      <w:r w:rsidR="00224B56">
        <w:t xml:space="preserve">revised </w:t>
      </w:r>
      <w:r w:rsidR="00D50218">
        <w:t xml:space="preserve">the industry allocation for some individual CRCs. These changes are outlined in table </w:t>
      </w:r>
      <w:r w:rsidR="00786FBF">
        <w:t>4.2</w:t>
      </w:r>
      <w:r w:rsidR="00D50218">
        <w:t xml:space="preserve">. </w:t>
      </w:r>
      <w:r w:rsidR="00FC0E9C">
        <w:t>The impact of these changes on the assistance estimates for 2012</w:t>
      </w:r>
      <w:r w:rsidR="00FC0E9C">
        <w:noBreakHyphen/>
        <w:t xml:space="preserve">13 is a net reduction in allocated assistance to the </w:t>
      </w:r>
      <w:r w:rsidR="00FC0E9C" w:rsidRPr="00FC0E9C">
        <w:rPr>
          <w:i/>
        </w:rPr>
        <w:t>health care and social assistance</w:t>
      </w:r>
      <w:r w:rsidR="00FC0E9C">
        <w:t xml:space="preserve"> industry grouping of $21.3 million</w:t>
      </w:r>
      <w:r w:rsidR="00AE1F4D">
        <w:t xml:space="preserve"> in the published estimates</w:t>
      </w:r>
      <w:r w:rsidR="00FC0E9C">
        <w:t>.</w:t>
      </w:r>
      <w:r w:rsidR="001644A4">
        <w:rPr>
          <w:rStyle w:val="FootnoteReference"/>
        </w:rPr>
        <w:footnoteReference w:id="2"/>
      </w:r>
      <w:r w:rsidR="00FC0E9C">
        <w:t xml:space="preserve"> </w:t>
      </w:r>
    </w:p>
    <w:p w:rsidR="00B544D8" w:rsidRDefault="00B544D8"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93"/>
      </w:tblGrid>
      <w:tr w:rsidR="00B544D8" w:rsidTr="00D17BC8">
        <w:tc>
          <w:tcPr>
            <w:tcW w:w="8793" w:type="dxa"/>
            <w:tcBorders>
              <w:top w:val="single" w:sz="6" w:space="0" w:color="78A22F" w:themeColor="accent1"/>
              <w:left w:val="nil"/>
              <w:bottom w:val="nil"/>
              <w:right w:val="nil"/>
            </w:tcBorders>
            <w:shd w:val="clear" w:color="auto" w:fill="auto"/>
          </w:tcPr>
          <w:p w:rsidR="00B544D8" w:rsidRPr="00784A05" w:rsidRDefault="00B544D8" w:rsidP="00054AF2">
            <w:pPr>
              <w:pStyle w:val="TableTitle"/>
            </w:pPr>
            <w:r>
              <w:rPr>
                <w:b w:val="0"/>
              </w:rPr>
              <w:t xml:space="preserve">Table </w:t>
            </w:r>
            <w:r w:rsidR="00034238">
              <w:rPr>
                <w:b w:val="0"/>
              </w:rPr>
              <w:t>4.</w:t>
            </w:r>
            <w:r w:rsidR="00034238">
              <w:rPr>
                <w:b w:val="0"/>
                <w:noProof/>
              </w:rPr>
              <w:t>2</w:t>
            </w:r>
            <w:r>
              <w:tab/>
              <w:t>Changes to Cooperative Research Centres industry allocations</w:t>
            </w:r>
          </w:p>
        </w:tc>
      </w:tr>
      <w:tr w:rsidR="00B544D8" w:rsidTr="00D17BC8">
        <w:trPr>
          <w:cantSplit/>
        </w:trPr>
        <w:tc>
          <w:tcPr>
            <w:tcW w:w="8793" w:type="dxa"/>
            <w:tcBorders>
              <w:top w:val="nil"/>
              <w:left w:val="nil"/>
              <w:bottom w:val="nil"/>
              <w:right w:val="nil"/>
            </w:tcBorders>
            <w:shd w:val="clear" w:color="auto" w:fill="auto"/>
          </w:tcPr>
          <w:tbl>
            <w:tblPr>
              <w:tblW w:w="8509" w:type="dxa"/>
              <w:tblCellMar>
                <w:top w:w="28" w:type="dxa"/>
                <w:left w:w="0" w:type="dxa"/>
                <w:right w:w="0" w:type="dxa"/>
              </w:tblCellMar>
              <w:tblLook w:val="0000" w:firstRow="0" w:lastRow="0" w:firstColumn="0" w:lastColumn="0" w:noHBand="0" w:noVBand="0"/>
            </w:tblPr>
            <w:tblGrid>
              <w:gridCol w:w="2271"/>
              <w:gridCol w:w="2270"/>
              <w:gridCol w:w="2270"/>
              <w:gridCol w:w="849"/>
              <w:gridCol w:w="849"/>
            </w:tblGrid>
            <w:tr w:rsidR="005C0AFD" w:rsidTr="00F21C96">
              <w:trPr>
                <w:trHeight w:val="230"/>
              </w:trPr>
              <w:tc>
                <w:tcPr>
                  <w:tcW w:w="1334" w:type="pct"/>
                  <w:vMerge w:val="restart"/>
                  <w:tcBorders>
                    <w:top w:val="single" w:sz="6" w:space="0" w:color="BFBFBF" w:themeColor="background2"/>
                  </w:tcBorders>
                  <w:shd w:val="clear" w:color="auto" w:fill="auto"/>
                  <w:tcMar>
                    <w:top w:w="28" w:type="dxa"/>
                  </w:tcMar>
                  <w:vAlign w:val="bottom"/>
                </w:tcPr>
                <w:p w:rsidR="005C0AFD" w:rsidRDefault="005C0AFD" w:rsidP="001A2B52">
                  <w:pPr>
                    <w:pStyle w:val="TableColumnHeading"/>
                    <w:jc w:val="left"/>
                  </w:pPr>
                  <w:r>
                    <w:t>CRC Program</w:t>
                  </w:r>
                </w:p>
              </w:tc>
              <w:tc>
                <w:tcPr>
                  <w:tcW w:w="1334" w:type="pct"/>
                  <w:vMerge w:val="restart"/>
                  <w:tcBorders>
                    <w:top w:val="single" w:sz="6" w:space="0" w:color="BFBFBF" w:themeColor="background2"/>
                  </w:tcBorders>
                  <w:vAlign w:val="bottom"/>
                </w:tcPr>
                <w:p w:rsidR="005C0AFD" w:rsidRDefault="005C0AFD" w:rsidP="001A2B52">
                  <w:pPr>
                    <w:pStyle w:val="TableColumnHeading"/>
                    <w:jc w:val="left"/>
                  </w:pPr>
                  <w:r>
                    <w:t>Previous industry allocation</w:t>
                  </w:r>
                </w:p>
              </w:tc>
              <w:tc>
                <w:tcPr>
                  <w:tcW w:w="1334" w:type="pct"/>
                  <w:vMerge w:val="restart"/>
                  <w:tcBorders>
                    <w:top w:val="single" w:sz="6" w:space="0" w:color="BFBFBF" w:themeColor="background2"/>
                  </w:tcBorders>
                  <w:shd w:val="clear" w:color="auto" w:fill="auto"/>
                  <w:tcMar>
                    <w:top w:w="28" w:type="dxa"/>
                  </w:tcMar>
                  <w:vAlign w:val="bottom"/>
                </w:tcPr>
                <w:p w:rsidR="005C0AFD" w:rsidRDefault="005C0AFD" w:rsidP="001A2B52">
                  <w:pPr>
                    <w:pStyle w:val="TableColumnHeading"/>
                    <w:jc w:val="left"/>
                  </w:pPr>
                  <w:r>
                    <w:t xml:space="preserve">Current industry </w:t>
                  </w:r>
                  <w:r>
                    <w:br/>
                    <w:t>allocation</w:t>
                  </w:r>
                </w:p>
              </w:tc>
              <w:tc>
                <w:tcPr>
                  <w:tcW w:w="998" w:type="pct"/>
                  <w:gridSpan w:val="2"/>
                  <w:tcBorders>
                    <w:top w:val="single" w:sz="6" w:space="0" w:color="BFBFBF" w:themeColor="background2"/>
                    <w:bottom w:val="single" w:sz="6" w:space="0" w:color="BFBFBF" w:themeColor="background2"/>
                  </w:tcBorders>
                </w:tcPr>
                <w:p w:rsidR="005C0AFD" w:rsidRDefault="005C0AFD" w:rsidP="005C0AFD">
                  <w:pPr>
                    <w:pStyle w:val="TableColumnHeading"/>
                    <w:ind w:right="28"/>
                    <w:jc w:val="center"/>
                  </w:pPr>
                  <w:r>
                    <w:t>Funding 2012</w:t>
                  </w:r>
                  <w:r>
                    <w:noBreakHyphen/>
                    <w:t>13</w:t>
                  </w:r>
                </w:p>
              </w:tc>
            </w:tr>
            <w:tr w:rsidR="005C0AFD" w:rsidTr="005C0AFD">
              <w:trPr>
                <w:trHeight w:val="230"/>
              </w:trPr>
              <w:tc>
                <w:tcPr>
                  <w:tcW w:w="1334" w:type="pct"/>
                  <w:vMerge/>
                  <w:tcBorders>
                    <w:bottom w:val="single" w:sz="6" w:space="0" w:color="BFBFBF" w:themeColor="background2"/>
                  </w:tcBorders>
                  <w:shd w:val="clear" w:color="auto" w:fill="auto"/>
                  <w:tcMar>
                    <w:top w:w="28" w:type="dxa"/>
                  </w:tcMar>
                  <w:vAlign w:val="bottom"/>
                </w:tcPr>
                <w:p w:rsidR="005C0AFD" w:rsidRDefault="005C0AFD" w:rsidP="001A2B52">
                  <w:pPr>
                    <w:pStyle w:val="TableColumnHeading"/>
                    <w:jc w:val="left"/>
                  </w:pPr>
                </w:p>
              </w:tc>
              <w:tc>
                <w:tcPr>
                  <w:tcW w:w="1334" w:type="pct"/>
                  <w:vMerge/>
                  <w:tcBorders>
                    <w:bottom w:val="single" w:sz="6" w:space="0" w:color="BFBFBF" w:themeColor="background2"/>
                  </w:tcBorders>
                  <w:vAlign w:val="bottom"/>
                </w:tcPr>
                <w:p w:rsidR="005C0AFD" w:rsidRDefault="005C0AFD" w:rsidP="001A2B52">
                  <w:pPr>
                    <w:pStyle w:val="TableColumnHeading"/>
                    <w:jc w:val="left"/>
                  </w:pPr>
                </w:p>
              </w:tc>
              <w:tc>
                <w:tcPr>
                  <w:tcW w:w="1334" w:type="pct"/>
                  <w:vMerge/>
                  <w:tcBorders>
                    <w:bottom w:val="single" w:sz="6" w:space="0" w:color="BFBFBF" w:themeColor="background2"/>
                  </w:tcBorders>
                  <w:shd w:val="clear" w:color="auto" w:fill="auto"/>
                  <w:tcMar>
                    <w:top w:w="28" w:type="dxa"/>
                  </w:tcMar>
                  <w:vAlign w:val="bottom"/>
                </w:tcPr>
                <w:p w:rsidR="005C0AFD" w:rsidRDefault="005C0AFD" w:rsidP="001A2B52">
                  <w:pPr>
                    <w:pStyle w:val="TableColumnHeading"/>
                    <w:jc w:val="left"/>
                  </w:pPr>
                </w:p>
              </w:tc>
              <w:tc>
                <w:tcPr>
                  <w:tcW w:w="499" w:type="pct"/>
                  <w:tcBorders>
                    <w:top w:val="single" w:sz="6" w:space="0" w:color="BFBFBF" w:themeColor="background2"/>
                    <w:bottom w:val="single" w:sz="6" w:space="0" w:color="BFBFBF" w:themeColor="background2"/>
                  </w:tcBorders>
                </w:tcPr>
                <w:p w:rsidR="005C0AFD" w:rsidRDefault="005C0AFD" w:rsidP="001A2B52">
                  <w:pPr>
                    <w:pStyle w:val="TableColumnHeading"/>
                    <w:ind w:right="28"/>
                  </w:pPr>
                  <w:r>
                    <w:t>Allocated</w:t>
                  </w:r>
                </w:p>
              </w:tc>
              <w:tc>
                <w:tcPr>
                  <w:tcW w:w="499" w:type="pct"/>
                  <w:tcBorders>
                    <w:top w:val="single" w:sz="6" w:space="0" w:color="BFBFBF" w:themeColor="background2"/>
                    <w:bottom w:val="single" w:sz="6" w:space="0" w:color="BFBFBF" w:themeColor="background2"/>
                  </w:tcBorders>
                </w:tcPr>
                <w:p w:rsidR="005C0AFD" w:rsidRDefault="005C0AFD" w:rsidP="001A2B52">
                  <w:pPr>
                    <w:pStyle w:val="TableColumnHeading"/>
                    <w:ind w:right="28"/>
                  </w:pPr>
                  <w:r>
                    <w:t>Not allocated</w:t>
                  </w:r>
                </w:p>
              </w:tc>
            </w:tr>
            <w:tr w:rsidR="005C0AFD" w:rsidRPr="005C0AFD" w:rsidTr="00224B56">
              <w:tc>
                <w:tcPr>
                  <w:tcW w:w="1334" w:type="pct"/>
                </w:tcPr>
                <w:p w:rsidR="005C0AFD" w:rsidRPr="005C0AFD" w:rsidRDefault="005C0AFD" w:rsidP="005C0AFD">
                  <w:pPr>
                    <w:pStyle w:val="TableUnitsRow"/>
                    <w:rPr>
                      <w:i/>
                    </w:rPr>
                  </w:pPr>
                </w:p>
              </w:tc>
              <w:tc>
                <w:tcPr>
                  <w:tcW w:w="1334" w:type="pct"/>
                </w:tcPr>
                <w:p w:rsidR="005C0AFD" w:rsidRPr="005C0AFD" w:rsidRDefault="005C0AFD" w:rsidP="005C0AFD">
                  <w:pPr>
                    <w:pStyle w:val="TableUnitsRow"/>
                    <w:rPr>
                      <w:i/>
                    </w:rPr>
                  </w:pPr>
                </w:p>
              </w:tc>
              <w:tc>
                <w:tcPr>
                  <w:tcW w:w="1334" w:type="pct"/>
                </w:tcPr>
                <w:p w:rsidR="005C0AFD" w:rsidRPr="005C0AFD" w:rsidRDefault="005C0AFD" w:rsidP="005C0AFD">
                  <w:pPr>
                    <w:pStyle w:val="TableUnitsRow"/>
                    <w:rPr>
                      <w:i/>
                    </w:rPr>
                  </w:pPr>
                </w:p>
              </w:tc>
              <w:tc>
                <w:tcPr>
                  <w:tcW w:w="499" w:type="pct"/>
                </w:tcPr>
                <w:p w:rsidR="005C0AFD" w:rsidRPr="005C0AFD" w:rsidRDefault="005C0AFD" w:rsidP="005C0AFD">
                  <w:pPr>
                    <w:pStyle w:val="TableUnitsRow"/>
                    <w:rPr>
                      <w:i/>
                    </w:rPr>
                  </w:pPr>
                  <w:r w:rsidRPr="005C0AFD">
                    <w:rPr>
                      <w:i/>
                    </w:rPr>
                    <w:t>$m</w:t>
                  </w:r>
                </w:p>
              </w:tc>
              <w:tc>
                <w:tcPr>
                  <w:tcW w:w="499" w:type="pct"/>
                </w:tcPr>
                <w:p w:rsidR="005C0AFD" w:rsidRPr="005C0AFD" w:rsidRDefault="005C0AFD" w:rsidP="005C0AFD">
                  <w:pPr>
                    <w:pStyle w:val="TableUnitsRow"/>
                    <w:rPr>
                      <w:i/>
                    </w:rPr>
                  </w:pPr>
                  <w:r w:rsidRPr="005C0AFD">
                    <w:rPr>
                      <w:i/>
                    </w:rPr>
                    <w:t>$m</w:t>
                  </w:r>
                </w:p>
              </w:tc>
            </w:tr>
            <w:tr w:rsidR="00224B56" w:rsidTr="005C0AFD">
              <w:tc>
                <w:tcPr>
                  <w:tcW w:w="1334" w:type="pct"/>
                </w:tcPr>
                <w:p w:rsidR="00224B56" w:rsidRDefault="00224B56" w:rsidP="00996573">
                  <w:pPr>
                    <w:pStyle w:val="TableBodyText"/>
                    <w:spacing w:before="80"/>
                    <w:jc w:val="left"/>
                  </w:pPr>
                  <w:r>
                    <w:t>Vision CRC</w:t>
                  </w:r>
                </w:p>
              </w:tc>
              <w:tc>
                <w:tcPr>
                  <w:tcW w:w="1334" w:type="pct"/>
                </w:tcPr>
                <w:p w:rsidR="00224B56" w:rsidRDefault="00224B56" w:rsidP="00996573">
                  <w:pPr>
                    <w:pStyle w:val="TableBodyText"/>
                    <w:spacing w:before="80"/>
                    <w:jc w:val="left"/>
                  </w:pPr>
                  <w:r>
                    <w:t>Health care and social assistance</w:t>
                  </w:r>
                </w:p>
              </w:tc>
              <w:tc>
                <w:tcPr>
                  <w:tcW w:w="1334" w:type="pct"/>
                </w:tcPr>
                <w:p w:rsidR="00224B56" w:rsidRDefault="00224B56" w:rsidP="00996573">
                  <w:pPr>
                    <w:pStyle w:val="TableBodyText"/>
                    <w:spacing w:before="80"/>
                    <w:jc w:val="left"/>
                  </w:pPr>
                  <w:r>
                    <w:t>Not allocated</w:t>
                  </w:r>
                </w:p>
              </w:tc>
              <w:tc>
                <w:tcPr>
                  <w:tcW w:w="499" w:type="pct"/>
                </w:tcPr>
                <w:p w:rsidR="00224B56" w:rsidRDefault="005C0AFD" w:rsidP="00996573">
                  <w:pPr>
                    <w:pStyle w:val="TableBodyText"/>
                    <w:spacing w:before="80"/>
                    <w:ind w:right="28"/>
                  </w:pPr>
                  <w:r>
                    <w:t>–</w:t>
                  </w:r>
                </w:p>
              </w:tc>
              <w:tc>
                <w:tcPr>
                  <w:tcW w:w="499" w:type="pct"/>
                </w:tcPr>
                <w:p w:rsidR="00224B56" w:rsidRDefault="00224B56" w:rsidP="00996573">
                  <w:pPr>
                    <w:pStyle w:val="TableBodyText"/>
                    <w:spacing w:before="80"/>
                    <w:ind w:right="28"/>
                  </w:pPr>
                  <w:r>
                    <w:t>5.5</w:t>
                  </w:r>
                </w:p>
              </w:tc>
            </w:tr>
            <w:tr w:rsidR="00224B56" w:rsidTr="005C0AFD">
              <w:tc>
                <w:tcPr>
                  <w:tcW w:w="1334" w:type="pct"/>
                </w:tcPr>
                <w:p w:rsidR="00224B56" w:rsidRDefault="00564326" w:rsidP="00846637">
                  <w:pPr>
                    <w:pStyle w:val="TableBodyText"/>
                    <w:jc w:val="left"/>
                  </w:pPr>
                  <w:r>
                    <w:t xml:space="preserve">CRC for </w:t>
                  </w:r>
                  <w:r w:rsidR="00224B56">
                    <w:t>Biomarker Translation</w:t>
                  </w:r>
                </w:p>
              </w:tc>
              <w:tc>
                <w:tcPr>
                  <w:tcW w:w="1334" w:type="pct"/>
                </w:tcPr>
                <w:p w:rsidR="00224B56" w:rsidRDefault="00224B56" w:rsidP="00E255BE">
                  <w:pPr>
                    <w:pStyle w:val="TableBodyText"/>
                    <w:jc w:val="left"/>
                  </w:pPr>
                  <w:r>
                    <w:t>Not allocated</w:t>
                  </w:r>
                </w:p>
              </w:tc>
              <w:tc>
                <w:tcPr>
                  <w:tcW w:w="1334" w:type="pct"/>
                </w:tcPr>
                <w:p w:rsidR="00224B56" w:rsidRDefault="00224B56" w:rsidP="00E255BE">
                  <w:pPr>
                    <w:pStyle w:val="TableBodyText"/>
                    <w:jc w:val="left"/>
                  </w:pPr>
                  <w:r>
                    <w:t>Health care and social assistance</w:t>
                  </w:r>
                </w:p>
              </w:tc>
              <w:tc>
                <w:tcPr>
                  <w:tcW w:w="499" w:type="pct"/>
                </w:tcPr>
                <w:p w:rsidR="00224B56" w:rsidRDefault="005C0AFD" w:rsidP="00846637">
                  <w:pPr>
                    <w:pStyle w:val="TableBodyText"/>
                    <w:ind w:right="28"/>
                  </w:pPr>
                  <w:r>
                    <w:t>4.1</w:t>
                  </w:r>
                </w:p>
              </w:tc>
              <w:tc>
                <w:tcPr>
                  <w:tcW w:w="499" w:type="pct"/>
                </w:tcPr>
                <w:p w:rsidR="00224B56" w:rsidRDefault="005C0AFD" w:rsidP="005C0AFD">
                  <w:pPr>
                    <w:pStyle w:val="TableBodyText"/>
                    <w:ind w:right="28"/>
                  </w:pPr>
                  <w:r>
                    <w:t>–</w:t>
                  </w:r>
                </w:p>
              </w:tc>
            </w:tr>
            <w:tr w:rsidR="00224B56" w:rsidTr="005C0AFD">
              <w:tc>
                <w:tcPr>
                  <w:tcW w:w="1334" w:type="pct"/>
                </w:tcPr>
                <w:p w:rsidR="00224B56" w:rsidRDefault="00224B56" w:rsidP="00846637">
                  <w:pPr>
                    <w:pStyle w:val="TableBodyText"/>
                    <w:jc w:val="left"/>
                  </w:pPr>
                  <w:r>
                    <w:t>Oral Health CRC</w:t>
                  </w:r>
                </w:p>
              </w:tc>
              <w:tc>
                <w:tcPr>
                  <w:tcW w:w="1334" w:type="pct"/>
                </w:tcPr>
                <w:p w:rsidR="00224B56" w:rsidRDefault="00224B56" w:rsidP="00E255BE">
                  <w:pPr>
                    <w:pStyle w:val="TableBodyText"/>
                    <w:jc w:val="left"/>
                  </w:pPr>
                  <w:r>
                    <w:t>Health care and social assistance</w:t>
                  </w:r>
                </w:p>
              </w:tc>
              <w:tc>
                <w:tcPr>
                  <w:tcW w:w="1334" w:type="pct"/>
                </w:tcPr>
                <w:p w:rsidR="00224B56" w:rsidRDefault="00224B56" w:rsidP="00E255BE">
                  <w:pPr>
                    <w:pStyle w:val="TableBodyText"/>
                    <w:jc w:val="left"/>
                  </w:pPr>
                  <w:r>
                    <w:t>Not allocated</w:t>
                  </w:r>
                </w:p>
              </w:tc>
              <w:tc>
                <w:tcPr>
                  <w:tcW w:w="499" w:type="pct"/>
                </w:tcPr>
                <w:p w:rsidR="00224B56" w:rsidRDefault="005C0AFD" w:rsidP="00846637">
                  <w:pPr>
                    <w:pStyle w:val="TableBodyText"/>
                    <w:ind w:right="28"/>
                  </w:pPr>
                  <w:r>
                    <w:t>–</w:t>
                  </w:r>
                </w:p>
              </w:tc>
              <w:tc>
                <w:tcPr>
                  <w:tcW w:w="499" w:type="pct"/>
                </w:tcPr>
                <w:p w:rsidR="00224B56" w:rsidRDefault="00224B56" w:rsidP="00846637">
                  <w:pPr>
                    <w:pStyle w:val="TableBodyText"/>
                    <w:ind w:right="28"/>
                  </w:pPr>
                  <w:r>
                    <w:t>3.5</w:t>
                  </w:r>
                </w:p>
              </w:tc>
            </w:tr>
            <w:tr w:rsidR="00224B56" w:rsidTr="005C0AFD">
              <w:tc>
                <w:tcPr>
                  <w:tcW w:w="1334" w:type="pct"/>
                </w:tcPr>
                <w:p w:rsidR="00224B56" w:rsidRDefault="00224B56" w:rsidP="00846637">
                  <w:pPr>
                    <w:pStyle w:val="TableBodyText"/>
                    <w:jc w:val="left"/>
                  </w:pPr>
                  <w:r>
                    <w:t>HEARing</w:t>
                  </w:r>
                  <w:r w:rsidR="00564326">
                    <w:t xml:space="preserve"> CRC</w:t>
                  </w:r>
                </w:p>
              </w:tc>
              <w:tc>
                <w:tcPr>
                  <w:tcW w:w="1334" w:type="pct"/>
                </w:tcPr>
                <w:p w:rsidR="00224B56" w:rsidRDefault="00224B56" w:rsidP="00E255BE">
                  <w:pPr>
                    <w:pStyle w:val="TableBodyText"/>
                    <w:jc w:val="left"/>
                  </w:pPr>
                  <w:r>
                    <w:t>Health care and social assistance</w:t>
                  </w:r>
                </w:p>
              </w:tc>
              <w:tc>
                <w:tcPr>
                  <w:tcW w:w="1334" w:type="pct"/>
                </w:tcPr>
                <w:p w:rsidR="00224B56" w:rsidRDefault="00224B56" w:rsidP="00E255BE">
                  <w:pPr>
                    <w:pStyle w:val="TableBodyText"/>
                    <w:jc w:val="left"/>
                  </w:pPr>
                  <w:r>
                    <w:t>Not allocated</w:t>
                  </w:r>
                </w:p>
              </w:tc>
              <w:tc>
                <w:tcPr>
                  <w:tcW w:w="499" w:type="pct"/>
                </w:tcPr>
                <w:p w:rsidR="00224B56" w:rsidRDefault="005C0AFD" w:rsidP="00846637">
                  <w:pPr>
                    <w:pStyle w:val="TableBodyText"/>
                    <w:ind w:right="28"/>
                  </w:pPr>
                  <w:r>
                    <w:t>–</w:t>
                  </w:r>
                </w:p>
              </w:tc>
              <w:tc>
                <w:tcPr>
                  <w:tcW w:w="499" w:type="pct"/>
                </w:tcPr>
                <w:p w:rsidR="00224B56" w:rsidRDefault="00224B56" w:rsidP="00846637">
                  <w:pPr>
                    <w:pStyle w:val="TableBodyText"/>
                    <w:ind w:right="28"/>
                  </w:pPr>
                  <w:r>
                    <w:t>3.6</w:t>
                  </w:r>
                </w:p>
              </w:tc>
            </w:tr>
            <w:tr w:rsidR="00224B56" w:rsidTr="005C0AFD">
              <w:tc>
                <w:tcPr>
                  <w:tcW w:w="1334" w:type="pct"/>
                </w:tcPr>
                <w:p w:rsidR="00224B56" w:rsidRDefault="00224B56" w:rsidP="00846637">
                  <w:pPr>
                    <w:pStyle w:val="TableBodyText"/>
                    <w:jc w:val="left"/>
                  </w:pPr>
                  <w:r>
                    <w:t>Wound Management Innovation CRC</w:t>
                  </w:r>
                </w:p>
              </w:tc>
              <w:tc>
                <w:tcPr>
                  <w:tcW w:w="1334" w:type="pct"/>
                </w:tcPr>
                <w:p w:rsidR="00224B56" w:rsidRDefault="00224B56" w:rsidP="00E255BE">
                  <w:pPr>
                    <w:pStyle w:val="TableBodyText"/>
                    <w:jc w:val="left"/>
                  </w:pPr>
                  <w:r>
                    <w:t>Health care and social assistance</w:t>
                  </w:r>
                </w:p>
              </w:tc>
              <w:tc>
                <w:tcPr>
                  <w:tcW w:w="1334" w:type="pct"/>
                </w:tcPr>
                <w:p w:rsidR="00224B56" w:rsidRDefault="00224B56" w:rsidP="00E255BE">
                  <w:pPr>
                    <w:pStyle w:val="TableBodyText"/>
                    <w:jc w:val="left"/>
                  </w:pPr>
                  <w:r>
                    <w:t>Not allocated</w:t>
                  </w:r>
                </w:p>
              </w:tc>
              <w:tc>
                <w:tcPr>
                  <w:tcW w:w="499" w:type="pct"/>
                </w:tcPr>
                <w:p w:rsidR="00224B56" w:rsidRDefault="005C0AFD" w:rsidP="00846637">
                  <w:pPr>
                    <w:pStyle w:val="TableBodyText"/>
                    <w:ind w:right="28"/>
                  </w:pPr>
                  <w:r>
                    <w:t>–</w:t>
                  </w:r>
                </w:p>
              </w:tc>
              <w:tc>
                <w:tcPr>
                  <w:tcW w:w="499" w:type="pct"/>
                </w:tcPr>
                <w:p w:rsidR="00224B56" w:rsidRDefault="00224B56" w:rsidP="00846637">
                  <w:pPr>
                    <w:pStyle w:val="TableBodyText"/>
                    <w:ind w:right="28"/>
                  </w:pPr>
                  <w:r>
                    <w:t>4.3</w:t>
                  </w:r>
                </w:p>
              </w:tc>
            </w:tr>
            <w:tr w:rsidR="00224B56" w:rsidTr="005C0AFD">
              <w:tc>
                <w:tcPr>
                  <w:tcW w:w="1334" w:type="pct"/>
                </w:tcPr>
                <w:p w:rsidR="00224B56" w:rsidRDefault="00224B56" w:rsidP="00846637">
                  <w:pPr>
                    <w:pStyle w:val="TableBodyText"/>
                    <w:jc w:val="left"/>
                  </w:pPr>
                  <w:r>
                    <w:t>Young and Well CRC</w:t>
                  </w:r>
                </w:p>
              </w:tc>
              <w:tc>
                <w:tcPr>
                  <w:tcW w:w="1334" w:type="pct"/>
                </w:tcPr>
                <w:p w:rsidR="00224B56" w:rsidRDefault="00224B56" w:rsidP="00E255BE">
                  <w:pPr>
                    <w:pStyle w:val="TableBodyText"/>
                    <w:jc w:val="left"/>
                  </w:pPr>
                  <w:r>
                    <w:t>Health care and social assistance</w:t>
                  </w:r>
                </w:p>
              </w:tc>
              <w:tc>
                <w:tcPr>
                  <w:tcW w:w="1334" w:type="pct"/>
                </w:tcPr>
                <w:p w:rsidR="00224B56" w:rsidRDefault="00224B56" w:rsidP="00E255BE">
                  <w:pPr>
                    <w:pStyle w:val="TableBodyText"/>
                    <w:jc w:val="left"/>
                  </w:pPr>
                  <w:r>
                    <w:t>Not allocated</w:t>
                  </w:r>
                </w:p>
              </w:tc>
              <w:tc>
                <w:tcPr>
                  <w:tcW w:w="499" w:type="pct"/>
                </w:tcPr>
                <w:p w:rsidR="00224B56" w:rsidRDefault="005C0AFD" w:rsidP="00846637">
                  <w:pPr>
                    <w:pStyle w:val="TableBodyText"/>
                    <w:ind w:right="28"/>
                  </w:pPr>
                  <w:r>
                    <w:t>–</w:t>
                  </w:r>
                </w:p>
              </w:tc>
              <w:tc>
                <w:tcPr>
                  <w:tcW w:w="499" w:type="pct"/>
                </w:tcPr>
                <w:p w:rsidR="00224B56" w:rsidRDefault="00224B56" w:rsidP="00846637">
                  <w:pPr>
                    <w:pStyle w:val="TableBodyText"/>
                    <w:ind w:right="28"/>
                  </w:pPr>
                  <w:r>
                    <w:t>4.5</w:t>
                  </w:r>
                </w:p>
              </w:tc>
            </w:tr>
            <w:tr w:rsidR="005C0AFD" w:rsidTr="005C0AFD">
              <w:tc>
                <w:tcPr>
                  <w:tcW w:w="1334" w:type="pct"/>
                  <w:shd w:val="clear" w:color="auto" w:fill="auto"/>
                </w:tcPr>
                <w:p w:rsidR="00224B56" w:rsidRDefault="00224B56" w:rsidP="00846637">
                  <w:pPr>
                    <w:pStyle w:val="TableBodyText"/>
                    <w:jc w:val="left"/>
                  </w:pPr>
                  <w:r>
                    <w:t>CRC for Mental Health</w:t>
                  </w:r>
                </w:p>
              </w:tc>
              <w:tc>
                <w:tcPr>
                  <w:tcW w:w="1334" w:type="pct"/>
                </w:tcPr>
                <w:p w:rsidR="00224B56" w:rsidRDefault="00224B56" w:rsidP="00E255BE">
                  <w:pPr>
                    <w:pStyle w:val="TableBodyText"/>
                    <w:jc w:val="left"/>
                  </w:pPr>
                  <w:r>
                    <w:t>Health care and social assistance</w:t>
                  </w:r>
                </w:p>
              </w:tc>
              <w:tc>
                <w:tcPr>
                  <w:tcW w:w="1334" w:type="pct"/>
                  <w:shd w:val="clear" w:color="auto" w:fill="auto"/>
                </w:tcPr>
                <w:p w:rsidR="00224B56" w:rsidRDefault="00224B56" w:rsidP="00E255BE">
                  <w:pPr>
                    <w:pStyle w:val="TableBodyText"/>
                    <w:jc w:val="left"/>
                  </w:pPr>
                  <w:r>
                    <w:t>Not allocated</w:t>
                  </w:r>
                </w:p>
              </w:tc>
              <w:tc>
                <w:tcPr>
                  <w:tcW w:w="499" w:type="pct"/>
                </w:tcPr>
                <w:p w:rsidR="00224B56" w:rsidRDefault="005C0AFD" w:rsidP="00846637">
                  <w:pPr>
                    <w:pStyle w:val="TableBodyText"/>
                    <w:ind w:right="28"/>
                  </w:pPr>
                  <w:r>
                    <w:t>–</w:t>
                  </w:r>
                </w:p>
              </w:tc>
              <w:tc>
                <w:tcPr>
                  <w:tcW w:w="499" w:type="pct"/>
                  <w:shd w:val="clear" w:color="auto" w:fill="auto"/>
                </w:tcPr>
                <w:p w:rsidR="00224B56" w:rsidRDefault="00224B56" w:rsidP="00846637">
                  <w:pPr>
                    <w:pStyle w:val="TableBodyText"/>
                    <w:ind w:right="28"/>
                  </w:pPr>
                  <w:r>
                    <w:t>4.0</w:t>
                  </w:r>
                </w:p>
              </w:tc>
            </w:tr>
            <w:tr w:rsidR="005C0AFD" w:rsidRPr="005C0AFD" w:rsidTr="005C0AFD">
              <w:tc>
                <w:tcPr>
                  <w:tcW w:w="1334" w:type="pct"/>
                  <w:tcBorders>
                    <w:bottom w:val="single" w:sz="6" w:space="0" w:color="C8C8C8"/>
                  </w:tcBorders>
                  <w:shd w:val="clear" w:color="auto" w:fill="auto"/>
                </w:tcPr>
                <w:p w:rsidR="005C0AFD" w:rsidRPr="005C0AFD" w:rsidRDefault="005C0AFD" w:rsidP="00846637">
                  <w:pPr>
                    <w:pStyle w:val="TableBodyText"/>
                    <w:jc w:val="left"/>
                    <w:rPr>
                      <w:b/>
                    </w:rPr>
                  </w:pPr>
                  <w:r w:rsidRPr="005C0AFD">
                    <w:rPr>
                      <w:b/>
                    </w:rPr>
                    <w:t>Total</w:t>
                  </w:r>
                </w:p>
              </w:tc>
              <w:tc>
                <w:tcPr>
                  <w:tcW w:w="1334" w:type="pct"/>
                  <w:tcBorders>
                    <w:bottom w:val="single" w:sz="6" w:space="0" w:color="C8C8C8"/>
                  </w:tcBorders>
                </w:tcPr>
                <w:p w:rsidR="005C0AFD" w:rsidRPr="005C0AFD" w:rsidRDefault="005C0AFD" w:rsidP="00E255BE">
                  <w:pPr>
                    <w:pStyle w:val="TableBodyText"/>
                    <w:jc w:val="left"/>
                    <w:rPr>
                      <w:b/>
                    </w:rPr>
                  </w:pPr>
                </w:p>
              </w:tc>
              <w:tc>
                <w:tcPr>
                  <w:tcW w:w="1334" w:type="pct"/>
                  <w:tcBorders>
                    <w:bottom w:val="single" w:sz="6" w:space="0" w:color="C8C8C8"/>
                  </w:tcBorders>
                  <w:shd w:val="clear" w:color="auto" w:fill="auto"/>
                </w:tcPr>
                <w:p w:rsidR="005C0AFD" w:rsidRPr="005C0AFD" w:rsidRDefault="005C0AFD" w:rsidP="00E255BE">
                  <w:pPr>
                    <w:pStyle w:val="TableBodyText"/>
                    <w:jc w:val="left"/>
                    <w:rPr>
                      <w:b/>
                    </w:rPr>
                  </w:pPr>
                </w:p>
              </w:tc>
              <w:tc>
                <w:tcPr>
                  <w:tcW w:w="499" w:type="pct"/>
                  <w:tcBorders>
                    <w:bottom w:val="single" w:sz="6" w:space="0" w:color="C8C8C8"/>
                  </w:tcBorders>
                </w:tcPr>
                <w:p w:rsidR="005C0AFD" w:rsidRPr="005C0AFD" w:rsidRDefault="005C0AFD" w:rsidP="00846637">
                  <w:pPr>
                    <w:pStyle w:val="TableBodyText"/>
                    <w:ind w:right="28"/>
                    <w:rPr>
                      <w:b/>
                    </w:rPr>
                  </w:pPr>
                  <w:r>
                    <w:rPr>
                      <w:b/>
                    </w:rPr>
                    <w:t>4.1</w:t>
                  </w:r>
                </w:p>
              </w:tc>
              <w:tc>
                <w:tcPr>
                  <w:tcW w:w="499" w:type="pct"/>
                  <w:tcBorders>
                    <w:bottom w:val="single" w:sz="6" w:space="0" w:color="C8C8C8"/>
                  </w:tcBorders>
                  <w:shd w:val="clear" w:color="auto" w:fill="auto"/>
                </w:tcPr>
                <w:p w:rsidR="005C0AFD" w:rsidRPr="005C0AFD" w:rsidRDefault="005C0AFD" w:rsidP="00846637">
                  <w:pPr>
                    <w:pStyle w:val="TableBodyText"/>
                    <w:ind w:right="28"/>
                    <w:rPr>
                      <w:b/>
                    </w:rPr>
                  </w:pPr>
                  <w:r>
                    <w:rPr>
                      <w:b/>
                    </w:rPr>
                    <w:t>25.4</w:t>
                  </w:r>
                </w:p>
              </w:tc>
            </w:tr>
          </w:tbl>
          <w:p w:rsidR="00B544D8" w:rsidRDefault="00B544D8" w:rsidP="00846637">
            <w:pPr>
              <w:pStyle w:val="Box"/>
            </w:pPr>
          </w:p>
        </w:tc>
      </w:tr>
      <w:tr w:rsidR="005C0AFD" w:rsidRPr="005C0AFD" w:rsidTr="00D17BC8">
        <w:trPr>
          <w:cantSplit/>
        </w:trPr>
        <w:tc>
          <w:tcPr>
            <w:tcW w:w="8793" w:type="dxa"/>
            <w:tcBorders>
              <w:top w:val="nil"/>
              <w:left w:val="nil"/>
              <w:bottom w:val="nil"/>
              <w:right w:val="nil"/>
            </w:tcBorders>
            <w:shd w:val="clear" w:color="auto" w:fill="auto"/>
          </w:tcPr>
          <w:p w:rsidR="005C0AFD" w:rsidRPr="005C0AFD" w:rsidRDefault="001E4182" w:rsidP="001E4182">
            <w:pPr>
              <w:pStyle w:val="Note"/>
            </w:pPr>
            <w:r w:rsidRPr="005C0AFD">
              <w:t>–</w:t>
            </w:r>
            <w:r>
              <w:t> </w:t>
            </w:r>
            <w:r w:rsidR="005C0AFD" w:rsidRPr="005C0AFD">
              <w:t>Nil</w:t>
            </w:r>
            <w:r>
              <w:t>.</w:t>
            </w:r>
          </w:p>
        </w:tc>
      </w:tr>
      <w:tr w:rsidR="00B544D8" w:rsidTr="00D17BC8">
        <w:trPr>
          <w:cantSplit/>
        </w:trPr>
        <w:tc>
          <w:tcPr>
            <w:tcW w:w="8793" w:type="dxa"/>
            <w:tcBorders>
              <w:top w:val="nil"/>
              <w:left w:val="nil"/>
              <w:bottom w:val="nil"/>
              <w:right w:val="nil"/>
            </w:tcBorders>
            <w:shd w:val="clear" w:color="auto" w:fill="auto"/>
          </w:tcPr>
          <w:p w:rsidR="00B544D8" w:rsidRDefault="00B544D8" w:rsidP="00FC0E9C">
            <w:pPr>
              <w:pStyle w:val="Source"/>
            </w:pPr>
            <w:r>
              <w:rPr>
                <w:i/>
              </w:rPr>
              <w:t>Source</w:t>
            </w:r>
            <w:r w:rsidRPr="00167F06">
              <w:t xml:space="preserve">: </w:t>
            </w:r>
            <w:r w:rsidR="00FC0E9C">
              <w:t>Commission estimates</w:t>
            </w:r>
            <w:r>
              <w:t>.</w:t>
            </w:r>
          </w:p>
        </w:tc>
      </w:tr>
      <w:tr w:rsidR="00B544D8" w:rsidTr="00D17BC8">
        <w:trPr>
          <w:cantSplit/>
        </w:trPr>
        <w:tc>
          <w:tcPr>
            <w:tcW w:w="8793" w:type="dxa"/>
            <w:tcBorders>
              <w:top w:val="nil"/>
              <w:left w:val="nil"/>
              <w:bottom w:val="single" w:sz="6" w:space="0" w:color="78A22F" w:themeColor="accent1"/>
              <w:right w:val="nil"/>
            </w:tcBorders>
            <w:shd w:val="clear" w:color="auto" w:fill="auto"/>
          </w:tcPr>
          <w:p w:rsidR="00B544D8" w:rsidRDefault="00B544D8" w:rsidP="00846637">
            <w:pPr>
              <w:pStyle w:val="Box"/>
              <w:spacing w:before="0" w:line="120" w:lineRule="exact"/>
            </w:pPr>
          </w:p>
        </w:tc>
      </w:tr>
      <w:tr w:rsidR="00B544D8" w:rsidRPr="000863A5" w:rsidTr="00D17BC8">
        <w:tc>
          <w:tcPr>
            <w:tcW w:w="8793" w:type="dxa"/>
            <w:tcBorders>
              <w:top w:val="single" w:sz="6" w:space="0" w:color="78A22F" w:themeColor="accent1"/>
              <w:left w:val="nil"/>
              <w:bottom w:val="nil"/>
              <w:right w:val="nil"/>
            </w:tcBorders>
          </w:tcPr>
          <w:p w:rsidR="00B544D8" w:rsidRPr="00626D32" w:rsidRDefault="00B544D8" w:rsidP="00784A05">
            <w:pPr>
              <w:pStyle w:val="BoxSpaceBelow"/>
            </w:pPr>
          </w:p>
        </w:tc>
      </w:tr>
    </w:tbl>
    <w:p w:rsidR="0096563C" w:rsidRDefault="0096563C" w:rsidP="0096563C">
      <w:pPr>
        <w:pStyle w:val="Heading3"/>
      </w:pPr>
      <w:r w:rsidRPr="0096563C">
        <w:t xml:space="preserve">Combining tariff and budgetary assistance – conversion to </w:t>
      </w:r>
      <w:r w:rsidR="0053787B">
        <w:t xml:space="preserve">a </w:t>
      </w:r>
      <w:r w:rsidR="0053787B" w:rsidRPr="0096563C">
        <w:t>c</w:t>
      </w:r>
      <w:r w:rsidR="0053787B">
        <w:t>urrent</w:t>
      </w:r>
      <w:r w:rsidR="0053787B" w:rsidRPr="0096563C">
        <w:t xml:space="preserve"> </w:t>
      </w:r>
      <w:r w:rsidRPr="0096563C">
        <w:t>dollar basis</w:t>
      </w:r>
    </w:p>
    <w:p w:rsidR="0096563C" w:rsidRDefault="0096563C" w:rsidP="0096563C">
      <w:pPr>
        <w:pStyle w:val="BodyText"/>
      </w:pPr>
      <w:r>
        <w:t>The</w:t>
      </w:r>
      <w:r w:rsidR="00A16506">
        <w:t xml:space="preserve"> Commission’s</w:t>
      </w:r>
      <w:r>
        <w:t xml:space="preserve"> tariff assistance estimates are initially derived for all years in the series in 2008</w:t>
      </w:r>
      <w:r w:rsidR="00836A27">
        <w:noBreakHyphen/>
      </w:r>
      <w:r>
        <w:t>09 Input-Output base-year dollars. That is, different tariff levels, or rates, over a number of years are combined with the same 2008</w:t>
      </w:r>
      <w:r w:rsidR="00836A27">
        <w:noBreakHyphen/>
      </w:r>
      <w:r>
        <w:t xml:space="preserve">09 ABS input-output data. This approach provides </w:t>
      </w:r>
      <w:r w:rsidR="00C63683">
        <w:t>multi-</w:t>
      </w:r>
      <w:r>
        <w:t>year estimates of GSE and TEM tariff assistance in constant 2008</w:t>
      </w:r>
      <w:r w:rsidR="00836A27">
        <w:noBreakHyphen/>
      </w:r>
      <w:r>
        <w:t>09 dollars</w:t>
      </w:r>
      <w:r w:rsidR="0053787B">
        <w:t xml:space="preserve"> and estimates of effective rates of tariff assistance using constant reference year input-output coefficients</w:t>
      </w:r>
      <w:r>
        <w:t xml:space="preserve">. </w:t>
      </w:r>
    </w:p>
    <w:p w:rsidR="0096563C" w:rsidRDefault="0096563C" w:rsidP="0096563C">
      <w:pPr>
        <w:pStyle w:val="BodyText"/>
      </w:pPr>
      <w:r>
        <w:t>In contrast, expenditure under budgetary assistance programs</w:t>
      </w:r>
      <w:r w:rsidR="00782B69">
        <w:t>, including budgetary outlays and tax concessions,</w:t>
      </w:r>
      <w:r>
        <w:t xml:space="preserve"> </w:t>
      </w:r>
      <w:r w:rsidR="00564326">
        <w:t xml:space="preserve">is </w:t>
      </w:r>
      <w:r>
        <w:t xml:space="preserve">in current year dollars. </w:t>
      </w:r>
    </w:p>
    <w:p w:rsidR="00FA5DEB" w:rsidRDefault="00ED79BE" w:rsidP="00ED79BE">
      <w:pPr>
        <w:pStyle w:val="BodyText"/>
      </w:pPr>
      <w:r>
        <w:t>T</w:t>
      </w:r>
      <w:r w:rsidR="0096563C">
        <w:t>o combine estimates of the value of tariff assistance at reference-year</w:t>
      </w:r>
      <w:r>
        <w:t xml:space="preserve"> value</w:t>
      </w:r>
      <w:r w:rsidR="00C04CCB">
        <w:t>s</w:t>
      </w:r>
      <w:r>
        <w:t>, currently 2008</w:t>
      </w:r>
      <w:r>
        <w:noBreakHyphen/>
        <w:t>09,</w:t>
      </w:r>
      <w:r w:rsidR="0096563C">
        <w:t xml:space="preserve"> </w:t>
      </w:r>
      <w:r>
        <w:t>w</w:t>
      </w:r>
      <w:r w:rsidR="0096563C">
        <w:t xml:space="preserve">ith estimates of budgetary assistance at current-year values, the estimates of tariff assistance need to be </w:t>
      </w:r>
      <w:r w:rsidR="004C28AB">
        <w:t xml:space="preserve">revalued </w:t>
      </w:r>
      <w:r w:rsidR="0096563C">
        <w:t>from input-output base-year dollars to current-year dollars</w:t>
      </w:r>
      <w:r w:rsidR="00DC6A16">
        <w:t>, holding the reference year input-output coefficients constant.</w:t>
      </w:r>
      <w:r w:rsidR="0096563C">
        <w:t xml:space="preserve"> </w:t>
      </w:r>
      <w:r w:rsidR="00DC6A16">
        <w:t xml:space="preserve">For assistance estimation, </w:t>
      </w:r>
      <w:r w:rsidR="0096563C">
        <w:t xml:space="preserve">ABS </w:t>
      </w:r>
      <w:r w:rsidR="00DC6A16">
        <w:t xml:space="preserve">estimates of </w:t>
      </w:r>
      <w:r w:rsidR="0096563C">
        <w:t xml:space="preserve">Gross Value Added (GVA) </w:t>
      </w:r>
      <w:r w:rsidR="00782B69">
        <w:t xml:space="preserve">at current prices </w:t>
      </w:r>
      <w:r w:rsidR="0096563C">
        <w:t xml:space="preserve">by national accounts industry division </w:t>
      </w:r>
      <w:r w:rsidR="00DC6A16">
        <w:t xml:space="preserve">are </w:t>
      </w:r>
      <w:r w:rsidR="00FF5986">
        <w:t xml:space="preserve">generally </w:t>
      </w:r>
      <w:r w:rsidR="00DC6A16">
        <w:t xml:space="preserve">used </w:t>
      </w:r>
      <w:r w:rsidR="0096563C">
        <w:t xml:space="preserve">to scale </w:t>
      </w:r>
      <w:r w:rsidR="00C7363F">
        <w:t xml:space="preserve">estimates of </w:t>
      </w:r>
      <w:r w:rsidR="0096563C">
        <w:t>tariff assistance</w:t>
      </w:r>
      <w:r w:rsidR="00782B69">
        <w:t xml:space="preserve"> </w:t>
      </w:r>
      <w:r w:rsidR="0053787B">
        <w:t xml:space="preserve">on outputs and inputs </w:t>
      </w:r>
      <w:r w:rsidR="0096563C">
        <w:t xml:space="preserve">from base-year values to current-year values. </w:t>
      </w:r>
      <w:r w:rsidR="00F533FA">
        <w:t xml:space="preserve">Supporting </w:t>
      </w:r>
      <w:r>
        <w:t>data</w:t>
      </w:r>
      <w:r w:rsidR="00FA5DEB">
        <w:t xml:space="preserve"> </w:t>
      </w:r>
      <w:r w:rsidR="00C04CCB">
        <w:t xml:space="preserve">are </w:t>
      </w:r>
      <w:r w:rsidR="00FA5DEB">
        <w:t xml:space="preserve">also </w:t>
      </w:r>
      <w:r w:rsidR="00FA5DEB">
        <w:lastRenderedPageBreak/>
        <w:t xml:space="preserve">used to </w:t>
      </w:r>
      <w:r w:rsidR="00DC6A16">
        <w:t xml:space="preserve">apportion </w:t>
      </w:r>
      <w:r w:rsidR="00FA5DEB">
        <w:t xml:space="preserve">GVA </w:t>
      </w:r>
      <w:r w:rsidR="00FF5986">
        <w:t xml:space="preserve">on a current price basis </w:t>
      </w:r>
      <w:r w:rsidR="00C7363F">
        <w:t xml:space="preserve">from the </w:t>
      </w:r>
      <w:r w:rsidR="00DC6A16">
        <w:t xml:space="preserve">aggregate </w:t>
      </w:r>
      <w:r w:rsidR="00FA5DEB">
        <w:t xml:space="preserve">primary production </w:t>
      </w:r>
      <w:r w:rsidR="00DC6A16">
        <w:t xml:space="preserve">and manufacturing industries to </w:t>
      </w:r>
      <w:r w:rsidR="00C7363F">
        <w:t xml:space="preserve">the </w:t>
      </w:r>
      <w:r w:rsidR="00DC6A16">
        <w:t xml:space="preserve">industry groupings </w:t>
      </w:r>
      <w:r w:rsidR="00C7363F">
        <w:t xml:space="preserve">adopted for reporting estimates of </w:t>
      </w:r>
      <w:r w:rsidR="00DC6A16">
        <w:t>assistance</w:t>
      </w:r>
      <w:r w:rsidR="00FA5DEB">
        <w:t xml:space="preserve">. </w:t>
      </w:r>
    </w:p>
    <w:p w:rsidR="0096563C" w:rsidRDefault="0096563C" w:rsidP="0096563C">
      <w:pPr>
        <w:pStyle w:val="BodyText"/>
      </w:pPr>
      <w:r>
        <w:t xml:space="preserve">The concordance between trade and assistance industry groupings and the national accounts division </w:t>
      </w:r>
      <w:r w:rsidR="00DC6A16">
        <w:t xml:space="preserve">and </w:t>
      </w:r>
      <w:r w:rsidR="00743F97">
        <w:t xml:space="preserve">the </w:t>
      </w:r>
      <w:r w:rsidR="00DC6A16">
        <w:t xml:space="preserve">supplementary data </w:t>
      </w:r>
      <w:r>
        <w:t xml:space="preserve">used in the </w:t>
      </w:r>
      <w:r w:rsidR="00DC6A16">
        <w:t xml:space="preserve">estimation </w:t>
      </w:r>
      <w:r>
        <w:t>process is provided in table</w:t>
      </w:r>
      <w:r w:rsidR="00836A27">
        <w:t> </w:t>
      </w:r>
      <w:r>
        <w:t>4.</w:t>
      </w:r>
      <w:r w:rsidR="00ED79BE">
        <w:t>3</w:t>
      </w:r>
      <w:r>
        <w:t xml:space="preserve">. </w:t>
      </w:r>
    </w:p>
    <w:p w:rsidR="004B582A" w:rsidRDefault="004A1718" w:rsidP="00C7363F">
      <w:pPr>
        <w:pStyle w:val="BodyText"/>
      </w:pPr>
      <w:r>
        <w:t xml:space="preserve">For </w:t>
      </w:r>
      <w:r w:rsidRPr="00625D6B">
        <w:rPr>
          <w:i/>
        </w:rPr>
        <w:t>Trade &amp; Assistance Review 2012</w:t>
      </w:r>
      <w:r w:rsidRPr="00625D6B">
        <w:rPr>
          <w:i/>
        </w:rPr>
        <w:noBreakHyphen/>
        <w:t>13</w:t>
      </w:r>
      <w:r>
        <w:t xml:space="preserve">, the method used to </w:t>
      </w:r>
      <w:r w:rsidR="00DC6A16">
        <w:t xml:space="preserve">revalue </w:t>
      </w:r>
      <w:r w:rsidRPr="00C21358">
        <w:t xml:space="preserve">mining </w:t>
      </w:r>
      <w:r>
        <w:t xml:space="preserve">industry </w:t>
      </w:r>
      <w:r w:rsidR="00C7363F">
        <w:t xml:space="preserve">estimates </w:t>
      </w:r>
      <w:r>
        <w:t>from input-output base-year dollars to current-year dollars</w:t>
      </w:r>
      <w:r w:rsidR="0064001D">
        <w:t xml:space="preserve"> differs from that applied </w:t>
      </w:r>
      <w:r w:rsidR="005F00E9">
        <w:t>to</w:t>
      </w:r>
      <w:r w:rsidR="0064001D">
        <w:t xml:space="preserve"> other industries to take account of mining terms of trade effects</w:t>
      </w:r>
      <w:r w:rsidR="00A73717">
        <w:t xml:space="preserve">. </w:t>
      </w:r>
      <w:r w:rsidR="00C7363F">
        <w:t>As noted, u</w:t>
      </w:r>
      <w:r w:rsidR="004B582A">
        <w:t xml:space="preserve">nder the </w:t>
      </w:r>
      <w:r w:rsidR="0064001D">
        <w:t>general approach</w:t>
      </w:r>
      <w:r w:rsidR="00C7363F">
        <w:t>,</w:t>
      </w:r>
      <w:r w:rsidR="008D2141">
        <w:t xml:space="preserve"> </w:t>
      </w:r>
      <w:r w:rsidR="004B582A">
        <w:t xml:space="preserve">both inputs and outputs </w:t>
      </w:r>
      <w:r w:rsidR="008D2141">
        <w:t>are</w:t>
      </w:r>
      <w:r w:rsidR="004B582A">
        <w:t xml:space="preserve"> scaled by the current value of industry value added. </w:t>
      </w:r>
      <w:r w:rsidR="00743F97">
        <w:t>This involves</w:t>
      </w:r>
      <w:r w:rsidR="004B582A">
        <w:t xml:space="preserve"> the simplifying assumption that the value of inputs and outputs moved proportionately</w:t>
      </w:r>
      <w:r w:rsidR="00AE3B21">
        <w:t xml:space="preserve">. </w:t>
      </w:r>
      <w:r w:rsidR="00743F97">
        <w:t>However, s</w:t>
      </w:r>
      <w:r w:rsidR="00FD7E0F">
        <w:t xml:space="preserve">ubstantial variations in industry terms of trade can erode the applicability of this assumption and can fall disproportionately on assistance to outputs or inputs. </w:t>
      </w:r>
      <w:r w:rsidR="00743F97">
        <w:t>M</w:t>
      </w:r>
      <w:r w:rsidR="00A268C7">
        <w:t>ining industry has</w:t>
      </w:r>
      <w:r w:rsidR="00FD7E0F">
        <w:t xml:space="preserve"> negligible tariffs on outputs</w:t>
      </w:r>
      <w:r w:rsidR="00A268C7">
        <w:t xml:space="preserve"> but incurs a tariff penalty on inputs</w:t>
      </w:r>
      <w:r w:rsidR="00743F97">
        <w:t>.</w:t>
      </w:r>
      <w:r w:rsidR="00FD7E0F">
        <w:t xml:space="preserve"> </w:t>
      </w:r>
      <w:r w:rsidR="00743F97">
        <w:t>I</w:t>
      </w:r>
      <w:r w:rsidR="005F00E9">
        <w:t xml:space="preserve">ncluding </w:t>
      </w:r>
      <w:r w:rsidR="00A268C7">
        <w:t xml:space="preserve">changing mining terms of trade </w:t>
      </w:r>
      <w:r w:rsidR="005F00E9">
        <w:t xml:space="preserve">in the calculations </w:t>
      </w:r>
      <w:r w:rsidR="00A268C7">
        <w:t>inflate</w:t>
      </w:r>
      <w:r w:rsidR="00262F2C">
        <w:t>s</w:t>
      </w:r>
      <w:r w:rsidR="00A268C7">
        <w:t xml:space="preserve"> (o</w:t>
      </w:r>
      <w:r w:rsidR="005F00E9">
        <w:t>r</w:t>
      </w:r>
      <w:r w:rsidR="00A268C7">
        <w:t xml:space="preserve"> deflate</w:t>
      </w:r>
      <w:r w:rsidR="00262F2C">
        <w:t>s</w:t>
      </w:r>
      <w:r w:rsidR="00A268C7">
        <w:t xml:space="preserve">) </w:t>
      </w:r>
      <w:r w:rsidR="00874C61">
        <w:t>the estimated tariff penalty on inputs</w:t>
      </w:r>
      <w:r w:rsidR="00C7363F">
        <w:t xml:space="preserve">. </w:t>
      </w:r>
      <w:r w:rsidR="004B582A">
        <w:t xml:space="preserve">To overcome this </w:t>
      </w:r>
      <w:r w:rsidR="00C7363F">
        <w:t xml:space="preserve">valuation </w:t>
      </w:r>
      <w:r w:rsidR="00743F97">
        <w:t>problem</w:t>
      </w:r>
      <w:r w:rsidR="004B582A">
        <w:t xml:space="preserve">, the mining </w:t>
      </w:r>
      <w:r w:rsidR="004B582A" w:rsidRPr="00B544D8">
        <w:t xml:space="preserve">estimates </w:t>
      </w:r>
      <w:r w:rsidR="00743F97">
        <w:t xml:space="preserve">of inputs and outputs </w:t>
      </w:r>
      <w:r w:rsidR="004B582A">
        <w:t xml:space="preserve">were </w:t>
      </w:r>
      <w:r w:rsidR="00874C61">
        <w:t>projected</w:t>
      </w:r>
      <w:r w:rsidR="004B582A">
        <w:t xml:space="preserve"> </w:t>
      </w:r>
      <w:r w:rsidR="004B582A" w:rsidRPr="00B544D8">
        <w:t>using the ABS Industry Gross Value Added chain volume measures.</w:t>
      </w:r>
      <w:r w:rsidR="004B582A">
        <w:t xml:space="preserve"> </w:t>
      </w:r>
    </w:p>
    <w:p w:rsidR="007F3143" w:rsidRDefault="00CB6FD0" w:rsidP="007F3143">
      <w:pPr>
        <w:pStyle w:val="BodyText"/>
      </w:pPr>
      <w:r>
        <w:t>For 2012</w:t>
      </w:r>
      <w:r>
        <w:noBreakHyphen/>
        <w:t>13, t</w:t>
      </w:r>
      <w:r w:rsidR="004A1718">
        <w:t xml:space="preserve">he impact of changing the scaling adjustment </w:t>
      </w:r>
      <w:r>
        <w:t xml:space="preserve">on the assistance estimates </w:t>
      </w:r>
      <w:r w:rsidR="004A1718">
        <w:t xml:space="preserve">for mining is to increase the </w:t>
      </w:r>
      <w:r w:rsidR="005F00E9">
        <w:t xml:space="preserve">estimated </w:t>
      </w:r>
      <w:r w:rsidR="004A1718">
        <w:t xml:space="preserve">tariff penalty on mining </w:t>
      </w:r>
      <w:r>
        <w:t xml:space="preserve">activity </w:t>
      </w:r>
      <w:r w:rsidR="004A1718">
        <w:t>by around $40 million</w:t>
      </w:r>
      <w:r w:rsidR="005F00E9">
        <w:t xml:space="preserve"> from what it would otherwise have been —</w:t>
      </w:r>
      <w:r w:rsidR="00AE3B21">
        <w:t xml:space="preserve"> </w:t>
      </w:r>
      <w:r w:rsidR="00743F97">
        <w:t>removing</w:t>
      </w:r>
      <w:r w:rsidR="005F00E9">
        <w:t xml:space="preserve"> the </w:t>
      </w:r>
      <w:r w:rsidR="00743F97">
        <w:t xml:space="preserve">effect of the </w:t>
      </w:r>
      <w:r w:rsidR="005F00E9">
        <w:t xml:space="preserve">significant decline in the mining </w:t>
      </w:r>
      <w:r w:rsidR="00AE3B21">
        <w:t xml:space="preserve">terms of trade </w:t>
      </w:r>
      <w:r w:rsidR="005F00E9">
        <w:t>from 2011</w:t>
      </w:r>
      <w:r w:rsidR="005F00E9">
        <w:noBreakHyphen/>
        <w:t xml:space="preserve">12 to </w:t>
      </w:r>
      <w:r w:rsidR="00AE3B21">
        <w:t>2012</w:t>
      </w:r>
      <w:r w:rsidR="00AE3B21">
        <w:noBreakHyphen/>
        <w:t>13</w:t>
      </w:r>
      <w:r w:rsidR="00E94DC6">
        <w:t xml:space="preserve">. </w:t>
      </w:r>
      <w:r w:rsidR="00262F2C">
        <w:t>T</w:t>
      </w:r>
      <w:r w:rsidR="00E94DC6">
        <w:t xml:space="preserve">his </w:t>
      </w:r>
      <w:r w:rsidR="00743F97">
        <w:t xml:space="preserve">adjustment </w:t>
      </w:r>
      <w:r w:rsidR="004A1718">
        <w:t>reduc</w:t>
      </w:r>
      <w:r w:rsidR="00E94DC6">
        <w:t>e</w:t>
      </w:r>
      <w:r w:rsidR="00743F97">
        <w:t>s</w:t>
      </w:r>
      <w:r w:rsidR="00E94DC6">
        <w:t xml:space="preserve"> the</w:t>
      </w:r>
      <w:r w:rsidR="00564326">
        <w:t xml:space="preserve"> </w:t>
      </w:r>
      <w:r w:rsidR="00FD7E0F">
        <w:t xml:space="preserve">estimated </w:t>
      </w:r>
      <w:r w:rsidR="004A1718">
        <w:t xml:space="preserve">net subsidy equivalent </w:t>
      </w:r>
      <w:r w:rsidR="00FD7E0F">
        <w:t xml:space="preserve">for the mining industry </w:t>
      </w:r>
      <w:r w:rsidR="00262F2C">
        <w:t xml:space="preserve">(inclusive of budgetary assistance) </w:t>
      </w:r>
      <w:r w:rsidR="004A1718">
        <w:t xml:space="preserve">to around $331 million. </w:t>
      </w:r>
      <w:r w:rsidR="00FD7E0F">
        <w:t>The valuation adjustment does not affect input-output coefficients used in the estimation of effective rates of assistance</w:t>
      </w:r>
      <w:r w:rsidR="005F00E9">
        <w:t>. T</w:t>
      </w:r>
      <w:r w:rsidR="00FD7E0F">
        <w:t xml:space="preserve">he effect of the adjustment </w:t>
      </w:r>
      <w:r w:rsidR="004A1718">
        <w:t xml:space="preserve">on the effective rate of assistance for mining is </w:t>
      </w:r>
      <w:r w:rsidR="00743F97">
        <w:t xml:space="preserve">therefore </w:t>
      </w:r>
      <w:r w:rsidR="004A1718">
        <w:t>negligible</w:t>
      </w:r>
    </w:p>
    <w:p w:rsidR="007F3143" w:rsidRDefault="007F3143">
      <w:pPr>
        <w:pStyle w:val="BodyText"/>
        <w:sectPr w:rsidR="007F3143" w:rsidSect="00034238">
          <w:headerReference w:type="even" r:id="rId9"/>
          <w:headerReference w:type="default" r:id="rId10"/>
          <w:footerReference w:type="even" r:id="rId11"/>
          <w:footerReference w:type="default" r:id="rId12"/>
          <w:pgSz w:w="11907" w:h="16840" w:code="9"/>
          <w:pgMar w:top="1985" w:right="1304" w:bottom="1418" w:left="1814" w:header="1701" w:footer="567" w:gutter="0"/>
          <w:pgNumType w:start="15" w:chapSep="period"/>
          <w:cols w:space="720"/>
        </w:sectPr>
      </w:pPr>
      <w:r>
        <w:br w:type="page"/>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304"/>
      </w:tblGrid>
      <w:tr w:rsidR="007F3143" w:rsidTr="007F3143">
        <w:tc>
          <w:tcPr>
            <w:tcW w:w="12028" w:type="dxa"/>
            <w:tcBorders>
              <w:top w:val="single" w:sz="6" w:space="0" w:color="78A22F" w:themeColor="accent1"/>
              <w:left w:val="nil"/>
              <w:bottom w:val="nil"/>
              <w:right w:val="nil"/>
            </w:tcBorders>
            <w:shd w:val="clear" w:color="auto" w:fill="auto"/>
          </w:tcPr>
          <w:p w:rsidR="007F3143" w:rsidRPr="00784A05" w:rsidRDefault="007F3143" w:rsidP="00E259D7">
            <w:pPr>
              <w:pStyle w:val="TableTitle"/>
            </w:pPr>
            <w:r>
              <w:rPr>
                <w:b w:val="0"/>
              </w:rPr>
              <w:lastRenderedPageBreak/>
              <w:t xml:space="preserve">Table </w:t>
            </w:r>
            <w:r w:rsidR="00034238">
              <w:rPr>
                <w:b w:val="0"/>
              </w:rPr>
              <w:t>4.</w:t>
            </w:r>
            <w:r w:rsidR="00034238">
              <w:rPr>
                <w:b w:val="0"/>
                <w:noProof/>
              </w:rPr>
              <w:t>3</w:t>
            </w:r>
            <w:r>
              <w:tab/>
              <w:t>Concordance between Trade &amp; Assistance industry group and national accounts industry division</w:t>
            </w:r>
          </w:p>
        </w:tc>
      </w:tr>
      <w:tr w:rsidR="007F3143" w:rsidTr="007F3143">
        <w:trPr>
          <w:cantSplit/>
        </w:trPr>
        <w:tc>
          <w:tcPr>
            <w:tcW w:w="12028" w:type="dxa"/>
            <w:tcBorders>
              <w:top w:val="nil"/>
              <w:left w:val="nil"/>
              <w:bottom w:val="nil"/>
              <w:right w:val="nil"/>
            </w:tcBorders>
            <w:shd w:val="clear" w:color="auto" w:fill="auto"/>
          </w:tcPr>
          <w:tbl>
            <w:tblPr>
              <w:tblW w:w="12899" w:type="dxa"/>
              <w:tblInd w:w="121" w:type="dxa"/>
              <w:tblCellMar>
                <w:top w:w="28" w:type="dxa"/>
                <w:left w:w="0" w:type="dxa"/>
                <w:right w:w="0" w:type="dxa"/>
              </w:tblCellMar>
              <w:tblLook w:val="0000" w:firstRow="0" w:lastRow="0" w:firstColumn="0" w:lastColumn="0" w:noHBand="0" w:noVBand="0"/>
            </w:tblPr>
            <w:tblGrid>
              <w:gridCol w:w="3687"/>
              <w:gridCol w:w="3970"/>
              <w:gridCol w:w="5242"/>
            </w:tblGrid>
            <w:tr w:rsidR="007F3143" w:rsidTr="004832A4">
              <w:tc>
                <w:tcPr>
                  <w:tcW w:w="1429" w:type="pct"/>
                  <w:tcBorders>
                    <w:top w:val="single" w:sz="6" w:space="0" w:color="BFBFBF" w:themeColor="background2"/>
                    <w:bottom w:val="single" w:sz="6" w:space="0" w:color="BFBFBF" w:themeColor="background2"/>
                  </w:tcBorders>
                  <w:shd w:val="clear" w:color="auto" w:fill="auto"/>
                  <w:tcMar>
                    <w:top w:w="28" w:type="dxa"/>
                  </w:tcMar>
                </w:tcPr>
                <w:p w:rsidR="007F3143" w:rsidRDefault="007F3143" w:rsidP="00E259D7">
                  <w:pPr>
                    <w:pStyle w:val="TableColumnHeading"/>
                    <w:jc w:val="left"/>
                  </w:pPr>
                  <w:r>
                    <w:t>Trade &amp; Assistance industry group (ANZSIC 2006)</w:t>
                  </w:r>
                </w:p>
              </w:tc>
              <w:tc>
                <w:tcPr>
                  <w:tcW w:w="1539" w:type="pct"/>
                  <w:tcBorders>
                    <w:top w:val="single" w:sz="6" w:space="0" w:color="BFBFBF" w:themeColor="background2"/>
                    <w:bottom w:val="single" w:sz="6" w:space="0" w:color="BFBFBF" w:themeColor="background2"/>
                  </w:tcBorders>
                  <w:shd w:val="clear" w:color="auto" w:fill="auto"/>
                  <w:tcMar>
                    <w:top w:w="28" w:type="dxa"/>
                  </w:tcMar>
                </w:tcPr>
                <w:p w:rsidR="007F3143" w:rsidRDefault="007F3143" w:rsidP="00E259D7">
                  <w:pPr>
                    <w:pStyle w:val="TableColumnHeading"/>
                    <w:ind w:right="28"/>
                    <w:jc w:val="left"/>
                  </w:pPr>
                  <w:r>
                    <w:t>National accounts industry division (ANZSIC 2006)</w:t>
                  </w:r>
                </w:p>
              </w:tc>
              <w:tc>
                <w:tcPr>
                  <w:tcW w:w="2032" w:type="pct"/>
                  <w:tcBorders>
                    <w:top w:val="single" w:sz="6" w:space="0" w:color="BFBFBF" w:themeColor="background2"/>
                    <w:bottom w:val="single" w:sz="6" w:space="0" w:color="BFBFBF" w:themeColor="background2"/>
                  </w:tcBorders>
                </w:tcPr>
                <w:p w:rsidR="007F3143" w:rsidRDefault="007F3143" w:rsidP="00E259D7">
                  <w:pPr>
                    <w:pStyle w:val="TableColumnHeading"/>
                    <w:ind w:right="28"/>
                    <w:jc w:val="left"/>
                  </w:pPr>
                  <w:r>
                    <w:t>Supplementary data</w:t>
                  </w:r>
                </w:p>
              </w:tc>
            </w:tr>
            <w:tr w:rsidR="004832A4" w:rsidTr="00555B57">
              <w:tc>
                <w:tcPr>
                  <w:tcW w:w="1429" w:type="pct"/>
                </w:tcPr>
                <w:p w:rsidR="007F3143" w:rsidRPr="004832A4" w:rsidRDefault="00555B57" w:rsidP="00EF68D0">
                  <w:pPr>
                    <w:pStyle w:val="TableBodyText"/>
                    <w:spacing w:before="80"/>
                    <w:jc w:val="left"/>
                    <w:rPr>
                      <w:szCs w:val="18"/>
                    </w:rPr>
                  </w:pPr>
                  <w:r>
                    <w:rPr>
                      <w:noProof/>
                      <w:szCs w:val="18"/>
                    </w:rPr>
                    <mc:AlternateContent>
                      <mc:Choice Requires="wps">
                        <w:drawing>
                          <wp:anchor distT="0" distB="0" distL="114300" distR="114300" simplePos="0" relativeHeight="251659264" behindDoc="0" locked="0" layoutInCell="1" allowOverlap="1" wp14:anchorId="43E3BD15" wp14:editId="12D9B4E9">
                            <wp:simplePos x="0" y="0"/>
                            <wp:positionH relativeFrom="column">
                              <wp:posOffset>2252345</wp:posOffset>
                            </wp:positionH>
                            <wp:positionV relativeFrom="paragraph">
                              <wp:posOffset>10160</wp:posOffset>
                            </wp:positionV>
                            <wp:extent cx="123825" cy="1285875"/>
                            <wp:effectExtent l="0" t="0" r="28575" b="28575"/>
                            <wp:wrapNone/>
                            <wp:docPr id="1" name="Right Brace 1" descr="Right brace"/>
                            <wp:cNvGraphicFramePr/>
                            <a:graphic xmlns:a="http://schemas.openxmlformats.org/drawingml/2006/main">
                              <a:graphicData uri="http://schemas.microsoft.com/office/word/2010/wordprocessingShape">
                                <wps:wsp>
                                  <wps:cNvSpPr/>
                                  <wps:spPr>
                                    <a:xfrm>
                                      <a:off x="0" y="0"/>
                                      <a:ext cx="123825" cy="128587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alt="Right brace" style="position:absolute;margin-left:177.35pt;margin-top:.8pt;width:9.75pt;height:101.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" adj="173" strokecolor="#71992c [3044]"/>
                        </w:pict>
                      </mc:Fallback>
                    </mc:AlternateContent>
                  </w:r>
                  <w:r w:rsidR="007F3143" w:rsidRPr="004832A4">
                    <w:rPr>
                      <w:szCs w:val="18"/>
                    </w:rPr>
                    <w:t>Horticulture and fruit growing</w:t>
                  </w:r>
                </w:p>
              </w:tc>
              <w:tc>
                <w:tcPr>
                  <w:tcW w:w="1539" w:type="pct"/>
                  <w:vMerge w:val="restart"/>
                  <w:vAlign w:val="center"/>
                </w:tcPr>
                <w:p w:rsidR="007F3143" w:rsidRPr="004832A4" w:rsidRDefault="00555B57" w:rsidP="004832A4">
                  <w:pPr>
                    <w:pStyle w:val="TableBodyText"/>
                    <w:jc w:val="left"/>
                  </w:pPr>
                  <w:r>
                    <w:t xml:space="preserve">   </w:t>
                  </w:r>
                  <w:r w:rsidR="007F3143" w:rsidRPr="004832A4">
                    <w:t xml:space="preserve">Agriculture, Forestry </w:t>
                  </w:r>
                  <w:r w:rsidR="007F3143" w:rsidRPr="004832A4">
                    <w:br/>
                  </w:r>
                  <w:r>
                    <w:t xml:space="preserve">   </w:t>
                  </w:r>
                  <w:r w:rsidR="007F3143" w:rsidRPr="004832A4">
                    <w:t>and Fishing</w:t>
                  </w:r>
                </w:p>
              </w:tc>
              <w:tc>
                <w:tcPr>
                  <w:tcW w:w="2032" w:type="pct"/>
                  <w:vMerge w:val="restart"/>
                  <w:vAlign w:val="center"/>
                </w:tcPr>
                <w:p w:rsidR="007F3143" w:rsidRPr="004832A4" w:rsidRDefault="007F3143" w:rsidP="00555B57">
                  <w:pPr>
                    <w:pStyle w:val="TableBodyText"/>
                    <w:jc w:val="left"/>
                  </w:pPr>
                  <w:r w:rsidRPr="004832A4">
                    <w:t>ABS National Accounts industry gross value added chain volume measures (Cat. No. 5204.0) are used to split agriculture from forestry and fishing</w:t>
                  </w:r>
                  <w:r w:rsidR="00C404BA">
                    <w:t xml:space="preserve"> (combined)</w:t>
                  </w:r>
                  <w:r w:rsidRPr="004832A4">
                    <w:t xml:space="preserve">.  ABS value of agricultural commodities produced (Cat. No. 7503.0) are then used to split agriculture into the Commission's agricultural industry groupings.  The latest available input-output data (Cat. No. 5209.0), currently 2009-10, are used to split the </w:t>
                  </w:r>
                  <w:r w:rsidR="00C404BA">
                    <w:t xml:space="preserve">combined </w:t>
                  </w:r>
                  <w:r w:rsidRPr="004832A4">
                    <w:t>forestry and fishing estimates</w:t>
                  </w:r>
                  <w:r w:rsidR="00C404BA">
                    <w:t xml:space="preserve"> to Aquaculture and fishing and Forestry and logging</w:t>
                  </w:r>
                  <w:r w:rsidRPr="004832A4">
                    <w:t>.</w:t>
                  </w:r>
                </w:p>
              </w:tc>
            </w:tr>
            <w:tr w:rsidR="004832A4" w:rsidTr="004832A4">
              <w:tc>
                <w:tcPr>
                  <w:tcW w:w="1429" w:type="pct"/>
                </w:tcPr>
                <w:p w:rsidR="007F3143" w:rsidRPr="004832A4" w:rsidRDefault="007F3143" w:rsidP="00E259D7">
                  <w:pPr>
                    <w:pStyle w:val="TableBodyText"/>
                    <w:jc w:val="left"/>
                    <w:rPr>
                      <w:szCs w:val="18"/>
                    </w:rPr>
                  </w:pPr>
                  <w:r w:rsidRPr="004832A4">
                    <w:rPr>
                      <w:szCs w:val="18"/>
                    </w:rPr>
                    <w:t>Sheep, beef cattle and grain growing</w:t>
                  </w:r>
                </w:p>
              </w:tc>
              <w:tc>
                <w:tcPr>
                  <w:tcW w:w="1539" w:type="pct"/>
                  <w:vMerge/>
                </w:tcPr>
                <w:p w:rsidR="007F3143" w:rsidRDefault="007F3143" w:rsidP="00E259D7">
                  <w:pPr>
                    <w:pStyle w:val="TableBodyText"/>
                    <w:ind w:left="57" w:right="28"/>
                    <w:jc w:val="left"/>
                  </w:pPr>
                </w:p>
              </w:tc>
              <w:tc>
                <w:tcPr>
                  <w:tcW w:w="2032" w:type="pct"/>
                  <w:vMerge/>
                </w:tcPr>
                <w:p w:rsidR="007F3143" w:rsidRDefault="007F3143" w:rsidP="00E259D7">
                  <w:pPr>
                    <w:pStyle w:val="TableBodyText"/>
                    <w:ind w:left="57" w:right="28"/>
                    <w:jc w:val="left"/>
                  </w:pPr>
                </w:p>
              </w:tc>
            </w:tr>
            <w:tr w:rsidR="004832A4" w:rsidTr="004832A4">
              <w:tc>
                <w:tcPr>
                  <w:tcW w:w="1429" w:type="pct"/>
                </w:tcPr>
                <w:p w:rsidR="007F3143" w:rsidRPr="004832A4" w:rsidRDefault="007F3143" w:rsidP="00E259D7">
                  <w:pPr>
                    <w:pStyle w:val="TableBodyText"/>
                    <w:jc w:val="left"/>
                    <w:rPr>
                      <w:szCs w:val="18"/>
                    </w:rPr>
                  </w:pPr>
                  <w:r w:rsidRPr="004832A4">
                    <w:rPr>
                      <w:szCs w:val="18"/>
                    </w:rPr>
                    <w:t>Other crop growing</w:t>
                  </w:r>
                </w:p>
              </w:tc>
              <w:tc>
                <w:tcPr>
                  <w:tcW w:w="1539" w:type="pct"/>
                  <w:vMerge/>
                </w:tcPr>
                <w:p w:rsidR="007F3143" w:rsidRDefault="007F3143" w:rsidP="00E259D7">
                  <w:pPr>
                    <w:pStyle w:val="TableBodyText"/>
                    <w:ind w:left="57" w:right="28"/>
                    <w:jc w:val="left"/>
                  </w:pPr>
                </w:p>
              </w:tc>
              <w:tc>
                <w:tcPr>
                  <w:tcW w:w="2032" w:type="pct"/>
                  <w:vMerge/>
                </w:tcPr>
                <w:p w:rsidR="007F3143" w:rsidRDefault="007F3143" w:rsidP="00E259D7">
                  <w:pPr>
                    <w:pStyle w:val="TableBodyText"/>
                    <w:ind w:left="57" w:right="28"/>
                    <w:jc w:val="left"/>
                  </w:pPr>
                </w:p>
              </w:tc>
            </w:tr>
            <w:tr w:rsidR="004832A4" w:rsidTr="004832A4">
              <w:tc>
                <w:tcPr>
                  <w:tcW w:w="1429" w:type="pct"/>
                </w:tcPr>
                <w:p w:rsidR="007F3143" w:rsidRPr="004832A4" w:rsidRDefault="007F3143" w:rsidP="00E259D7">
                  <w:pPr>
                    <w:pStyle w:val="TableBodyText"/>
                    <w:jc w:val="left"/>
                    <w:rPr>
                      <w:szCs w:val="18"/>
                    </w:rPr>
                  </w:pPr>
                  <w:r w:rsidRPr="004832A4">
                    <w:rPr>
                      <w:szCs w:val="18"/>
                    </w:rPr>
                    <w:t>Dairy cattle farming</w:t>
                  </w:r>
                </w:p>
              </w:tc>
              <w:tc>
                <w:tcPr>
                  <w:tcW w:w="1539" w:type="pct"/>
                  <w:vMerge/>
                </w:tcPr>
                <w:p w:rsidR="007F3143" w:rsidRPr="001E792A" w:rsidRDefault="007F3143" w:rsidP="00E259D7">
                  <w:pPr>
                    <w:pStyle w:val="TableBodyText"/>
                    <w:ind w:left="57"/>
                    <w:jc w:val="left"/>
                  </w:pPr>
                </w:p>
              </w:tc>
              <w:tc>
                <w:tcPr>
                  <w:tcW w:w="2032" w:type="pct"/>
                  <w:vMerge/>
                </w:tcPr>
                <w:p w:rsidR="007F3143" w:rsidRPr="001E792A" w:rsidRDefault="007F3143" w:rsidP="00E259D7">
                  <w:pPr>
                    <w:pStyle w:val="TableBodyText"/>
                    <w:ind w:left="57"/>
                    <w:jc w:val="left"/>
                  </w:pPr>
                </w:p>
              </w:tc>
            </w:tr>
            <w:tr w:rsidR="004832A4" w:rsidTr="004832A4">
              <w:tc>
                <w:tcPr>
                  <w:tcW w:w="1429" w:type="pct"/>
                </w:tcPr>
                <w:p w:rsidR="007F3143" w:rsidRPr="004832A4" w:rsidRDefault="007F3143" w:rsidP="00E259D7">
                  <w:pPr>
                    <w:pStyle w:val="TableBodyText"/>
                    <w:jc w:val="left"/>
                    <w:rPr>
                      <w:szCs w:val="18"/>
                    </w:rPr>
                  </w:pPr>
                  <w:r w:rsidRPr="004832A4">
                    <w:rPr>
                      <w:szCs w:val="18"/>
                    </w:rPr>
                    <w:t>Other livestock farming</w:t>
                  </w:r>
                </w:p>
              </w:tc>
              <w:tc>
                <w:tcPr>
                  <w:tcW w:w="1539" w:type="pct"/>
                  <w:vMerge/>
                </w:tcPr>
                <w:p w:rsidR="007F3143" w:rsidRPr="001E792A" w:rsidRDefault="007F3143" w:rsidP="00E259D7">
                  <w:pPr>
                    <w:pStyle w:val="TableBodyText"/>
                    <w:ind w:left="57"/>
                    <w:jc w:val="left"/>
                  </w:pPr>
                </w:p>
              </w:tc>
              <w:tc>
                <w:tcPr>
                  <w:tcW w:w="2032" w:type="pct"/>
                  <w:vMerge/>
                </w:tcPr>
                <w:p w:rsidR="007F3143" w:rsidRPr="001E792A" w:rsidRDefault="007F3143" w:rsidP="00E259D7">
                  <w:pPr>
                    <w:pStyle w:val="TableBodyText"/>
                    <w:ind w:left="57"/>
                    <w:jc w:val="left"/>
                  </w:pPr>
                </w:p>
              </w:tc>
            </w:tr>
            <w:tr w:rsidR="004832A4" w:rsidTr="004832A4">
              <w:tc>
                <w:tcPr>
                  <w:tcW w:w="1429" w:type="pct"/>
                </w:tcPr>
                <w:p w:rsidR="007F3143" w:rsidRPr="004832A4" w:rsidRDefault="007F3143" w:rsidP="00E259D7">
                  <w:pPr>
                    <w:pStyle w:val="TableBodyText"/>
                    <w:jc w:val="left"/>
                    <w:rPr>
                      <w:szCs w:val="18"/>
                    </w:rPr>
                  </w:pPr>
                  <w:r w:rsidRPr="004832A4">
                    <w:rPr>
                      <w:szCs w:val="18"/>
                    </w:rPr>
                    <w:t>Aquaculture and fishing</w:t>
                  </w:r>
                </w:p>
              </w:tc>
              <w:tc>
                <w:tcPr>
                  <w:tcW w:w="1539" w:type="pct"/>
                  <w:vMerge/>
                </w:tcPr>
                <w:p w:rsidR="007F3143" w:rsidRPr="001E792A" w:rsidRDefault="007F3143" w:rsidP="00E259D7">
                  <w:pPr>
                    <w:pStyle w:val="TableBodyText"/>
                    <w:ind w:left="57"/>
                    <w:jc w:val="left"/>
                  </w:pPr>
                </w:p>
              </w:tc>
              <w:tc>
                <w:tcPr>
                  <w:tcW w:w="2032" w:type="pct"/>
                  <w:vMerge/>
                </w:tcPr>
                <w:p w:rsidR="007F3143" w:rsidRPr="001E792A" w:rsidRDefault="007F3143" w:rsidP="00E259D7">
                  <w:pPr>
                    <w:pStyle w:val="TableBodyText"/>
                    <w:ind w:left="57"/>
                    <w:jc w:val="left"/>
                  </w:pPr>
                </w:p>
              </w:tc>
            </w:tr>
            <w:tr w:rsidR="004832A4" w:rsidTr="004832A4">
              <w:tc>
                <w:tcPr>
                  <w:tcW w:w="1429" w:type="pct"/>
                </w:tcPr>
                <w:p w:rsidR="007F3143" w:rsidRPr="004832A4" w:rsidRDefault="007F3143" w:rsidP="00E259D7">
                  <w:pPr>
                    <w:pStyle w:val="TableBodyText"/>
                    <w:jc w:val="left"/>
                    <w:rPr>
                      <w:szCs w:val="18"/>
                    </w:rPr>
                  </w:pPr>
                  <w:r w:rsidRPr="004832A4">
                    <w:rPr>
                      <w:szCs w:val="18"/>
                    </w:rPr>
                    <w:t>Forestry and logging</w:t>
                  </w:r>
                </w:p>
              </w:tc>
              <w:tc>
                <w:tcPr>
                  <w:tcW w:w="1539" w:type="pct"/>
                  <w:vMerge/>
                </w:tcPr>
                <w:p w:rsidR="007F3143" w:rsidRPr="001E792A" w:rsidRDefault="007F3143" w:rsidP="00E259D7">
                  <w:pPr>
                    <w:pStyle w:val="TableBodyText"/>
                    <w:ind w:left="57"/>
                    <w:jc w:val="left"/>
                  </w:pPr>
                </w:p>
              </w:tc>
              <w:tc>
                <w:tcPr>
                  <w:tcW w:w="2032" w:type="pct"/>
                  <w:vMerge/>
                </w:tcPr>
                <w:p w:rsidR="007F3143" w:rsidRPr="001E792A" w:rsidRDefault="007F3143" w:rsidP="00E259D7">
                  <w:pPr>
                    <w:pStyle w:val="TableBodyText"/>
                    <w:ind w:left="57"/>
                    <w:jc w:val="left"/>
                  </w:pPr>
                </w:p>
              </w:tc>
            </w:tr>
            <w:tr w:rsidR="004832A4" w:rsidTr="004832A4">
              <w:tc>
                <w:tcPr>
                  <w:tcW w:w="1429" w:type="pct"/>
                </w:tcPr>
                <w:p w:rsidR="007F3143" w:rsidRPr="004832A4" w:rsidRDefault="007F3143" w:rsidP="00E259D7">
                  <w:pPr>
                    <w:pStyle w:val="TableBodyText"/>
                    <w:jc w:val="left"/>
                    <w:rPr>
                      <w:szCs w:val="18"/>
                    </w:rPr>
                  </w:pPr>
                  <w:r w:rsidRPr="004832A4">
                    <w:rPr>
                      <w:szCs w:val="18"/>
                    </w:rPr>
                    <w:t>Primary production support services</w:t>
                  </w:r>
                </w:p>
              </w:tc>
              <w:tc>
                <w:tcPr>
                  <w:tcW w:w="1539" w:type="pct"/>
                  <w:vMerge/>
                </w:tcPr>
                <w:p w:rsidR="007F3143" w:rsidRPr="001E792A" w:rsidRDefault="007F3143" w:rsidP="00E259D7">
                  <w:pPr>
                    <w:pStyle w:val="TableBodyText"/>
                    <w:ind w:left="57"/>
                    <w:jc w:val="left"/>
                  </w:pPr>
                </w:p>
              </w:tc>
              <w:tc>
                <w:tcPr>
                  <w:tcW w:w="2032" w:type="pct"/>
                  <w:vMerge/>
                </w:tcPr>
                <w:p w:rsidR="007F3143" w:rsidRPr="001E792A" w:rsidRDefault="007F3143" w:rsidP="00E259D7">
                  <w:pPr>
                    <w:pStyle w:val="TableBodyText"/>
                    <w:ind w:left="57"/>
                    <w:jc w:val="left"/>
                  </w:pPr>
                </w:p>
              </w:tc>
            </w:tr>
            <w:tr w:rsidR="007F3143" w:rsidTr="004832A4">
              <w:tc>
                <w:tcPr>
                  <w:tcW w:w="1429" w:type="pct"/>
                </w:tcPr>
                <w:p w:rsidR="007F3143" w:rsidRPr="004832A4" w:rsidRDefault="007F3143" w:rsidP="00E259D7">
                  <w:pPr>
                    <w:pStyle w:val="TableBodyText"/>
                    <w:jc w:val="left"/>
                    <w:rPr>
                      <w:szCs w:val="18"/>
                    </w:rPr>
                  </w:pPr>
                  <w:r w:rsidRPr="004832A4">
                    <w:rPr>
                      <w:szCs w:val="18"/>
                    </w:rPr>
                    <w:t>Mining</w:t>
                  </w:r>
                </w:p>
              </w:tc>
              <w:tc>
                <w:tcPr>
                  <w:tcW w:w="1539" w:type="pct"/>
                </w:tcPr>
                <w:p w:rsidR="007F3143" w:rsidRPr="001E792A" w:rsidRDefault="00555B57" w:rsidP="00E259D7">
                  <w:pPr>
                    <w:pStyle w:val="TableBodyText"/>
                    <w:ind w:left="57"/>
                    <w:jc w:val="left"/>
                  </w:pPr>
                  <w:r>
                    <w:t xml:space="preserve">   </w:t>
                  </w:r>
                  <w:r w:rsidR="007F3143">
                    <w:t>Mining</w:t>
                  </w:r>
                </w:p>
              </w:tc>
              <w:tc>
                <w:tcPr>
                  <w:tcW w:w="2032" w:type="pct"/>
                </w:tcPr>
                <w:p w:rsidR="007F3143" w:rsidRPr="001E792A" w:rsidRDefault="007F3143" w:rsidP="00E259D7">
                  <w:pPr>
                    <w:pStyle w:val="TableBodyText"/>
                    <w:ind w:left="57"/>
                    <w:jc w:val="left"/>
                  </w:pPr>
                </w:p>
              </w:tc>
            </w:tr>
            <w:tr w:rsidR="004832A4" w:rsidTr="00555B57">
              <w:tc>
                <w:tcPr>
                  <w:tcW w:w="1429" w:type="pct"/>
                  <w:vAlign w:val="bottom"/>
                </w:tcPr>
                <w:p w:rsidR="004832A4" w:rsidRPr="004832A4" w:rsidRDefault="00555B57" w:rsidP="004832A4">
                  <w:pPr>
                    <w:pStyle w:val="TableBodyText"/>
                    <w:jc w:val="left"/>
                    <w:rPr>
                      <w:szCs w:val="18"/>
                    </w:rPr>
                  </w:pPr>
                  <w:r>
                    <w:rPr>
                      <w:noProof/>
                      <w:szCs w:val="18"/>
                    </w:rPr>
                    <mc:AlternateContent>
                      <mc:Choice Requires="wps">
                        <w:drawing>
                          <wp:anchor distT="0" distB="0" distL="114300" distR="114300" simplePos="0" relativeHeight="251661312" behindDoc="0" locked="0" layoutInCell="1" allowOverlap="1" wp14:anchorId="44FDFFCC" wp14:editId="5F4B14F1">
                            <wp:simplePos x="0" y="0"/>
                            <wp:positionH relativeFrom="column">
                              <wp:posOffset>2255520</wp:posOffset>
                            </wp:positionH>
                            <wp:positionV relativeFrom="paragraph">
                              <wp:posOffset>10795</wp:posOffset>
                            </wp:positionV>
                            <wp:extent cx="123825" cy="1809750"/>
                            <wp:effectExtent l="0" t="0" r="28575" b="19050"/>
                            <wp:wrapNone/>
                            <wp:docPr id="2" name="Right Brace 2" descr="Right brace"/>
                            <wp:cNvGraphicFramePr/>
                            <a:graphic xmlns:a="http://schemas.openxmlformats.org/drawingml/2006/main">
                              <a:graphicData uri="http://schemas.microsoft.com/office/word/2010/wordprocessingShape">
                                <wps:wsp>
                                  <wps:cNvSpPr/>
                                  <wps:spPr>
                                    <a:xfrm>
                                      <a:off x="0" y="0"/>
                                      <a:ext cx="123825" cy="180975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e 2" o:spid="_x0000_s1026" type="#_x0000_t88" alt="Right brace" style="position:absolute;margin-left:177.6pt;margin-top:.85pt;width:9.75pt;height:1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" adj="123" strokecolor="#71992c [3044]"/>
                        </w:pict>
                      </mc:Fallback>
                    </mc:AlternateContent>
                  </w:r>
                  <w:r w:rsidR="004832A4" w:rsidRPr="004832A4">
                    <w:rPr>
                      <w:szCs w:val="18"/>
                    </w:rPr>
                    <w:t>Food, beverages and tobacco</w:t>
                  </w:r>
                </w:p>
              </w:tc>
              <w:tc>
                <w:tcPr>
                  <w:tcW w:w="1539" w:type="pct"/>
                  <w:vMerge w:val="restart"/>
                  <w:vAlign w:val="center"/>
                </w:tcPr>
                <w:p w:rsidR="004832A4" w:rsidRPr="001E792A" w:rsidRDefault="00555B57" w:rsidP="00555B57">
                  <w:pPr>
                    <w:pStyle w:val="TableBodyText"/>
                    <w:ind w:left="57"/>
                    <w:jc w:val="left"/>
                  </w:pPr>
                  <w:r>
                    <w:t xml:space="preserve">   </w:t>
                  </w:r>
                  <w:r w:rsidR="004832A4">
                    <w:t>Manufacturing</w:t>
                  </w:r>
                </w:p>
              </w:tc>
              <w:tc>
                <w:tcPr>
                  <w:tcW w:w="2032" w:type="pct"/>
                  <w:vMerge w:val="restart"/>
                  <w:vAlign w:val="center"/>
                </w:tcPr>
                <w:p w:rsidR="004832A4" w:rsidRPr="004832A4" w:rsidRDefault="004832A4" w:rsidP="00C404BA">
                  <w:pPr>
                    <w:rPr>
                      <w:rFonts w:ascii="Arial" w:hAnsi="Arial" w:cs="Arial"/>
                      <w:color w:val="000000"/>
                      <w:sz w:val="18"/>
                      <w:szCs w:val="18"/>
                    </w:rPr>
                  </w:pPr>
                  <w:r w:rsidRPr="004832A4">
                    <w:rPr>
                      <w:rFonts w:ascii="Arial" w:hAnsi="Arial" w:cs="Arial"/>
                      <w:color w:val="000000"/>
                      <w:sz w:val="18"/>
                      <w:szCs w:val="18"/>
                    </w:rPr>
                    <w:t>ABS National Accounts gross value added chain volume measures (Cat. No. 5204.0) are used to split most of the manufacturing industries into the Commission's ANZSIC-based industry groupings. Detailed information, however, is not available for</w:t>
                  </w:r>
                  <w:r w:rsidR="00C404BA">
                    <w:rPr>
                      <w:rFonts w:ascii="Arial" w:hAnsi="Arial" w:cs="Arial"/>
                      <w:color w:val="000000"/>
                      <w:sz w:val="18"/>
                      <w:szCs w:val="18"/>
                    </w:rPr>
                    <w:t>:</w:t>
                  </w:r>
                  <w:r w:rsidRPr="004832A4">
                    <w:rPr>
                      <w:rFonts w:ascii="Arial" w:hAnsi="Arial" w:cs="Arial"/>
                      <w:color w:val="000000"/>
                      <w:sz w:val="18"/>
                      <w:szCs w:val="18"/>
                    </w:rPr>
                    <w:t xml:space="preserve"> motor vehicles and parts; other transport equipment</w:t>
                  </w:r>
                  <w:r w:rsidR="00C404BA">
                    <w:rPr>
                      <w:rFonts w:ascii="Arial" w:hAnsi="Arial" w:cs="Arial"/>
                      <w:color w:val="000000"/>
                      <w:sz w:val="18"/>
                      <w:szCs w:val="18"/>
                    </w:rPr>
                    <w:t xml:space="preserve">; </w:t>
                  </w:r>
                  <w:r w:rsidRPr="004832A4">
                    <w:rPr>
                      <w:rFonts w:ascii="Arial" w:hAnsi="Arial" w:cs="Arial"/>
                      <w:color w:val="000000"/>
                      <w:sz w:val="18"/>
                      <w:szCs w:val="18"/>
                    </w:rPr>
                    <w:t>machinery and equipment manufacturing</w:t>
                  </w:r>
                  <w:r w:rsidR="00C404BA">
                    <w:rPr>
                      <w:rFonts w:ascii="Arial" w:hAnsi="Arial" w:cs="Arial"/>
                      <w:color w:val="000000"/>
                      <w:sz w:val="18"/>
                      <w:szCs w:val="18"/>
                    </w:rPr>
                    <w:t>;</w:t>
                  </w:r>
                  <w:r w:rsidRPr="004832A4">
                    <w:rPr>
                      <w:rFonts w:ascii="Arial" w:hAnsi="Arial" w:cs="Arial"/>
                      <w:color w:val="000000"/>
                      <w:sz w:val="18"/>
                      <w:szCs w:val="18"/>
                    </w:rPr>
                    <w:t xml:space="preserve"> and furniture and other manufacturing. These industry groups are split into the Commission's ANZSIC-based industry groupings using the latest available, 2009-10, ABS input-output data (Cat. No. 5209.0). </w:t>
                  </w:r>
                </w:p>
              </w:tc>
            </w:tr>
            <w:tr w:rsidR="004832A4" w:rsidTr="004832A4">
              <w:tc>
                <w:tcPr>
                  <w:tcW w:w="1429" w:type="pct"/>
                  <w:vAlign w:val="bottom"/>
                </w:tcPr>
                <w:p w:rsidR="004832A4" w:rsidRPr="004832A4" w:rsidRDefault="004832A4" w:rsidP="004832A4">
                  <w:pPr>
                    <w:pStyle w:val="TableBodyText"/>
                    <w:jc w:val="left"/>
                    <w:rPr>
                      <w:szCs w:val="18"/>
                    </w:rPr>
                  </w:pPr>
                  <w:r w:rsidRPr="004832A4">
                    <w:rPr>
                      <w:szCs w:val="18"/>
                    </w:rPr>
                    <w:t>Textile, clothing, footwear and leather</w:t>
                  </w:r>
                </w:p>
              </w:tc>
              <w:tc>
                <w:tcPr>
                  <w:tcW w:w="1539" w:type="pct"/>
                  <w:vMerge/>
                  <w:vAlign w:val="center"/>
                </w:tcPr>
                <w:p w:rsidR="004832A4" w:rsidRPr="001E792A" w:rsidRDefault="004832A4" w:rsidP="00E259D7">
                  <w:pPr>
                    <w:pStyle w:val="TableBodyText"/>
                    <w:ind w:left="57"/>
                    <w:jc w:val="left"/>
                  </w:pPr>
                </w:p>
              </w:tc>
              <w:tc>
                <w:tcPr>
                  <w:tcW w:w="2032" w:type="pct"/>
                  <w:vMerge/>
                  <w:vAlign w:val="center"/>
                </w:tcPr>
                <w:p w:rsidR="004832A4" w:rsidRPr="001E792A" w:rsidRDefault="004832A4" w:rsidP="00E259D7">
                  <w:pPr>
                    <w:pStyle w:val="TableBodyText"/>
                    <w:ind w:left="57"/>
                    <w:jc w:val="left"/>
                  </w:pPr>
                </w:p>
              </w:tc>
            </w:tr>
            <w:tr w:rsidR="004832A4" w:rsidTr="003E2542">
              <w:tc>
                <w:tcPr>
                  <w:tcW w:w="1429" w:type="pct"/>
                  <w:vAlign w:val="bottom"/>
                </w:tcPr>
                <w:p w:rsidR="004832A4" w:rsidRPr="004832A4" w:rsidRDefault="004832A4" w:rsidP="004832A4">
                  <w:pPr>
                    <w:pStyle w:val="TableBodyText"/>
                    <w:jc w:val="left"/>
                    <w:rPr>
                      <w:szCs w:val="18"/>
                    </w:rPr>
                  </w:pPr>
                  <w:r w:rsidRPr="004832A4">
                    <w:rPr>
                      <w:szCs w:val="18"/>
                    </w:rPr>
                    <w:t>Wood and paper products</w:t>
                  </w:r>
                </w:p>
              </w:tc>
              <w:tc>
                <w:tcPr>
                  <w:tcW w:w="1539" w:type="pct"/>
                  <w:vMerge/>
                </w:tcPr>
                <w:p w:rsidR="004832A4" w:rsidRDefault="004832A4" w:rsidP="00E259D7">
                  <w:pPr>
                    <w:pStyle w:val="TableBodyText"/>
                    <w:ind w:left="57"/>
                    <w:jc w:val="left"/>
                  </w:pPr>
                </w:p>
              </w:tc>
              <w:tc>
                <w:tcPr>
                  <w:tcW w:w="2032" w:type="pct"/>
                  <w:vMerge/>
                  <w:vAlign w:val="center"/>
                </w:tcPr>
                <w:p w:rsidR="004832A4" w:rsidRPr="00107644" w:rsidRDefault="004832A4" w:rsidP="00E259D7">
                  <w:pPr>
                    <w:pStyle w:val="TableBodyText"/>
                    <w:ind w:left="57"/>
                    <w:jc w:val="left"/>
                  </w:pPr>
                </w:p>
              </w:tc>
            </w:tr>
            <w:tr w:rsidR="004832A4" w:rsidTr="003E2542">
              <w:tc>
                <w:tcPr>
                  <w:tcW w:w="1429" w:type="pct"/>
                  <w:shd w:val="clear" w:color="auto" w:fill="auto"/>
                  <w:vAlign w:val="bottom"/>
                </w:tcPr>
                <w:p w:rsidR="004832A4" w:rsidRPr="004832A4" w:rsidRDefault="004832A4" w:rsidP="004832A4">
                  <w:pPr>
                    <w:pStyle w:val="TableBodyText"/>
                    <w:jc w:val="left"/>
                    <w:rPr>
                      <w:szCs w:val="18"/>
                    </w:rPr>
                  </w:pPr>
                  <w:r w:rsidRPr="004832A4">
                    <w:rPr>
                      <w:szCs w:val="18"/>
                    </w:rPr>
                    <w:t>Printing and recorded media</w:t>
                  </w:r>
                </w:p>
              </w:tc>
              <w:tc>
                <w:tcPr>
                  <w:tcW w:w="1539" w:type="pct"/>
                  <w:vMerge/>
                  <w:shd w:val="clear" w:color="auto" w:fill="auto"/>
                </w:tcPr>
                <w:p w:rsidR="004832A4" w:rsidRDefault="004832A4" w:rsidP="00E259D7">
                  <w:pPr>
                    <w:pStyle w:val="TableBodyText"/>
                    <w:ind w:left="57" w:right="28"/>
                    <w:jc w:val="left"/>
                  </w:pPr>
                </w:p>
              </w:tc>
              <w:tc>
                <w:tcPr>
                  <w:tcW w:w="2032" w:type="pct"/>
                  <w:vMerge/>
                  <w:vAlign w:val="center"/>
                </w:tcPr>
                <w:p w:rsidR="004832A4" w:rsidRDefault="004832A4" w:rsidP="00E259D7">
                  <w:pPr>
                    <w:pStyle w:val="TableBodyText"/>
                    <w:ind w:left="57" w:right="28"/>
                    <w:jc w:val="left"/>
                  </w:pPr>
                </w:p>
              </w:tc>
            </w:tr>
            <w:tr w:rsidR="004832A4" w:rsidTr="003E2542">
              <w:tc>
                <w:tcPr>
                  <w:tcW w:w="1429" w:type="pct"/>
                  <w:shd w:val="clear" w:color="auto" w:fill="auto"/>
                  <w:vAlign w:val="bottom"/>
                </w:tcPr>
                <w:p w:rsidR="004832A4" w:rsidRPr="004832A4" w:rsidRDefault="004832A4" w:rsidP="004832A4">
                  <w:pPr>
                    <w:pStyle w:val="TableBodyText"/>
                    <w:jc w:val="left"/>
                    <w:rPr>
                      <w:szCs w:val="18"/>
                    </w:rPr>
                  </w:pPr>
                  <w:r w:rsidRPr="004832A4">
                    <w:rPr>
                      <w:szCs w:val="18"/>
                    </w:rPr>
                    <w:t>Petroleum, coal, chemical and associated products</w:t>
                  </w:r>
                </w:p>
              </w:tc>
              <w:tc>
                <w:tcPr>
                  <w:tcW w:w="1539" w:type="pct"/>
                  <w:vMerge/>
                  <w:shd w:val="clear" w:color="auto" w:fill="auto"/>
                </w:tcPr>
                <w:p w:rsidR="004832A4" w:rsidRDefault="004832A4" w:rsidP="00E259D7">
                  <w:pPr>
                    <w:pStyle w:val="TableBodyText"/>
                    <w:ind w:left="57" w:right="28"/>
                    <w:jc w:val="left"/>
                  </w:pPr>
                </w:p>
              </w:tc>
              <w:tc>
                <w:tcPr>
                  <w:tcW w:w="2032" w:type="pct"/>
                  <w:vMerge/>
                  <w:vAlign w:val="center"/>
                </w:tcPr>
                <w:p w:rsidR="004832A4" w:rsidRDefault="004832A4" w:rsidP="00E259D7">
                  <w:pPr>
                    <w:pStyle w:val="TableBodyText"/>
                    <w:ind w:left="57" w:right="28"/>
                    <w:jc w:val="left"/>
                  </w:pPr>
                </w:p>
              </w:tc>
            </w:tr>
            <w:tr w:rsidR="004832A4" w:rsidTr="003E2542">
              <w:tc>
                <w:tcPr>
                  <w:tcW w:w="1429" w:type="pct"/>
                  <w:shd w:val="clear" w:color="auto" w:fill="auto"/>
                  <w:vAlign w:val="bottom"/>
                </w:tcPr>
                <w:p w:rsidR="004832A4" w:rsidRPr="004832A4" w:rsidRDefault="004832A4">
                  <w:pPr>
                    <w:rPr>
                      <w:rFonts w:ascii="Arial" w:hAnsi="Arial" w:cs="Arial"/>
                      <w:color w:val="000000"/>
                      <w:sz w:val="18"/>
                      <w:szCs w:val="18"/>
                    </w:rPr>
                  </w:pPr>
                  <w:r w:rsidRPr="004832A4">
                    <w:rPr>
                      <w:rFonts w:ascii="Arial" w:hAnsi="Arial" w:cs="Arial"/>
                      <w:color w:val="000000"/>
                      <w:sz w:val="18"/>
                      <w:szCs w:val="18"/>
                    </w:rPr>
                    <w:t>Non-metallic mineral products</w:t>
                  </w:r>
                </w:p>
              </w:tc>
              <w:tc>
                <w:tcPr>
                  <w:tcW w:w="1539" w:type="pct"/>
                  <w:vMerge/>
                  <w:shd w:val="clear" w:color="auto" w:fill="auto"/>
                </w:tcPr>
                <w:p w:rsidR="004832A4" w:rsidRDefault="004832A4" w:rsidP="00E259D7">
                  <w:pPr>
                    <w:pStyle w:val="TableBodyText"/>
                    <w:ind w:left="57" w:right="28"/>
                    <w:jc w:val="left"/>
                  </w:pPr>
                </w:p>
              </w:tc>
              <w:tc>
                <w:tcPr>
                  <w:tcW w:w="2032" w:type="pct"/>
                  <w:vMerge/>
                  <w:vAlign w:val="center"/>
                </w:tcPr>
                <w:p w:rsidR="004832A4" w:rsidRDefault="004832A4" w:rsidP="00E259D7">
                  <w:pPr>
                    <w:pStyle w:val="TableBodyText"/>
                    <w:ind w:left="57" w:right="28"/>
                    <w:jc w:val="left"/>
                  </w:pPr>
                </w:p>
              </w:tc>
            </w:tr>
            <w:tr w:rsidR="004832A4" w:rsidTr="003E2542">
              <w:tc>
                <w:tcPr>
                  <w:tcW w:w="1429" w:type="pct"/>
                  <w:shd w:val="clear" w:color="auto" w:fill="auto"/>
                  <w:vAlign w:val="bottom"/>
                </w:tcPr>
                <w:p w:rsidR="004832A4" w:rsidRPr="004832A4" w:rsidRDefault="004832A4">
                  <w:pPr>
                    <w:rPr>
                      <w:rFonts w:ascii="Arial" w:hAnsi="Arial" w:cs="Arial"/>
                      <w:color w:val="000000"/>
                      <w:sz w:val="18"/>
                      <w:szCs w:val="18"/>
                    </w:rPr>
                  </w:pPr>
                  <w:r w:rsidRPr="004832A4">
                    <w:rPr>
                      <w:rFonts w:ascii="Arial" w:hAnsi="Arial" w:cs="Arial"/>
                      <w:color w:val="000000"/>
                      <w:sz w:val="18"/>
                      <w:szCs w:val="18"/>
                    </w:rPr>
                    <w:t>Metal and fabricated metal products</w:t>
                  </w:r>
                </w:p>
              </w:tc>
              <w:tc>
                <w:tcPr>
                  <w:tcW w:w="1539" w:type="pct"/>
                  <w:vMerge/>
                  <w:shd w:val="clear" w:color="auto" w:fill="auto"/>
                </w:tcPr>
                <w:p w:rsidR="004832A4" w:rsidRDefault="004832A4" w:rsidP="00E259D7">
                  <w:pPr>
                    <w:pStyle w:val="TableBodyText"/>
                    <w:ind w:left="57" w:right="28"/>
                    <w:jc w:val="left"/>
                  </w:pPr>
                </w:p>
              </w:tc>
              <w:tc>
                <w:tcPr>
                  <w:tcW w:w="2032" w:type="pct"/>
                  <w:vMerge/>
                  <w:vAlign w:val="center"/>
                </w:tcPr>
                <w:p w:rsidR="004832A4" w:rsidRDefault="004832A4" w:rsidP="00E259D7">
                  <w:pPr>
                    <w:pStyle w:val="TableBodyText"/>
                    <w:ind w:left="57" w:right="28"/>
                    <w:jc w:val="left"/>
                  </w:pPr>
                </w:p>
              </w:tc>
            </w:tr>
            <w:tr w:rsidR="004832A4" w:rsidTr="003E2542">
              <w:tc>
                <w:tcPr>
                  <w:tcW w:w="1429" w:type="pct"/>
                  <w:shd w:val="clear" w:color="auto" w:fill="auto"/>
                  <w:vAlign w:val="bottom"/>
                </w:tcPr>
                <w:p w:rsidR="004832A4" w:rsidRPr="004832A4" w:rsidRDefault="004832A4">
                  <w:pPr>
                    <w:rPr>
                      <w:rFonts w:ascii="Arial" w:hAnsi="Arial" w:cs="Arial"/>
                      <w:color w:val="000000"/>
                      <w:sz w:val="18"/>
                      <w:szCs w:val="18"/>
                    </w:rPr>
                  </w:pPr>
                  <w:r w:rsidRPr="004832A4">
                    <w:rPr>
                      <w:rFonts w:ascii="Arial" w:hAnsi="Arial" w:cs="Arial"/>
                      <w:color w:val="000000"/>
                      <w:sz w:val="18"/>
                      <w:szCs w:val="18"/>
                    </w:rPr>
                    <w:t>Motor vehicles and parts</w:t>
                  </w:r>
                </w:p>
              </w:tc>
              <w:tc>
                <w:tcPr>
                  <w:tcW w:w="1539" w:type="pct"/>
                  <w:vMerge/>
                  <w:shd w:val="clear" w:color="auto" w:fill="auto"/>
                </w:tcPr>
                <w:p w:rsidR="004832A4" w:rsidRDefault="004832A4" w:rsidP="00E259D7">
                  <w:pPr>
                    <w:pStyle w:val="TableBodyText"/>
                    <w:ind w:left="57" w:right="28"/>
                    <w:jc w:val="left"/>
                  </w:pPr>
                </w:p>
              </w:tc>
              <w:tc>
                <w:tcPr>
                  <w:tcW w:w="2032" w:type="pct"/>
                  <w:vMerge/>
                  <w:vAlign w:val="center"/>
                </w:tcPr>
                <w:p w:rsidR="004832A4" w:rsidRDefault="004832A4" w:rsidP="00E259D7">
                  <w:pPr>
                    <w:pStyle w:val="TableBodyText"/>
                    <w:ind w:left="57" w:right="28"/>
                    <w:jc w:val="left"/>
                  </w:pPr>
                </w:p>
              </w:tc>
            </w:tr>
            <w:tr w:rsidR="004832A4" w:rsidTr="003E2542">
              <w:tc>
                <w:tcPr>
                  <w:tcW w:w="1429" w:type="pct"/>
                  <w:shd w:val="clear" w:color="auto" w:fill="auto"/>
                  <w:vAlign w:val="bottom"/>
                </w:tcPr>
                <w:p w:rsidR="004832A4" w:rsidRPr="004832A4" w:rsidRDefault="004832A4">
                  <w:pPr>
                    <w:rPr>
                      <w:rFonts w:ascii="Arial" w:hAnsi="Arial" w:cs="Arial"/>
                      <w:color w:val="000000"/>
                      <w:sz w:val="18"/>
                      <w:szCs w:val="18"/>
                    </w:rPr>
                  </w:pPr>
                  <w:r w:rsidRPr="004832A4">
                    <w:rPr>
                      <w:rFonts w:ascii="Arial" w:hAnsi="Arial" w:cs="Arial"/>
                      <w:color w:val="000000"/>
                      <w:sz w:val="18"/>
                      <w:szCs w:val="18"/>
                    </w:rPr>
                    <w:t>Other transport equipment</w:t>
                  </w:r>
                </w:p>
              </w:tc>
              <w:tc>
                <w:tcPr>
                  <w:tcW w:w="1539" w:type="pct"/>
                  <w:vMerge/>
                  <w:shd w:val="clear" w:color="auto" w:fill="auto"/>
                </w:tcPr>
                <w:p w:rsidR="004832A4" w:rsidRDefault="004832A4" w:rsidP="00E259D7">
                  <w:pPr>
                    <w:pStyle w:val="TableBodyText"/>
                    <w:ind w:left="57" w:right="28"/>
                    <w:jc w:val="left"/>
                  </w:pPr>
                </w:p>
              </w:tc>
              <w:tc>
                <w:tcPr>
                  <w:tcW w:w="2032" w:type="pct"/>
                  <w:vMerge/>
                  <w:vAlign w:val="center"/>
                </w:tcPr>
                <w:p w:rsidR="004832A4" w:rsidRDefault="004832A4" w:rsidP="00E259D7">
                  <w:pPr>
                    <w:pStyle w:val="TableBodyText"/>
                    <w:ind w:left="57" w:right="28"/>
                    <w:jc w:val="left"/>
                  </w:pPr>
                </w:p>
              </w:tc>
            </w:tr>
            <w:tr w:rsidR="004832A4" w:rsidTr="003E2542">
              <w:tc>
                <w:tcPr>
                  <w:tcW w:w="1429" w:type="pct"/>
                  <w:shd w:val="clear" w:color="auto" w:fill="auto"/>
                  <w:vAlign w:val="bottom"/>
                </w:tcPr>
                <w:p w:rsidR="004832A4" w:rsidRPr="004832A4" w:rsidRDefault="004832A4">
                  <w:pPr>
                    <w:rPr>
                      <w:rFonts w:ascii="Arial" w:hAnsi="Arial" w:cs="Arial"/>
                      <w:color w:val="000000"/>
                      <w:sz w:val="18"/>
                      <w:szCs w:val="18"/>
                    </w:rPr>
                  </w:pPr>
                  <w:r w:rsidRPr="004832A4">
                    <w:rPr>
                      <w:rFonts w:ascii="Arial" w:hAnsi="Arial" w:cs="Arial"/>
                      <w:color w:val="000000"/>
                      <w:sz w:val="18"/>
                      <w:szCs w:val="18"/>
                    </w:rPr>
                    <w:t>Machinery and equipment manufacturing</w:t>
                  </w:r>
                </w:p>
              </w:tc>
              <w:tc>
                <w:tcPr>
                  <w:tcW w:w="1539" w:type="pct"/>
                  <w:vMerge/>
                  <w:shd w:val="clear" w:color="auto" w:fill="auto"/>
                </w:tcPr>
                <w:p w:rsidR="004832A4" w:rsidRDefault="004832A4" w:rsidP="00E259D7">
                  <w:pPr>
                    <w:pStyle w:val="TableBodyText"/>
                    <w:ind w:left="57" w:right="28"/>
                    <w:jc w:val="left"/>
                  </w:pPr>
                </w:p>
              </w:tc>
              <w:tc>
                <w:tcPr>
                  <w:tcW w:w="2032" w:type="pct"/>
                  <w:vMerge/>
                  <w:vAlign w:val="center"/>
                </w:tcPr>
                <w:p w:rsidR="004832A4" w:rsidRDefault="004832A4" w:rsidP="00E259D7">
                  <w:pPr>
                    <w:pStyle w:val="TableBodyText"/>
                    <w:ind w:left="57" w:right="28"/>
                    <w:jc w:val="left"/>
                  </w:pPr>
                </w:p>
              </w:tc>
            </w:tr>
            <w:tr w:rsidR="004832A4" w:rsidTr="003E2542">
              <w:tc>
                <w:tcPr>
                  <w:tcW w:w="1429" w:type="pct"/>
                  <w:tcBorders>
                    <w:bottom w:val="single" w:sz="6" w:space="0" w:color="C8C8C8"/>
                  </w:tcBorders>
                  <w:shd w:val="clear" w:color="auto" w:fill="auto"/>
                  <w:vAlign w:val="center"/>
                </w:tcPr>
                <w:p w:rsidR="004832A4" w:rsidRPr="004832A4" w:rsidRDefault="004832A4">
                  <w:pPr>
                    <w:rPr>
                      <w:rFonts w:ascii="Arial" w:hAnsi="Arial" w:cs="Arial"/>
                      <w:color w:val="000000"/>
                      <w:sz w:val="18"/>
                      <w:szCs w:val="18"/>
                    </w:rPr>
                  </w:pPr>
                  <w:r w:rsidRPr="004832A4">
                    <w:rPr>
                      <w:rFonts w:ascii="Arial" w:hAnsi="Arial" w:cs="Arial"/>
                      <w:color w:val="000000"/>
                      <w:sz w:val="18"/>
                      <w:szCs w:val="18"/>
                    </w:rPr>
                    <w:t>Furniture and other manufacturing</w:t>
                  </w:r>
                </w:p>
              </w:tc>
              <w:tc>
                <w:tcPr>
                  <w:tcW w:w="1539" w:type="pct"/>
                  <w:vMerge/>
                  <w:tcBorders>
                    <w:bottom w:val="single" w:sz="6" w:space="0" w:color="C8C8C8"/>
                  </w:tcBorders>
                  <w:shd w:val="clear" w:color="auto" w:fill="auto"/>
                </w:tcPr>
                <w:p w:rsidR="004832A4" w:rsidRDefault="004832A4" w:rsidP="00E259D7">
                  <w:pPr>
                    <w:pStyle w:val="TableBodyText"/>
                    <w:ind w:left="57" w:right="28"/>
                    <w:jc w:val="left"/>
                  </w:pPr>
                </w:p>
              </w:tc>
              <w:tc>
                <w:tcPr>
                  <w:tcW w:w="2032" w:type="pct"/>
                  <w:vMerge/>
                  <w:tcBorders>
                    <w:bottom w:val="single" w:sz="6" w:space="0" w:color="C8C8C8"/>
                  </w:tcBorders>
                  <w:vAlign w:val="center"/>
                </w:tcPr>
                <w:p w:rsidR="004832A4" w:rsidRDefault="004832A4" w:rsidP="00E259D7">
                  <w:pPr>
                    <w:pStyle w:val="TableBodyText"/>
                    <w:ind w:left="57" w:right="28"/>
                    <w:jc w:val="left"/>
                  </w:pPr>
                </w:p>
              </w:tc>
            </w:tr>
          </w:tbl>
          <w:p w:rsidR="007F3143" w:rsidRDefault="007F3143" w:rsidP="00E259D7">
            <w:pPr>
              <w:pStyle w:val="Box"/>
            </w:pPr>
          </w:p>
        </w:tc>
      </w:tr>
      <w:tr w:rsidR="007F3143" w:rsidTr="007F3143">
        <w:trPr>
          <w:cantSplit/>
        </w:trPr>
        <w:tc>
          <w:tcPr>
            <w:tcW w:w="12028" w:type="dxa"/>
            <w:tcBorders>
              <w:top w:val="nil"/>
              <w:left w:val="nil"/>
              <w:bottom w:val="nil"/>
              <w:right w:val="nil"/>
            </w:tcBorders>
            <w:shd w:val="clear" w:color="auto" w:fill="auto"/>
          </w:tcPr>
          <w:p w:rsidR="007F3143" w:rsidRPr="00686A3F" w:rsidRDefault="00686A3F" w:rsidP="00686A3F">
            <w:pPr>
              <w:pStyle w:val="Source"/>
              <w:jc w:val="right"/>
            </w:pPr>
            <w:r w:rsidRPr="00686A3F">
              <w:t>Continued next page</w:t>
            </w:r>
            <w:r w:rsidR="007F3143" w:rsidRPr="00686A3F">
              <w:t xml:space="preserve"> </w:t>
            </w:r>
          </w:p>
        </w:tc>
      </w:tr>
      <w:tr w:rsidR="007F3143" w:rsidTr="007F3143">
        <w:trPr>
          <w:cantSplit/>
        </w:trPr>
        <w:tc>
          <w:tcPr>
            <w:tcW w:w="12028" w:type="dxa"/>
            <w:tcBorders>
              <w:top w:val="nil"/>
              <w:left w:val="nil"/>
              <w:bottom w:val="single" w:sz="6" w:space="0" w:color="78A22F" w:themeColor="accent1"/>
              <w:right w:val="nil"/>
            </w:tcBorders>
            <w:shd w:val="clear" w:color="auto" w:fill="auto"/>
          </w:tcPr>
          <w:p w:rsidR="007F3143" w:rsidRDefault="007F3143" w:rsidP="00E259D7">
            <w:pPr>
              <w:pStyle w:val="Box"/>
              <w:spacing w:before="0" w:line="120" w:lineRule="exact"/>
            </w:pPr>
          </w:p>
        </w:tc>
      </w:tr>
      <w:tr w:rsidR="007F3143" w:rsidRPr="000863A5" w:rsidTr="007F3143">
        <w:tc>
          <w:tcPr>
            <w:tcW w:w="12028" w:type="dxa"/>
            <w:tcBorders>
              <w:top w:val="single" w:sz="6" w:space="0" w:color="78A22F" w:themeColor="accent1"/>
              <w:left w:val="nil"/>
              <w:bottom w:val="nil"/>
              <w:right w:val="nil"/>
            </w:tcBorders>
          </w:tcPr>
          <w:p w:rsidR="007F3143" w:rsidRPr="00626D32" w:rsidRDefault="007F3143" w:rsidP="00E259D7">
            <w:pPr>
              <w:pStyle w:val="BoxSpaceBelow"/>
            </w:pPr>
          </w:p>
        </w:tc>
      </w:tr>
    </w:tbl>
    <w:p w:rsidR="007F3143" w:rsidRDefault="007F3143">
      <w:pPr>
        <w:pStyle w:val="BodyText"/>
      </w:pPr>
    </w:p>
    <w:p w:rsidR="007F3143" w:rsidRDefault="007F3143"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303"/>
      </w:tblGrid>
      <w:tr w:rsidR="007F3143" w:rsidTr="00555B57">
        <w:tc>
          <w:tcPr>
            <w:tcW w:w="13303" w:type="dxa"/>
            <w:tcBorders>
              <w:top w:val="single" w:sz="6" w:space="0" w:color="78A22F"/>
              <w:left w:val="nil"/>
              <w:bottom w:val="nil"/>
              <w:right w:val="nil"/>
            </w:tcBorders>
            <w:shd w:val="clear" w:color="auto" w:fill="auto"/>
          </w:tcPr>
          <w:p w:rsidR="007F3143" w:rsidRPr="00784A05" w:rsidRDefault="007F3143" w:rsidP="00686A3F">
            <w:pPr>
              <w:pStyle w:val="TableTitle"/>
            </w:pPr>
            <w:r>
              <w:rPr>
                <w:b w:val="0"/>
              </w:rPr>
              <w:t xml:space="preserve">Table </w:t>
            </w:r>
            <w:r w:rsidR="00034238">
              <w:rPr>
                <w:b w:val="0"/>
              </w:rPr>
              <w:t>4.</w:t>
            </w:r>
            <w:r w:rsidR="00686A3F">
              <w:rPr>
                <w:b w:val="0"/>
              </w:rPr>
              <w:t>4</w:t>
            </w:r>
            <w:r>
              <w:tab/>
            </w:r>
            <w:r w:rsidR="00686A3F">
              <w:t>(continued)</w:t>
            </w:r>
          </w:p>
        </w:tc>
      </w:tr>
      <w:tr w:rsidR="007F3143" w:rsidTr="00555B57">
        <w:trPr>
          <w:cantSplit/>
        </w:trPr>
        <w:tc>
          <w:tcPr>
            <w:tcW w:w="13303" w:type="dxa"/>
            <w:tcBorders>
              <w:top w:val="nil"/>
              <w:left w:val="nil"/>
              <w:bottom w:val="nil"/>
              <w:right w:val="nil"/>
            </w:tcBorders>
            <w:shd w:val="clear" w:color="auto" w:fill="auto"/>
          </w:tcPr>
          <w:tbl>
            <w:tblPr>
              <w:tblW w:w="13019" w:type="dxa"/>
              <w:tblCellMar>
                <w:top w:w="28" w:type="dxa"/>
                <w:left w:w="0" w:type="dxa"/>
                <w:right w:w="0" w:type="dxa"/>
              </w:tblCellMar>
              <w:tblLook w:val="0000" w:firstRow="0" w:lastRow="0" w:firstColumn="0" w:lastColumn="0" w:noHBand="0" w:noVBand="0"/>
            </w:tblPr>
            <w:tblGrid>
              <w:gridCol w:w="3804"/>
              <w:gridCol w:w="3971"/>
              <w:gridCol w:w="5244"/>
            </w:tblGrid>
            <w:tr w:rsidR="004832A4" w:rsidTr="004832A4">
              <w:tc>
                <w:tcPr>
                  <w:tcW w:w="1461" w:type="pct"/>
                  <w:tcBorders>
                    <w:top w:val="single" w:sz="6" w:space="0" w:color="BFBFBF"/>
                    <w:bottom w:val="single" w:sz="6" w:space="0" w:color="BFBFBF"/>
                  </w:tcBorders>
                  <w:shd w:val="clear" w:color="auto" w:fill="auto"/>
                  <w:tcMar>
                    <w:top w:w="28" w:type="dxa"/>
                  </w:tcMar>
                </w:tcPr>
                <w:p w:rsidR="004832A4" w:rsidRDefault="004832A4" w:rsidP="00070FB2">
                  <w:pPr>
                    <w:pStyle w:val="TableColumnHeading"/>
                    <w:jc w:val="left"/>
                  </w:pPr>
                  <w:r>
                    <w:t>Trade &amp; Assistance industry group (ANZSIC 2006)</w:t>
                  </w:r>
                </w:p>
              </w:tc>
              <w:tc>
                <w:tcPr>
                  <w:tcW w:w="1525" w:type="pct"/>
                  <w:tcBorders>
                    <w:top w:val="single" w:sz="6" w:space="0" w:color="BFBFBF"/>
                    <w:bottom w:val="single" w:sz="6" w:space="0" w:color="BFBFBF"/>
                  </w:tcBorders>
                  <w:shd w:val="clear" w:color="auto" w:fill="auto"/>
                  <w:tcMar>
                    <w:top w:w="28" w:type="dxa"/>
                  </w:tcMar>
                </w:tcPr>
                <w:p w:rsidR="004832A4" w:rsidRDefault="004832A4" w:rsidP="00070FB2">
                  <w:pPr>
                    <w:pStyle w:val="TableColumnHeading"/>
                    <w:ind w:right="28"/>
                    <w:jc w:val="left"/>
                  </w:pPr>
                  <w:r>
                    <w:t>National accounts industry division (ANZSIC 2006)</w:t>
                  </w:r>
                </w:p>
              </w:tc>
              <w:tc>
                <w:tcPr>
                  <w:tcW w:w="2014" w:type="pct"/>
                  <w:tcBorders>
                    <w:top w:val="single" w:sz="6" w:space="0" w:color="BFBFBF"/>
                    <w:bottom w:val="single" w:sz="6" w:space="0" w:color="BFBFBF"/>
                  </w:tcBorders>
                  <w:shd w:val="clear" w:color="auto" w:fill="auto"/>
                  <w:tcMar>
                    <w:top w:w="28" w:type="dxa"/>
                  </w:tcMar>
                </w:tcPr>
                <w:p w:rsidR="004832A4" w:rsidRDefault="004832A4" w:rsidP="00070FB2">
                  <w:pPr>
                    <w:pStyle w:val="TableColumnHeading"/>
                    <w:ind w:right="28"/>
                    <w:jc w:val="left"/>
                  </w:pPr>
                  <w:r>
                    <w:t>Supplementary data</w:t>
                  </w:r>
                </w:p>
              </w:tc>
            </w:tr>
            <w:tr w:rsidR="004832A4" w:rsidTr="001E456F">
              <w:tc>
                <w:tcPr>
                  <w:tcW w:w="1461" w:type="pct"/>
                  <w:tcBorders>
                    <w:top w:val="single" w:sz="6" w:space="0" w:color="BFBFBF"/>
                  </w:tcBorders>
                  <w:vAlign w:val="bottom"/>
                </w:tcPr>
                <w:p w:rsidR="004832A4" w:rsidRPr="004832A4" w:rsidRDefault="004832A4" w:rsidP="004832A4">
                  <w:pPr>
                    <w:pStyle w:val="TableBodyText"/>
                    <w:jc w:val="left"/>
                  </w:pPr>
                  <w:r w:rsidRPr="004832A4">
                    <w:t>Electricity, gas, water and waste services</w:t>
                  </w:r>
                </w:p>
              </w:tc>
              <w:tc>
                <w:tcPr>
                  <w:tcW w:w="1525" w:type="pct"/>
                  <w:tcBorders>
                    <w:top w:val="single" w:sz="6" w:space="0" w:color="BFBFBF"/>
                  </w:tcBorders>
                  <w:vAlign w:val="bottom"/>
                </w:tcPr>
                <w:p w:rsidR="004832A4" w:rsidRPr="004832A4" w:rsidRDefault="004832A4" w:rsidP="004832A4">
                  <w:pPr>
                    <w:pStyle w:val="TableBodyText"/>
                    <w:jc w:val="left"/>
                  </w:pPr>
                  <w:r w:rsidRPr="004832A4">
                    <w:t>Electricity, gas, water and waste services</w:t>
                  </w:r>
                </w:p>
              </w:tc>
              <w:tc>
                <w:tcPr>
                  <w:tcW w:w="2014" w:type="pct"/>
                  <w:tcBorders>
                    <w:top w:val="single" w:sz="6" w:space="0" w:color="BFBFBF"/>
                  </w:tcBorders>
                </w:tcPr>
                <w:p w:rsidR="004832A4" w:rsidRDefault="004832A4" w:rsidP="00846637">
                  <w:pPr>
                    <w:pStyle w:val="TableUnitsRow"/>
                    <w:ind w:right="28"/>
                  </w:pPr>
                </w:p>
              </w:tc>
            </w:tr>
            <w:tr w:rsidR="004832A4" w:rsidTr="001E456F">
              <w:tc>
                <w:tcPr>
                  <w:tcW w:w="1461" w:type="pct"/>
                  <w:vAlign w:val="bottom"/>
                </w:tcPr>
                <w:p w:rsidR="004832A4" w:rsidRPr="004832A4" w:rsidRDefault="004832A4" w:rsidP="004832A4">
                  <w:pPr>
                    <w:pStyle w:val="TableBodyText"/>
                    <w:jc w:val="left"/>
                  </w:pPr>
                  <w:r w:rsidRPr="004832A4">
                    <w:t>Construction</w:t>
                  </w:r>
                </w:p>
              </w:tc>
              <w:tc>
                <w:tcPr>
                  <w:tcW w:w="1525" w:type="pct"/>
                  <w:vAlign w:val="bottom"/>
                </w:tcPr>
                <w:p w:rsidR="004832A4" w:rsidRPr="004832A4" w:rsidRDefault="004832A4" w:rsidP="004832A4">
                  <w:pPr>
                    <w:pStyle w:val="TableBodyText"/>
                    <w:jc w:val="left"/>
                  </w:pPr>
                  <w:r w:rsidRPr="004832A4">
                    <w:t>Construction</w:t>
                  </w:r>
                </w:p>
              </w:tc>
              <w:tc>
                <w:tcPr>
                  <w:tcW w:w="2014" w:type="pct"/>
                </w:tcPr>
                <w:p w:rsidR="004832A4" w:rsidRDefault="004832A4" w:rsidP="00846637">
                  <w:pPr>
                    <w:pStyle w:val="TableBodyText"/>
                    <w:ind w:right="28"/>
                  </w:pPr>
                </w:p>
              </w:tc>
            </w:tr>
            <w:tr w:rsidR="004832A4" w:rsidTr="001E456F">
              <w:tc>
                <w:tcPr>
                  <w:tcW w:w="1461" w:type="pct"/>
                  <w:shd w:val="clear" w:color="auto" w:fill="auto"/>
                  <w:vAlign w:val="bottom"/>
                </w:tcPr>
                <w:p w:rsidR="004832A4" w:rsidRPr="004832A4" w:rsidRDefault="004832A4" w:rsidP="004832A4">
                  <w:pPr>
                    <w:pStyle w:val="TableBodyText"/>
                    <w:jc w:val="left"/>
                  </w:pPr>
                  <w:r w:rsidRPr="004832A4">
                    <w:t>Wholesale trade</w:t>
                  </w:r>
                </w:p>
              </w:tc>
              <w:tc>
                <w:tcPr>
                  <w:tcW w:w="1525" w:type="pct"/>
                  <w:shd w:val="clear" w:color="auto" w:fill="auto"/>
                  <w:vAlign w:val="bottom"/>
                </w:tcPr>
                <w:p w:rsidR="004832A4" w:rsidRPr="004832A4" w:rsidRDefault="004832A4" w:rsidP="004832A4">
                  <w:pPr>
                    <w:pStyle w:val="TableBodyText"/>
                    <w:jc w:val="left"/>
                  </w:pPr>
                  <w:r w:rsidRPr="004832A4">
                    <w:t>Wholesale trade</w:t>
                  </w:r>
                </w:p>
              </w:tc>
              <w:tc>
                <w:tcPr>
                  <w:tcW w:w="2014" w:type="pct"/>
                  <w:shd w:val="clear" w:color="auto" w:fill="auto"/>
                </w:tcPr>
                <w:p w:rsidR="004832A4" w:rsidRDefault="004832A4" w:rsidP="00846637">
                  <w:pPr>
                    <w:pStyle w:val="TableBodyText"/>
                    <w:ind w:right="28"/>
                  </w:pPr>
                </w:p>
              </w:tc>
            </w:tr>
            <w:tr w:rsidR="004832A4" w:rsidTr="001E456F">
              <w:tc>
                <w:tcPr>
                  <w:tcW w:w="1461" w:type="pct"/>
                  <w:shd w:val="clear" w:color="auto" w:fill="auto"/>
                  <w:vAlign w:val="bottom"/>
                </w:tcPr>
                <w:p w:rsidR="004832A4" w:rsidRPr="004832A4" w:rsidRDefault="004832A4" w:rsidP="004832A4">
                  <w:pPr>
                    <w:pStyle w:val="TableBodyText"/>
                    <w:jc w:val="left"/>
                  </w:pPr>
                  <w:r w:rsidRPr="004832A4">
                    <w:t>Retail trade</w:t>
                  </w:r>
                </w:p>
              </w:tc>
              <w:tc>
                <w:tcPr>
                  <w:tcW w:w="1525" w:type="pct"/>
                  <w:shd w:val="clear" w:color="auto" w:fill="auto"/>
                  <w:vAlign w:val="bottom"/>
                </w:tcPr>
                <w:p w:rsidR="004832A4" w:rsidRPr="004832A4" w:rsidRDefault="004832A4" w:rsidP="004832A4">
                  <w:pPr>
                    <w:pStyle w:val="TableBodyText"/>
                    <w:jc w:val="left"/>
                  </w:pPr>
                  <w:r w:rsidRPr="004832A4">
                    <w:t>Retail trade</w:t>
                  </w:r>
                </w:p>
              </w:tc>
              <w:tc>
                <w:tcPr>
                  <w:tcW w:w="2014" w:type="pct"/>
                  <w:shd w:val="clear" w:color="auto" w:fill="auto"/>
                </w:tcPr>
                <w:p w:rsidR="004832A4" w:rsidRDefault="004832A4" w:rsidP="00846637">
                  <w:pPr>
                    <w:pStyle w:val="TableBodyText"/>
                    <w:ind w:right="28"/>
                  </w:pPr>
                </w:p>
              </w:tc>
            </w:tr>
            <w:tr w:rsidR="004832A4" w:rsidTr="001E456F">
              <w:tc>
                <w:tcPr>
                  <w:tcW w:w="1461" w:type="pct"/>
                  <w:shd w:val="clear" w:color="auto" w:fill="auto"/>
                  <w:vAlign w:val="bottom"/>
                </w:tcPr>
                <w:p w:rsidR="004832A4" w:rsidRPr="004832A4" w:rsidRDefault="004832A4" w:rsidP="004832A4">
                  <w:pPr>
                    <w:pStyle w:val="TableBodyText"/>
                    <w:jc w:val="left"/>
                  </w:pPr>
                  <w:r w:rsidRPr="004832A4">
                    <w:t>Accommodation and food services</w:t>
                  </w:r>
                </w:p>
              </w:tc>
              <w:tc>
                <w:tcPr>
                  <w:tcW w:w="1525" w:type="pct"/>
                  <w:shd w:val="clear" w:color="auto" w:fill="auto"/>
                  <w:vAlign w:val="bottom"/>
                </w:tcPr>
                <w:p w:rsidR="004832A4" w:rsidRPr="004832A4" w:rsidRDefault="004832A4" w:rsidP="004832A4">
                  <w:pPr>
                    <w:pStyle w:val="TableBodyText"/>
                    <w:jc w:val="left"/>
                  </w:pPr>
                  <w:r w:rsidRPr="004832A4">
                    <w:t>Accommodation and food services</w:t>
                  </w:r>
                </w:p>
              </w:tc>
              <w:tc>
                <w:tcPr>
                  <w:tcW w:w="2014" w:type="pct"/>
                  <w:shd w:val="clear" w:color="auto" w:fill="auto"/>
                </w:tcPr>
                <w:p w:rsidR="004832A4" w:rsidRDefault="004832A4" w:rsidP="00846637">
                  <w:pPr>
                    <w:pStyle w:val="TableBodyText"/>
                    <w:ind w:right="28"/>
                  </w:pPr>
                </w:p>
              </w:tc>
            </w:tr>
            <w:tr w:rsidR="004832A4" w:rsidTr="001E456F">
              <w:tc>
                <w:tcPr>
                  <w:tcW w:w="1461" w:type="pct"/>
                  <w:shd w:val="clear" w:color="auto" w:fill="auto"/>
                  <w:vAlign w:val="bottom"/>
                </w:tcPr>
                <w:p w:rsidR="004832A4" w:rsidRPr="004832A4" w:rsidRDefault="004832A4" w:rsidP="004832A4">
                  <w:pPr>
                    <w:pStyle w:val="TableBodyText"/>
                    <w:jc w:val="left"/>
                  </w:pPr>
                  <w:r w:rsidRPr="004832A4">
                    <w:t>Transport, postal and warehousing</w:t>
                  </w:r>
                </w:p>
              </w:tc>
              <w:tc>
                <w:tcPr>
                  <w:tcW w:w="1525" w:type="pct"/>
                  <w:shd w:val="clear" w:color="auto" w:fill="auto"/>
                  <w:vAlign w:val="bottom"/>
                </w:tcPr>
                <w:p w:rsidR="004832A4" w:rsidRPr="004832A4" w:rsidRDefault="004832A4" w:rsidP="004832A4">
                  <w:pPr>
                    <w:pStyle w:val="TableBodyText"/>
                    <w:jc w:val="left"/>
                  </w:pPr>
                  <w:r w:rsidRPr="004832A4">
                    <w:t>Transport, postal and warehousing</w:t>
                  </w:r>
                </w:p>
              </w:tc>
              <w:tc>
                <w:tcPr>
                  <w:tcW w:w="2014" w:type="pct"/>
                  <w:shd w:val="clear" w:color="auto" w:fill="auto"/>
                </w:tcPr>
                <w:p w:rsidR="004832A4" w:rsidRDefault="004832A4" w:rsidP="00846637">
                  <w:pPr>
                    <w:pStyle w:val="TableBodyText"/>
                    <w:ind w:right="28"/>
                  </w:pPr>
                </w:p>
              </w:tc>
            </w:tr>
            <w:tr w:rsidR="004832A4" w:rsidTr="001E456F">
              <w:tc>
                <w:tcPr>
                  <w:tcW w:w="1461" w:type="pct"/>
                  <w:shd w:val="clear" w:color="auto" w:fill="auto"/>
                  <w:vAlign w:val="bottom"/>
                </w:tcPr>
                <w:p w:rsidR="004832A4" w:rsidRPr="004832A4" w:rsidRDefault="004832A4" w:rsidP="004832A4">
                  <w:pPr>
                    <w:pStyle w:val="TableBodyText"/>
                    <w:jc w:val="left"/>
                  </w:pPr>
                  <w:r w:rsidRPr="004832A4">
                    <w:t>Information, media and telecommunications</w:t>
                  </w:r>
                </w:p>
              </w:tc>
              <w:tc>
                <w:tcPr>
                  <w:tcW w:w="1525" w:type="pct"/>
                  <w:shd w:val="clear" w:color="auto" w:fill="auto"/>
                  <w:vAlign w:val="bottom"/>
                </w:tcPr>
                <w:p w:rsidR="004832A4" w:rsidRPr="004832A4" w:rsidRDefault="004832A4" w:rsidP="004832A4">
                  <w:pPr>
                    <w:pStyle w:val="TableBodyText"/>
                    <w:jc w:val="left"/>
                  </w:pPr>
                  <w:r w:rsidRPr="004832A4">
                    <w:t>Information media and telecommunications</w:t>
                  </w:r>
                </w:p>
              </w:tc>
              <w:tc>
                <w:tcPr>
                  <w:tcW w:w="2014" w:type="pct"/>
                  <w:shd w:val="clear" w:color="auto" w:fill="auto"/>
                </w:tcPr>
                <w:p w:rsidR="004832A4" w:rsidRDefault="004832A4" w:rsidP="00846637">
                  <w:pPr>
                    <w:pStyle w:val="TableBodyText"/>
                    <w:ind w:right="28"/>
                  </w:pPr>
                </w:p>
              </w:tc>
            </w:tr>
            <w:tr w:rsidR="004832A4" w:rsidTr="001E456F">
              <w:tc>
                <w:tcPr>
                  <w:tcW w:w="1461" w:type="pct"/>
                  <w:shd w:val="clear" w:color="auto" w:fill="auto"/>
                  <w:vAlign w:val="bottom"/>
                </w:tcPr>
                <w:p w:rsidR="004832A4" w:rsidRPr="004832A4" w:rsidRDefault="004832A4" w:rsidP="004832A4">
                  <w:pPr>
                    <w:pStyle w:val="TableBodyText"/>
                    <w:jc w:val="left"/>
                  </w:pPr>
                  <w:r w:rsidRPr="004832A4">
                    <w:t>Financial and insurance services</w:t>
                  </w:r>
                </w:p>
              </w:tc>
              <w:tc>
                <w:tcPr>
                  <w:tcW w:w="1525" w:type="pct"/>
                  <w:shd w:val="clear" w:color="auto" w:fill="auto"/>
                  <w:vAlign w:val="bottom"/>
                </w:tcPr>
                <w:p w:rsidR="004832A4" w:rsidRPr="004832A4" w:rsidRDefault="004832A4" w:rsidP="004832A4">
                  <w:pPr>
                    <w:pStyle w:val="TableBodyText"/>
                    <w:jc w:val="left"/>
                  </w:pPr>
                  <w:r w:rsidRPr="004832A4">
                    <w:t>Financial and insurance services</w:t>
                  </w:r>
                </w:p>
              </w:tc>
              <w:tc>
                <w:tcPr>
                  <w:tcW w:w="2014" w:type="pct"/>
                  <w:shd w:val="clear" w:color="auto" w:fill="auto"/>
                </w:tcPr>
                <w:p w:rsidR="004832A4" w:rsidRDefault="004832A4" w:rsidP="00846637">
                  <w:pPr>
                    <w:pStyle w:val="TableBodyText"/>
                    <w:ind w:right="28"/>
                  </w:pPr>
                </w:p>
              </w:tc>
            </w:tr>
            <w:tr w:rsidR="004832A4" w:rsidTr="00555B57">
              <w:tc>
                <w:tcPr>
                  <w:tcW w:w="1461" w:type="pct"/>
                  <w:shd w:val="clear" w:color="auto" w:fill="auto"/>
                  <w:vAlign w:val="center"/>
                </w:tcPr>
                <w:p w:rsidR="004832A4" w:rsidRPr="004832A4" w:rsidRDefault="00555B57" w:rsidP="00555B57">
                  <w:pPr>
                    <w:pStyle w:val="TableBodyText"/>
                    <w:spacing w:after="0"/>
                    <w:jc w:val="left"/>
                  </w:pPr>
                  <w:r>
                    <w:rPr>
                      <w:noProof/>
                    </w:rPr>
                    <mc:AlternateContent>
                      <mc:Choice Requires="wps">
                        <w:drawing>
                          <wp:anchor distT="0" distB="0" distL="114300" distR="114300" simplePos="0" relativeHeight="251662336" behindDoc="0" locked="0" layoutInCell="1" allowOverlap="1" wp14:anchorId="070D4D3D" wp14:editId="2458DFEC">
                            <wp:simplePos x="0" y="0"/>
                            <wp:positionH relativeFrom="column">
                              <wp:posOffset>2301875</wp:posOffset>
                            </wp:positionH>
                            <wp:positionV relativeFrom="paragraph">
                              <wp:posOffset>11430</wp:posOffset>
                            </wp:positionV>
                            <wp:extent cx="45085" cy="485775"/>
                            <wp:effectExtent l="0" t="0" r="12065" b="28575"/>
                            <wp:wrapNone/>
                            <wp:docPr id="3" name="Left Brace 3" descr="Left brace"/>
                            <wp:cNvGraphicFramePr/>
                            <a:graphic xmlns:a="http://schemas.openxmlformats.org/drawingml/2006/main">
                              <a:graphicData uri="http://schemas.microsoft.com/office/word/2010/wordprocessingShape">
                                <wps:wsp>
                                  <wps:cNvSpPr/>
                                  <wps:spPr>
                                    <a:xfrm>
                                      <a:off x="0" y="0"/>
                                      <a:ext cx="45085" cy="485775"/>
                                    </a:xfrm>
                                    <a:prstGeom prst="lef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3" o:spid="_x0000_s1026" type="#_x0000_t87" alt="Left brace" style="position:absolute;margin-left:181.25pt;margin-top:.9pt;width:3.5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" adj="167" strokecolor="#71992c [3044]"/>
                        </w:pict>
                      </mc:Fallback>
                    </mc:AlternateContent>
                  </w:r>
                  <w:r w:rsidR="004832A4" w:rsidRPr="004832A4">
                    <w:t>Property, professional and administrative services</w:t>
                  </w:r>
                </w:p>
              </w:tc>
              <w:tc>
                <w:tcPr>
                  <w:tcW w:w="1525" w:type="pct"/>
                  <w:shd w:val="clear" w:color="auto" w:fill="auto"/>
                  <w:vAlign w:val="center"/>
                </w:tcPr>
                <w:p w:rsidR="004832A4" w:rsidRPr="004832A4" w:rsidRDefault="004832A4" w:rsidP="00555B57">
                  <w:pPr>
                    <w:pStyle w:val="TableBodyText"/>
                    <w:jc w:val="left"/>
                  </w:pPr>
                  <w:r w:rsidRPr="004832A4">
                    <w:t>Rental, hiring and real estate services; Professional, scientific and technical services; Administrative and support services; and Ownership of dwellings</w:t>
                  </w:r>
                </w:p>
              </w:tc>
              <w:tc>
                <w:tcPr>
                  <w:tcW w:w="2014" w:type="pct"/>
                  <w:shd w:val="clear" w:color="auto" w:fill="auto"/>
                  <w:vAlign w:val="center"/>
                </w:tcPr>
                <w:p w:rsidR="004832A4" w:rsidRDefault="004832A4" w:rsidP="00555B57">
                  <w:pPr>
                    <w:pStyle w:val="TableBodyText"/>
                    <w:ind w:right="28"/>
                    <w:jc w:val="left"/>
                  </w:pPr>
                </w:p>
              </w:tc>
            </w:tr>
            <w:tr w:rsidR="004832A4" w:rsidTr="001E456F">
              <w:tc>
                <w:tcPr>
                  <w:tcW w:w="1461" w:type="pct"/>
                  <w:shd w:val="clear" w:color="auto" w:fill="auto"/>
                  <w:vAlign w:val="bottom"/>
                </w:tcPr>
                <w:p w:rsidR="004832A4" w:rsidRPr="004832A4" w:rsidRDefault="004832A4" w:rsidP="004832A4">
                  <w:pPr>
                    <w:pStyle w:val="TableBodyText"/>
                    <w:jc w:val="left"/>
                  </w:pPr>
                  <w:r w:rsidRPr="004832A4">
                    <w:t>Public administration and safety</w:t>
                  </w:r>
                </w:p>
              </w:tc>
              <w:tc>
                <w:tcPr>
                  <w:tcW w:w="1525" w:type="pct"/>
                  <w:shd w:val="clear" w:color="auto" w:fill="auto"/>
                  <w:vAlign w:val="bottom"/>
                </w:tcPr>
                <w:p w:rsidR="004832A4" w:rsidRPr="004832A4" w:rsidRDefault="004832A4" w:rsidP="004832A4">
                  <w:pPr>
                    <w:pStyle w:val="TableBodyText"/>
                    <w:jc w:val="left"/>
                  </w:pPr>
                  <w:r w:rsidRPr="004832A4">
                    <w:t>Public administration and safety</w:t>
                  </w:r>
                </w:p>
              </w:tc>
              <w:tc>
                <w:tcPr>
                  <w:tcW w:w="2014" w:type="pct"/>
                  <w:shd w:val="clear" w:color="auto" w:fill="auto"/>
                </w:tcPr>
                <w:p w:rsidR="004832A4" w:rsidRDefault="004832A4" w:rsidP="00846637">
                  <w:pPr>
                    <w:pStyle w:val="TableBodyText"/>
                    <w:ind w:right="28"/>
                  </w:pPr>
                </w:p>
              </w:tc>
            </w:tr>
            <w:tr w:rsidR="004832A4" w:rsidTr="001E456F">
              <w:tc>
                <w:tcPr>
                  <w:tcW w:w="1461" w:type="pct"/>
                  <w:shd w:val="clear" w:color="auto" w:fill="auto"/>
                  <w:vAlign w:val="bottom"/>
                </w:tcPr>
                <w:p w:rsidR="004832A4" w:rsidRPr="004832A4" w:rsidRDefault="004832A4" w:rsidP="004832A4">
                  <w:pPr>
                    <w:pStyle w:val="TableBodyText"/>
                    <w:jc w:val="left"/>
                  </w:pPr>
                  <w:r w:rsidRPr="004832A4">
                    <w:t>Education and training</w:t>
                  </w:r>
                </w:p>
              </w:tc>
              <w:tc>
                <w:tcPr>
                  <w:tcW w:w="1525" w:type="pct"/>
                  <w:shd w:val="clear" w:color="auto" w:fill="auto"/>
                  <w:vAlign w:val="bottom"/>
                </w:tcPr>
                <w:p w:rsidR="004832A4" w:rsidRPr="004832A4" w:rsidRDefault="004832A4" w:rsidP="004832A4">
                  <w:pPr>
                    <w:pStyle w:val="TableBodyText"/>
                    <w:jc w:val="left"/>
                  </w:pPr>
                  <w:r w:rsidRPr="004832A4">
                    <w:t>Education and training</w:t>
                  </w:r>
                </w:p>
              </w:tc>
              <w:tc>
                <w:tcPr>
                  <w:tcW w:w="2014" w:type="pct"/>
                  <w:shd w:val="clear" w:color="auto" w:fill="auto"/>
                </w:tcPr>
                <w:p w:rsidR="004832A4" w:rsidRDefault="004832A4" w:rsidP="00846637">
                  <w:pPr>
                    <w:pStyle w:val="TableBodyText"/>
                    <w:ind w:right="28"/>
                  </w:pPr>
                </w:p>
              </w:tc>
            </w:tr>
            <w:tr w:rsidR="004832A4" w:rsidTr="001E456F">
              <w:tc>
                <w:tcPr>
                  <w:tcW w:w="1461" w:type="pct"/>
                  <w:shd w:val="clear" w:color="auto" w:fill="auto"/>
                  <w:vAlign w:val="bottom"/>
                </w:tcPr>
                <w:p w:rsidR="004832A4" w:rsidRPr="004832A4" w:rsidRDefault="004832A4" w:rsidP="004832A4">
                  <w:pPr>
                    <w:pStyle w:val="TableBodyText"/>
                    <w:jc w:val="left"/>
                  </w:pPr>
                  <w:r w:rsidRPr="004832A4">
                    <w:t>Health care and social assistance</w:t>
                  </w:r>
                </w:p>
              </w:tc>
              <w:tc>
                <w:tcPr>
                  <w:tcW w:w="1525" w:type="pct"/>
                  <w:shd w:val="clear" w:color="auto" w:fill="auto"/>
                  <w:vAlign w:val="bottom"/>
                </w:tcPr>
                <w:p w:rsidR="004832A4" w:rsidRPr="004832A4" w:rsidRDefault="004832A4" w:rsidP="004832A4">
                  <w:pPr>
                    <w:pStyle w:val="TableBodyText"/>
                    <w:jc w:val="left"/>
                  </w:pPr>
                  <w:r w:rsidRPr="004832A4">
                    <w:t>Health care and social assistance</w:t>
                  </w:r>
                </w:p>
              </w:tc>
              <w:tc>
                <w:tcPr>
                  <w:tcW w:w="2014" w:type="pct"/>
                  <w:shd w:val="clear" w:color="auto" w:fill="auto"/>
                </w:tcPr>
                <w:p w:rsidR="004832A4" w:rsidRDefault="004832A4" w:rsidP="00846637">
                  <w:pPr>
                    <w:pStyle w:val="TableBodyText"/>
                    <w:ind w:right="28"/>
                  </w:pPr>
                </w:p>
              </w:tc>
            </w:tr>
            <w:tr w:rsidR="004832A4" w:rsidTr="001E456F">
              <w:tc>
                <w:tcPr>
                  <w:tcW w:w="1461" w:type="pct"/>
                  <w:shd w:val="clear" w:color="auto" w:fill="auto"/>
                  <w:vAlign w:val="bottom"/>
                </w:tcPr>
                <w:p w:rsidR="004832A4" w:rsidRPr="004832A4" w:rsidRDefault="004832A4" w:rsidP="004832A4">
                  <w:pPr>
                    <w:pStyle w:val="TableBodyText"/>
                    <w:jc w:val="left"/>
                  </w:pPr>
                  <w:r w:rsidRPr="004832A4">
                    <w:t>Arts and recreation services</w:t>
                  </w:r>
                </w:p>
              </w:tc>
              <w:tc>
                <w:tcPr>
                  <w:tcW w:w="1525" w:type="pct"/>
                  <w:shd w:val="clear" w:color="auto" w:fill="auto"/>
                  <w:vAlign w:val="bottom"/>
                </w:tcPr>
                <w:p w:rsidR="004832A4" w:rsidRPr="004832A4" w:rsidRDefault="004832A4" w:rsidP="004832A4">
                  <w:pPr>
                    <w:pStyle w:val="TableBodyText"/>
                    <w:jc w:val="left"/>
                  </w:pPr>
                  <w:r w:rsidRPr="004832A4">
                    <w:t>Arts and recreation services</w:t>
                  </w:r>
                </w:p>
              </w:tc>
              <w:tc>
                <w:tcPr>
                  <w:tcW w:w="2014" w:type="pct"/>
                  <w:shd w:val="clear" w:color="auto" w:fill="auto"/>
                </w:tcPr>
                <w:p w:rsidR="004832A4" w:rsidRDefault="004832A4" w:rsidP="00846637">
                  <w:pPr>
                    <w:pStyle w:val="TableBodyText"/>
                    <w:ind w:right="28"/>
                  </w:pPr>
                </w:p>
              </w:tc>
            </w:tr>
            <w:tr w:rsidR="004832A4" w:rsidTr="001E456F">
              <w:tc>
                <w:tcPr>
                  <w:tcW w:w="1461" w:type="pct"/>
                  <w:tcBorders>
                    <w:bottom w:val="single" w:sz="6" w:space="0" w:color="BFBFBF"/>
                  </w:tcBorders>
                  <w:shd w:val="clear" w:color="auto" w:fill="auto"/>
                  <w:vAlign w:val="bottom"/>
                </w:tcPr>
                <w:p w:rsidR="004832A4" w:rsidRPr="004832A4" w:rsidRDefault="004832A4" w:rsidP="00EF68D0">
                  <w:pPr>
                    <w:pStyle w:val="TableBodyText"/>
                    <w:spacing w:after="80"/>
                    <w:jc w:val="left"/>
                  </w:pPr>
                  <w:r w:rsidRPr="004832A4">
                    <w:t>Other services</w:t>
                  </w:r>
                </w:p>
              </w:tc>
              <w:tc>
                <w:tcPr>
                  <w:tcW w:w="1525" w:type="pct"/>
                  <w:tcBorders>
                    <w:bottom w:val="single" w:sz="6" w:space="0" w:color="BFBFBF"/>
                  </w:tcBorders>
                  <w:shd w:val="clear" w:color="auto" w:fill="auto"/>
                  <w:vAlign w:val="bottom"/>
                </w:tcPr>
                <w:p w:rsidR="004832A4" w:rsidRPr="004832A4" w:rsidRDefault="004832A4" w:rsidP="00EF68D0">
                  <w:pPr>
                    <w:pStyle w:val="TableBodyText"/>
                    <w:spacing w:after="80"/>
                    <w:jc w:val="left"/>
                  </w:pPr>
                  <w:r w:rsidRPr="004832A4">
                    <w:t>Other services</w:t>
                  </w:r>
                </w:p>
              </w:tc>
              <w:tc>
                <w:tcPr>
                  <w:tcW w:w="2014" w:type="pct"/>
                  <w:tcBorders>
                    <w:bottom w:val="single" w:sz="6" w:space="0" w:color="BFBFBF"/>
                  </w:tcBorders>
                  <w:shd w:val="clear" w:color="auto" w:fill="auto"/>
                </w:tcPr>
                <w:p w:rsidR="004832A4" w:rsidRDefault="004832A4" w:rsidP="00EF68D0">
                  <w:pPr>
                    <w:pStyle w:val="TableBodyText"/>
                    <w:spacing w:after="80"/>
                    <w:ind w:right="28"/>
                  </w:pPr>
                </w:p>
              </w:tc>
            </w:tr>
          </w:tbl>
          <w:p w:rsidR="007F3143" w:rsidRDefault="007F3143" w:rsidP="00846637">
            <w:pPr>
              <w:pStyle w:val="Box"/>
            </w:pPr>
          </w:p>
        </w:tc>
      </w:tr>
      <w:tr w:rsidR="007F3143" w:rsidTr="00555B57">
        <w:trPr>
          <w:cantSplit/>
        </w:trPr>
        <w:tc>
          <w:tcPr>
            <w:tcW w:w="13303" w:type="dxa"/>
            <w:tcBorders>
              <w:top w:val="nil"/>
              <w:left w:val="nil"/>
              <w:bottom w:val="nil"/>
              <w:right w:val="nil"/>
            </w:tcBorders>
            <w:shd w:val="clear" w:color="auto" w:fill="auto"/>
          </w:tcPr>
          <w:p w:rsidR="007F3143" w:rsidRDefault="007F3143" w:rsidP="00555B57">
            <w:pPr>
              <w:pStyle w:val="Source"/>
            </w:pPr>
            <w:r>
              <w:rPr>
                <w:i/>
              </w:rPr>
              <w:t>Source</w:t>
            </w:r>
            <w:r w:rsidRPr="00167F06">
              <w:t xml:space="preserve">: </w:t>
            </w:r>
            <w:r w:rsidR="00D57707">
              <w:t xml:space="preserve">ABS (2006; 2013); </w:t>
            </w:r>
            <w:r w:rsidR="00555B57">
              <w:t>Commission estimates</w:t>
            </w:r>
            <w:r>
              <w:t>.</w:t>
            </w:r>
          </w:p>
        </w:tc>
      </w:tr>
      <w:tr w:rsidR="007F3143" w:rsidTr="00555B57">
        <w:trPr>
          <w:cantSplit/>
        </w:trPr>
        <w:tc>
          <w:tcPr>
            <w:tcW w:w="13303" w:type="dxa"/>
            <w:tcBorders>
              <w:top w:val="nil"/>
              <w:left w:val="nil"/>
              <w:bottom w:val="single" w:sz="6" w:space="0" w:color="78A22F"/>
              <w:right w:val="nil"/>
            </w:tcBorders>
            <w:shd w:val="clear" w:color="auto" w:fill="auto"/>
          </w:tcPr>
          <w:p w:rsidR="007F3143" w:rsidRDefault="007F3143" w:rsidP="00846637">
            <w:pPr>
              <w:pStyle w:val="Box"/>
              <w:spacing w:before="0" w:line="120" w:lineRule="exact"/>
            </w:pPr>
          </w:p>
        </w:tc>
      </w:tr>
      <w:tr w:rsidR="007F3143" w:rsidRPr="000863A5" w:rsidTr="00555B57">
        <w:tc>
          <w:tcPr>
            <w:tcW w:w="13303" w:type="dxa"/>
            <w:tcBorders>
              <w:top w:val="single" w:sz="6" w:space="0" w:color="78A22F"/>
              <w:left w:val="nil"/>
              <w:bottom w:val="nil"/>
              <w:right w:val="nil"/>
            </w:tcBorders>
          </w:tcPr>
          <w:p w:rsidR="007F3143" w:rsidRPr="00626D32" w:rsidRDefault="007F3143" w:rsidP="00784A05">
            <w:pPr>
              <w:pStyle w:val="BoxSpaceBelow"/>
            </w:pPr>
          </w:p>
        </w:tc>
      </w:tr>
    </w:tbl>
    <w:p w:rsidR="0073787A" w:rsidRDefault="0073787A" w:rsidP="00F90CF4">
      <w:pPr>
        <w:pStyle w:val="BodyText"/>
      </w:pPr>
    </w:p>
    <w:sectPr w:rsidR="0073787A" w:rsidSect="00F90CF4">
      <w:headerReference w:type="even" r:id="rId13"/>
      <w:headerReference w:type="default" r:id="rId14"/>
      <w:footerReference w:type="even" r:id="rId15"/>
      <w:footerReference w:type="default" r:id="rId16"/>
      <w:headerReference w:type="first" r:id="rId17"/>
      <w:footerReference w:type="first" r:id="rId18"/>
      <w:pgSz w:w="16840" w:h="11907" w:orient="landscape" w:code="9"/>
      <w:pgMar w:top="1814" w:right="1985" w:bottom="1304" w:left="1418"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D49" w:rsidRDefault="00C80D49">
      <w:r>
        <w:separator/>
      </w:r>
    </w:p>
  </w:endnote>
  <w:endnote w:type="continuationSeparator" w:id="0">
    <w:p w:rsidR="00C80D49" w:rsidRDefault="00C80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F3143" w:rsidTr="005F48ED">
      <w:trPr>
        <w:trHeight w:hRule="exact" w:val="567"/>
      </w:trPr>
      <w:tc>
        <w:tcPr>
          <w:tcW w:w="510" w:type="dxa"/>
        </w:tcPr>
        <w:p w:rsidR="007F3143" w:rsidRPr="00A24443" w:rsidRDefault="007F314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51663">
            <w:rPr>
              <w:rStyle w:val="PageNumber"/>
              <w:caps w:val="0"/>
              <w:noProof/>
            </w:rPr>
            <w:t>18</w:t>
          </w:r>
          <w:r w:rsidRPr="00A24443">
            <w:rPr>
              <w:rStyle w:val="PageNumber"/>
              <w:caps w:val="0"/>
            </w:rPr>
            <w:fldChar w:fldCharType="end"/>
          </w:r>
        </w:p>
      </w:tc>
      <w:tc>
        <w:tcPr>
          <w:tcW w:w="7767" w:type="dxa"/>
        </w:tcPr>
        <w:p w:rsidR="007F3143" w:rsidRPr="0013739A" w:rsidRDefault="007F3143"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01323F">
            <w:rPr>
              <w:rFonts w:cs="Arial"/>
            </w:rPr>
            <w:t>Trade &amp; Assistance Review 2012-13 Methodological Annex</w:t>
          </w:r>
          <w:r w:rsidRPr="00BA5B14">
            <w:rPr>
              <w:rFonts w:cs="Arial"/>
            </w:rPr>
            <w:fldChar w:fldCharType="end"/>
          </w:r>
        </w:p>
      </w:tc>
      <w:tc>
        <w:tcPr>
          <w:tcW w:w="510" w:type="dxa"/>
        </w:tcPr>
        <w:p w:rsidR="007F3143" w:rsidRDefault="007F3143" w:rsidP="0019293B">
          <w:pPr>
            <w:pStyle w:val="Footer"/>
          </w:pPr>
        </w:p>
      </w:tc>
    </w:tr>
  </w:tbl>
  <w:p w:rsidR="007F3143" w:rsidRDefault="007F3143" w:rsidP="0019293B">
    <w:pPr>
      <w:pStyle w:val="FooterEnd"/>
    </w:pPr>
  </w:p>
  <w:p w:rsidR="007F3143" w:rsidRDefault="007F3143">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F3143" w:rsidTr="005F48ED">
      <w:trPr>
        <w:trHeight w:hRule="exact" w:val="567"/>
      </w:trPr>
      <w:tc>
        <w:tcPr>
          <w:tcW w:w="510" w:type="dxa"/>
        </w:tcPr>
        <w:p w:rsidR="007F3143" w:rsidRDefault="007F3143">
          <w:pPr>
            <w:pStyle w:val="Footer"/>
            <w:ind w:right="360" w:firstLine="360"/>
          </w:pPr>
        </w:p>
      </w:tc>
      <w:tc>
        <w:tcPr>
          <w:tcW w:w="7767" w:type="dxa"/>
        </w:tcPr>
        <w:p w:rsidR="007F3143" w:rsidRPr="00BA5B14" w:rsidRDefault="007F3143"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01323F">
            <w:rPr>
              <w:rFonts w:cs="Arial"/>
            </w:rPr>
            <w:t>Methodological changes to the estimates</w:t>
          </w:r>
          <w:r w:rsidRPr="00BA5B14">
            <w:rPr>
              <w:rFonts w:cs="Arial"/>
            </w:rPr>
            <w:fldChar w:fldCharType="end"/>
          </w:r>
        </w:p>
      </w:tc>
      <w:tc>
        <w:tcPr>
          <w:tcW w:w="510" w:type="dxa"/>
        </w:tcPr>
        <w:p w:rsidR="007F3143" w:rsidRPr="00A24443" w:rsidRDefault="007F314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51663">
            <w:rPr>
              <w:rStyle w:val="PageNumber"/>
              <w:caps w:val="0"/>
              <w:noProof/>
            </w:rPr>
            <w:t>15</w:t>
          </w:r>
          <w:r w:rsidRPr="00A24443">
            <w:rPr>
              <w:rStyle w:val="PageNumber"/>
              <w:caps w:val="0"/>
            </w:rPr>
            <w:fldChar w:fldCharType="end"/>
          </w:r>
        </w:p>
      </w:tc>
    </w:tr>
  </w:tbl>
  <w:p w:rsidR="007F3143" w:rsidRDefault="007F3143">
    <w:pPr>
      <w:pStyle w:val="FooterEnd"/>
    </w:pPr>
  </w:p>
  <w:p w:rsidR="007F3143" w:rsidRDefault="007F314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51663">
            <w:rPr>
              <w:rStyle w:val="PageNumber"/>
              <w:caps w:val="0"/>
              <w:noProof/>
            </w:rPr>
            <w:t>20</w:t>
          </w:r>
          <w:r w:rsidRPr="00A24443">
            <w:rPr>
              <w:rStyle w:val="PageNumber"/>
              <w:caps w:val="0"/>
            </w:rPr>
            <w:fldChar w:fldCharType="end"/>
          </w:r>
        </w:p>
      </w:tc>
      <w:tc>
        <w:tcPr>
          <w:tcW w:w="7767" w:type="dxa"/>
        </w:tcPr>
        <w:p w:rsidR="00772909" w:rsidRPr="0013739A" w:rsidRDefault="00772909"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01323F">
            <w:rPr>
              <w:rFonts w:cs="Arial"/>
            </w:rPr>
            <w:t>Trade &amp; Assistance Review 2012-13 Methodological Annex</w:t>
          </w:r>
          <w:r w:rsidRPr="00BA5B14">
            <w:rPr>
              <w:rFonts w:cs="Arial"/>
            </w:rPr>
            <w:fldChar w:fldCharType="end"/>
          </w:r>
          <w:bookmarkStart w:id="4" w:name="DraftReportEven"/>
          <w:bookmarkEnd w:id="4"/>
        </w:p>
      </w:tc>
      <w:tc>
        <w:tcPr>
          <w:tcW w:w="510" w:type="dxa"/>
        </w:tcPr>
        <w:p w:rsidR="00772909" w:rsidRDefault="00772909" w:rsidP="0019293B">
          <w:pPr>
            <w:pStyle w:val="Footer"/>
          </w:pPr>
        </w:p>
      </w:tc>
    </w:tr>
  </w:tbl>
  <w:p w:rsidR="00772909" w:rsidRDefault="00772909" w:rsidP="0019293B">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772909"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01323F">
            <w:rPr>
              <w:rFonts w:cs="Arial"/>
            </w:rPr>
            <w:t>Methodological changes to the estimates</w:t>
          </w:r>
          <w:r w:rsidRPr="00BA5B14">
            <w:rPr>
              <w:rFonts w:cs="Arial"/>
            </w:rPr>
            <w:fldChar w:fldCharType="end"/>
          </w:r>
          <w:bookmarkStart w:id="5" w:name="DraftReportOdd"/>
          <w:bookmarkEnd w:id="5"/>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51663">
            <w:rPr>
              <w:rStyle w:val="PageNumber"/>
              <w:caps w:val="0"/>
              <w:noProof/>
            </w:rPr>
            <w:t>19</w:t>
          </w:r>
          <w:r w:rsidRPr="00A24443">
            <w:rPr>
              <w:rStyle w:val="PageNumber"/>
              <w:caps w:val="0"/>
            </w:rPr>
            <w:fldChar w:fldCharType="end"/>
          </w:r>
        </w:p>
      </w:tc>
    </w:tr>
  </w:tbl>
  <w:p w:rsidR="00772909" w:rsidRDefault="00772909">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143" w:rsidRDefault="007F31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D49" w:rsidRDefault="00C80D49">
      <w:r>
        <w:separator/>
      </w:r>
    </w:p>
  </w:footnote>
  <w:footnote w:type="continuationSeparator" w:id="0">
    <w:p w:rsidR="00C80D49" w:rsidRDefault="00C80D49">
      <w:r>
        <w:continuationSeparator/>
      </w:r>
    </w:p>
  </w:footnote>
  <w:footnote w:id="1">
    <w:p w:rsidR="002F2260" w:rsidRDefault="002F2260">
      <w:pPr>
        <w:pStyle w:val="FootnoteText"/>
      </w:pPr>
      <w:r>
        <w:rPr>
          <w:rStyle w:val="FootnoteReference"/>
        </w:rPr>
        <w:footnoteRef/>
      </w:r>
      <w:r>
        <w:tab/>
      </w:r>
      <w:r w:rsidR="005104E1">
        <w:t xml:space="preserve">The initial benefiting industry allocation methodology is discussed in more detail in the Methodological Annex to the </w:t>
      </w:r>
      <w:r w:rsidR="005104E1" w:rsidRPr="005104E1">
        <w:rPr>
          <w:i/>
        </w:rPr>
        <w:t>Trade &amp; Assistance Review 2011</w:t>
      </w:r>
      <w:r w:rsidR="005104E1" w:rsidRPr="005104E1">
        <w:rPr>
          <w:i/>
        </w:rPr>
        <w:noBreakHyphen/>
        <w:t>12</w:t>
      </w:r>
      <w:r w:rsidR="005104E1">
        <w:t xml:space="preserve"> (PC 2014). </w:t>
      </w:r>
    </w:p>
  </w:footnote>
  <w:footnote w:id="2">
    <w:p w:rsidR="001644A4" w:rsidRDefault="001644A4">
      <w:pPr>
        <w:pStyle w:val="FootnoteText"/>
      </w:pPr>
      <w:r>
        <w:rPr>
          <w:rStyle w:val="FootnoteReference"/>
        </w:rPr>
        <w:footnoteRef/>
      </w:r>
      <w:r>
        <w:tab/>
        <w:t xml:space="preserve">Further examination of the activities of these CRCs as part of the preparation of this Annex has indicated that a wider range of the CRC </w:t>
      </w:r>
      <w:r w:rsidR="001E4182">
        <w:t xml:space="preserve">may </w:t>
      </w:r>
      <w:r>
        <w:t>have an industry component than implied by the published estimates. It is intended to further review the allocation for the 2013</w:t>
      </w:r>
      <w:r>
        <w:noBreakHyphen/>
        <w:t xml:space="preserve">14 </w:t>
      </w:r>
      <w:r w:rsidRPr="004B6942">
        <w:rPr>
          <w:i/>
        </w:rPr>
        <w:t>Review</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F3143">
      <w:tc>
        <w:tcPr>
          <w:tcW w:w="2155" w:type="dxa"/>
          <w:tcBorders>
            <w:top w:val="single" w:sz="24" w:space="0" w:color="auto"/>
          </w:tcBorders>
        </w:tcPr>
        <w:p w:rsidR="007F3143" w:rsidRDefault="007F3143">
          <w:pPr>
            <w:pStyle w:val="HeaderEven"/>
          </w:pPr>
        </w:p>
      </w:tc>
      <w:tc>
        <w:tcPr>
          <w:tcW w:w="6634" w:type="dxa"/>
          <w:tcBorders>
            <w:top w:val="single" w:sz="6" w:space="0" w:color="auto"/>
          </w:tcBorders>
        </w:tcPr>
        <w:p w:rsidR="007F3143" w:rsidRDefault="007F3143">
          <w:pPr>
            <w:pStyle w:val="HeaderEven"/>
          </w:pPr>
        </w:p>
      </w:tc>
    </w:tr>
  </w:tbl>
  <w:p w:rsidR="007F3143" w:rsidRDefault="007F3143">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F3143">
      <w:tc>
        <w:tcPr>
          <w:tcW w:w="6634" w:type="dxa"/>
          <w:tcBorders>
            <w:top w:val="single" w:sz="6" w:space="0" w:color="auto"/>
          </w:tcBorders>
        </w:tcPr>
        <w:p w:rsidR="007F3143" w:rsidRDefault="007F3143">
          <w:pPr>
            <w:pStyle w:val="HeaderOdd"/>
          </w:pPr>
        </w:p>
      </w:tc>
      <w:tc>
        <w:tcPr>
          <w:tcW w:w="2155" w:type="dxa"/>
          <w:tcBorders>
            <w:top w:val="single" w:sz="24" w:space="0" w:color="auto"/>
          </w:tcBorders>
        </w:tcPr>
        <w:p w:rsidR="007F3143" w:rsidRDefault="007F3143">
          <w:pPr>
            <w:pStyle w:val="HeaderOdd"/>
          </w:pPr>
        </w:p>
      </w:tc>
    </w:tr>
  </w:tbl>
  <w:p w:rsidR="007F3143" w:rsidRDefault="007F3143">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143" w:rsidRDefault="007F31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3"/>
  </w:num>
  <w:num w:numId="3">
    <w:abstractNumId w:val="14"/>
  </w:num>
  <w:num w:numId="4">
    <w:abstractNumId w:val="4"/>
  </w:num>
  <w:num w:numId="5">
    <w:abstractNumId w:val="19"/>
  </w:num>
  <w:num w:numId="6">
    <w:abstractNumId w:val="16"/>
  </w:num>
  <w:num w:numId="7">
    <w:abstractNumId w:val="8"/>
  </w:num>
  <w:num w:numId="8">
    <w:abstractNumId w:val="15"/>
  </w:num>
  <w:num w:numId="9">
    <w:abstractNumId w:val="7"/>
  </w:num>
  <w:num w:numId="10">
    <w:abstractNumId w:val="6"/>
  </w:num>
  <w:num w:numId="11">
    <w:abstractNumId w:val="10"/>
  </w:num>
  <w:num w:numId="12">
    <w:abstractNumId w:val="11"/>
  </w:num>
  <w:num w:numId="13">
    <w:abstractNumId w:val="5"/>
  </w:num>
  <w:num w:numId="14">
    <w:abstractNumId w:val="17"/>
  </w:num>
  <w:num w:numId="15">
    <w:abstractNumId w:val="20"/>
  </w:num>
  <w:num w:numId="16">
    <w:abstractNumId w:val="13"/>
  </w:num>
  <w:num w:numId="17">
    <w:abstractNumId w:val="21"/>
  </w:num>
  <w:num w:numId="18">
    <w:abstractNumId w:val="0"/>
  </w:num>
  <w:num w:numId="19">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9"/>
  </w:num>
  <w:num w:numId="22">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ethodological changes to the estimates"/>
    <w:docVar w:name="ShortReportTitle" w:val="Trade &amp; Assistance Review 2012-13 Methodological Annex"/>
  </w:docVars>
  <w:rsids>
    <w:rsidRoot w:val="0096563C"/>
    <w:rsid w:val="0001323F"/>
    <w:rsid w:val="000227D5"/>
    <w:rsid w:val="000245AA"/>
    <w:rsid w:val="00034238"/>
    <w:rsid w:val="0003664B"/>
    <w:rsid w:val="00037D1F"/>
    <w:rsid w:val="0004111F"/>
    <w:rsid w:val="00054AF2"/>
    <w:rsid w:val="00055077"/>
    <w:rsid w:val="000565B3"/>
    <w:rsid w:val="0006382F"/>
    <w:rsid w:val="0007150B"/>
    <w:rsid w:val="0008716D"/>
    <w:rsid w:val="000938F5"/>
    <w:rsid w:val="000955F6"/>
    <w:rsid w:val="00095663"/>
    <w:rsid w:val="00096E55"/>
    <w:rsid w:val="0009783E"/>
    <w:rsid w:val="000B1022"/>
    <w:rsid w:val="000B601B"/>
    <w:rsid w:val="000B6FA0"/>
    <w:rsid w:val="000C207E"/>
    <w:rsid w:val="000D0AEC"/>
    <w:rsid w:val="000D41E9"/>
    <w:rsid w:val="000F0035"/>
    <w:rsid w:val="000F04E7"/>
    <w:rsid w:val="000F060A"/>
    <w:rsid w:val="000F420B"/>
    <w:rsid w:val="000F5E63"/>
    <w:rsid w:val="00110116"/>
    <w:rsid w:val="00120072"/>
    <w:rsid w:val="00126EB8"/>
    <w:rsid w:val="001274D4"/>
    <w:rsid w:val="001355DF"/>
    <w:rsid w:val="001363AA"/>
    <w:rsid w:val="0013739A"/>
    <w:rsid w:val="00142165"/>
    <w:rsid w:val="00162434"/>
    <w:rsid w:val="001644A4"/>
    <w:rsid w:val="00183E82"/>
    <w:rsid w:val="00184F12"/>
    <w:rsid w:val="001878BB"/>
    <w:rsid w:val="00191AE0"/>
    <w:rsid w:val="0019293B"/>
    <w:rsid w:val="0019426B"/>
    <w:rsid w:val="001A2B52"/>
    <w:rsid w:val="001A6A4B"/>
    <w:rsid w:val="001C0865"/>
    <w:rsid w:val="001C0AED"/>
    <w:rsid w:val="001C3ABA"/>
    <w:rsid w:val="001C5111"/>
    <w:rsid w:val="001E4182"/>
    <w:rsid w:val="001E7BE8"/>
    <w:rsid w:val="001F0248"/>
    <w:rsid w:val="001F3EB3"/>
    <w:rsid w:val="001F4F86"/>
    <w:rsid w:val="00200E23"/>
    <w:rsid w:val="00202C2C"/>
    <w:rsid w:val="00203050"/>
    <w:rsid w:val="002135AB"/>
    <w:rsid w:val="002144BE"/>
    <w:rsid w:val="00224B56"/>
    <w:rsid w:val="00242279"/>
    <w:rsid w:val="00243997"/>
    <w:rsid w:val="0024516C"/>
    <w:rsid w:val="00245C82"/>
    <w:rsid w:val="00262F2C"/>
    <w:rsid w:val="00270577"/>
    <w:rsid w:val="002724BA"/>
    <w:rsid w:val="00291B40"/>
    <w:rsid w:val="002B4008"/>
    <w:rsid w:val="002B6A23"/>
    <w:rsid w:val="002C439F"/>
    <w:rsid w:val="002D0C42"/>
    <w:rsid w:val="002D0E8E"/>
    <w:rsid w:val="002E2DCF"/>
    <w:rsid w:val="002F2260"/>
    <w:rsid w:val="00301189"/>
    <w:rsid w:val="00301E4A"/>
    <w:rsid w:val="00311BE9"/>
    <w:rsid w:val="003168B8"/>
    <w:rsid w:val="00316E40"/>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B3BDC"/>
    <w:rsid w:val="003C2B6F"/>
    <w:rsid w:val="003C38B5"/>
    <w:rsid w:val="003C5D99"/>
    <w:rsid w:val="003D1087"/>
    <w:rsid w:val="003E0242"/>
    <w:rsid w:val="003E2F59"/>
    <w:rsid w:val="003E746B"/>
    <w:rsid w:val="003F0789"/>
    <w:rsid w:val="00401882"/>
    <w:rsid w:val="004023B4"/>
    <w:rsid w:val="004100C8"/>
    <w:rsid w:val="00411DBD"/>
    <w:rsid w:val="00412ACE"/>
    <w:rsid w:val="004145D2"/>
    <w:rsid w:val="00426CB4"/>
    <w:rsid w:val="00431249"/>
    <w:rsid w:val="00434C19"/>
    <w:rsid w:val="004454F0"/>
    <w:rsid w:val="0045029B"/>
    <w:rsid w:val="00450810"/>
    <w:rsid w:val="00456541"/>
    <w:rsid w:val="00462C59"/>
    <w:rsid w:val="0046708E"/>
    <w:rsid w:val="00470737"/>
    <w:rsid w:val="00477144"/>
    <w:rsid w:val="00477BBD"/>
    <w:rsid w:val="004832A4"/>
    <w:rsid w:val="00491380"/>
    <w:rsid w:val="0049459F"/>
    <w:rsid w:val="004A1718"/>
    <w:rsid w:val="004A38DD"/>
    <w:rsid w:val="004B43AE"/>
    <w:rsid w:val="004B582A"/>
    <w:rsid w:val="004B6942"/>
    <w:rsid w:val="004C28AB"/>
    <w:rsid w:val="004C30ED"/>
    <w:rsid w:val="004D5675"/>
    <w:rsid w:val="004E1037"/>
    <w:rsid w:val="004E3FC1"/>
    <w:rsid w:val="005104E1"/>
    <w:rsid w:val="00515F79"/>
    <w:rsid w:val="00517795"/>
    <w:rsid w:val="00517A42"/>
    <w:rsid w:val="005205D0"/>
    <w:rsid w:val="00523639"/>
    <w:rsid w:val="00531FE5"/>
    <w:rsid w:val="0053787B"/>
    <w:rsid w:val="005402FA"/>
    <w:rsid w:val="005470DD"/>
    <w:rsid w:val="0055548D"/>
    <w:rsid w:val="00555B57"/>
    <w:rsid w:val="00564326"/>
    <w:rsid w:val="005729BD"/>
    <w:rsid w:val="00580154"/>
    <w:rsid w:val="00583C39"/>
    <w:rsid w:val="00586A90"/>
    <w:rsid w:val="00587F28"/>
    <w:rsid w:val="005909CF"/>
    <w:rsid w:val="00591E71"/>
    <w:rsid w:val="005A0D41"/>
    <w:rsid w:val="005B46AC"/>
    <w:rsid w:val="005C0AFD"/>
    <w:rsid w:val="005D329F"/>
    <w:rsid w:val="005F00E9"/>
    <w:rsid w:val="005F48ED"/>
    <w:rsid w:val="00606E78"/>
    <w:rsid w:val="00607BF1"/>
    <w:rsid w:val="006216BA"/>
    <w:rsid w:val="00625D6B"/>
    <w:rsid w:val="00630D4D"/>
    <w:rsid w:val="00632A74"/>
    <w:rsid w:val="0064001D"/>
    <w:rsid w:val="006434C7"/>
    <w:rsid w:val="00652897"/>
    <w:rsid w:val="00654D42"/>
    <w:rsid w:val="00666E02"/>
    <w:rsid w:val="00682451"/>
    <w:rsid w:val="00683FF6"/>
    <w:rsid w:val="00686A3F"/>
    <w:rsid w:val="006A4655"/>
    <w:rsid w:val="006B2B3C"/>
    <w:rsid w:val="006C1D81"/>
    <w:rsid w:val="006C7038"/>
    <w:rsid w:val="006E73EF"/>
    <w:rsid w:val="006F3D84"/>
    <w:rsid w:val="007079C9"/>
    <w:rsid w:val="00714D4D"/>
    <w:rsid w:val="007266D3"/>
    <w:rsid w:val="00732029"/>
    <w:rsid w:val="0073787A"/>
    <w:rsid w:val="00743F97"/>
    <w:rsid w:val="007604BB"/>
    <w:rsid w:val="00772909"/>
    <w:rsid w:val="00782B69"/>
    <w:rsid w:val="00785232"/>
    <w:rsid w:val="00786FBF"/>
    <w:rsid w:val="0079701E"/>
    <w:rsid w:val="007A21EB"/>
    <w:rsid w:val="007B1A93"/>
    <w:rsid w:val="007C36C9"/>
    <w:rsid w:val="007D6401"/>
    <w:rsid w:val="007E01E4"/>
    <w:rsid w:val="007E7A12"/>
    <w:rsid w:val="007F3143"/>
    <w:rsid w:val="007F7107"/>
    <w:rsid w:val="00800D4C"/>
    <w:rsid w:val="0081030F"/>
    <w:rsid w:val="00812F4A"/>
    <w:rsid w:val="008136A0"/>
    <w:rsid w:val="0082087D"/>
    <w:rsid w:val="00835771"/>
    <w:rsid w:val="00836A27"/>
    <w:rsid w:val="00841971"/>
    <w:rsid w:val="00842933"/>
    <w:rsid w:val="0086082C"/>
    <w:rsid w:val="00864ADC"/>
    <w:rsid w:val="00874C61"/>
    <w:rsid w:val="00880153"/>
    <w:rsid w:val="00880F97"/>
    <w:rsid w:val="0088133A"/>
    <w:rsid w:val="0089285E"/>
    <w:rsid w:val="0089436C"/>
    <w:rsid w:val="008C61F6"/>
    <w:rsid w:val="008D1408"/>
    <w:rsid w:val="008D2141"/>
    <w:rsid w:val="008D365C"/>
    <w:rsid w:val="008D7622"/>
    <w:rsid w:val="009021A6"/>
    <w:rsid w:val="009030BF"/>
    <w:rsid w:val="00903B52"/>
    <w:rsid w:val="0091032F"/>
    <w:rsid w:val="00914368"/>
    <w:rsid w:val="0091524D"/>
    <w:rsid w:val="009223D9"/>
    <w:rsid w:val="00931076"/>
    <w:rsid w:val="00931EBE"/>
    <w:rsid w:val="009345D9"/>
    <w:rsid w:val="00934B15"/>
    <w:rsid w:val="00940C87"/>
    <w:rsid w:val="0094180E"/>
    <w:rsid w:val="00942B62"/>
    <w:rsid w:val="00946F8A"/>
    <w:rsid w:val="0095323B"/>
    <w:rsid w:val="00956A0C"/>
    <w:rsid w:val="00956BD9"/>
    <w:rsid w:val="00962489"/>
    <w:rsid w:val="0096563C"/>
    <w:rsid w:val="00967CD3"/>
    <w:rsid w:val="00990C2C"/>
    <w:rsid w:val="00996573"/>
    <w:rsid w:val="009A5171"/>
    <w:rsid w:val="009E1844"/>
    <w:rsid w:val="009F0D1B"/>
    <w:rsid w:val="009F5BBD"/>
    <w:rsid w:val="009F696D"/>
    <w:rsid w:val="009F6BC6"/>
    <w:rsid w:val="009F74EF"/>
    <w:rsid w:val="00A02826"/>
    <w:rsid w:val="00A15D5A"/>
    <w:rsid w:val="00A16506"/>
    <w:rsid w:val="00A17328"/>
    <w:rsid w:val="00A20CCF"/>
    <w:rsid w:val="00A20E1C"/>
    <w:rsid w:val="00A23A20"/>
    <w:rsid w:val="00A24443"/>
    <w:rsid w:val="00A268B9"/>
    <w:rsid w:val="00A268C7"/>
    <w:rsid w:val="00A2703A"/>
    <w:rsid w:val="00A33DFF"/>
    <w:rsid w:val="00A35115"/>
    <w:rsid w:val="00A36D9A"/>
    <w:rsid w:val="00A41CBD"/>
    <w:rsid w:val="00A44356"/>
    <w:rsid w:val="00A451DC"/>
    <w:rsid w:val="00A554AB"/>
    <w:rsid w:val="00A55654"/>
    <w:rsid w:val="00A57062"/>
    <w:rsid w:val="00A67781"/>
    <w:rsid w:val="00A73717"/>
    <w:rsid w:val="00A75859"/>
    <w:rsid w:val="00A761F9"/>
    <w:rsid w:val="00A92B53"/>
    <w:rsid w:val="00A94FA6"/>
    <w:rsid w:val="00AA49A0"/>
    <w:rsid w:val="00AA6710"/>
    <w:rsid w:val="00AB0681"/>
    <w:rsid w:val="00AB58C6"/>
    <w:rsid w:val="00AB5CAD"/>
    <w:rsid w:val="00AC3A15"/>
    <w:rsid w:val="00AD520B"/>
    <w:rsid w:val="00AD5484"/>
    <w:rsid w:val="00AE1F4D"/>
    <w:rsid w:val="00AE3B21"/>
    <w:rsid w:val="00AE3BCC"/>
    <w:rsid w:val="00B425C3"/>
    <w:rsid w:val="00B43B44"/>
    <w:rsid w:val="00B440AD"/>
    <w:rsid w:val="00B479BB"/>
    <w:rsid w:val="00B51181"/>
    <w:rsid w:val="00B53160"/>
    <w:rsid w:val="00B53E7E"/>
    <w:rsid w:val="00B544D8"/>
    <w:rsid w:val="00B6342E"/>
    <w:rsid w:val="00B7113F"/>
    <w:rsid w:val="00BA1CF0"/>
    <w:rsid w:val="00BA2BCF"/>
    <w:rsid w:val="00BA5B14"/>
    <w:rsid w:val="00BA73B6"/>
    <w:rsid w:val="00BA7E27"/>
    <w:rsid w:val="00BB2603"/>
    <w:rsid w:val="00BB4FCD"/>
    <w:rsid w:val="00BC04E9"/>
    <w:rsid w:val="00BD13EA"/>
    <w:rsid w:val="00BD386E"/>
    <w:rsid w:val="00BE3808"/>
    <w:rsid w:val="00C03B88"/>
    <w:rsid w:val="00C04CCB"/>
    <w:rsid w:val="00C062E9"/>
    <w:rsid w:val="00C07B64"/>
    <w:rsid w:val="00C13721"/>
    <w:rsid w:val="00C14FE4"/>
    <w:rsid w:val="00C21358"/>
    <w:rsid w:val="00C3066D"/>
    <w:rsid w:val="00C404BA"/>
    <w:rsid w:val="00C47417"/>
    <w:rsid w:val="00C52416"/>
    <w:rsid w:val="00C543F4"/>
    <w:rsid w:val="00C6291C"/>
    <w:rsid w:val="00C633CB"/>
    <w:rsid w:val="00C63683"/>
    <w:rsid w:val="00C664CD"/>
    <w:rsid w:val="00C679CB"/>
    <w:rsid w:val="00C7363F"/>
    <w:rsid w:val="00C736B7"/>
    <w:rsid w:val="00C80D49"/>
    <w:rsid w:val="00C81D4A"/>
    <w:rsid w:val="00C8762C"/>
    <w:rsid w:val="00CA00F9"/>
    <w:rsid w:val="00CA2961"/>
    <w:rsid w:val="00CB50D7"/>
    <w:rsid w:val="00CB6FD0"/>
    <w:rsid w:val="00CB7177"/>
    <w:rsid w:val="00CB7CED"/>
    <w:rsid w:val="00CC070F"/>
    <w:rsid w:val="00CC1998"/>
    <w:rsid w:val="00CC4946"/>
    <w:rsid w:val="00CC64A1"/>
    <w:rsid w:val="00CD5EF0"/>
    <w:rsid w:val="00CF3B11"/>
    <w:rsid w:val="00D17BC8"/>
    <w:rsid w:val="00D270A4"/>
    <w:rsid w:val="00D31FE9"/>
    <w:rsid w:val="00D34E1B"/>
    <w:rsid w:val="00D376BA"/>
    <w:rsid w:val="00D434A0"/>
    <w:rsid w:val="00D45634"/>
    <w:rsid w:val="00D50218"/>
    <w:rsid w:val="00D5568A"/>
    <w:rsid w:val="00D57707"/>
    <w:rsid w:val="00D63D73"/>
    <w:rsid w:val="00D64452"/>
    <w:rsid w:val="00D65BDE"/>
    <w:rsid w:val="00D66E1E"/>
    <w:rsid w:val="00D70696"/>
    <w:rsid w:val="00D72D82"/>
    <w:rsid w:val="00D746EB"/>
    <w:rsid w:val="00D75722"/>
    <w:rsid w:val="00D80CF5"/>
    <w:rsid w:val="00DA5BBA"/>
    <w:rsid w:val="00DB26D2"/>
    <w:rsid w:val="00DB2CFA"/>
    <w:rsid w:val="00DB511E"/>
    <w:rsid w:val="00DB67C9"/>
    <w:rsid w:val="00DB6D6A"/>
    <w:rsid w:val="00DC0C95"/>
    <w:rsid w:val="00DC4F0B"/>
    <w:rsid w:val="00DC6A16"/>
    <w:rsid w:val="00DD6580"/>
    <w:rsid w:val="00E01D7F"/>
    <w:rsid w:val="00E05C03"/>
    <w:rsid w:val="00E17C72"/>
    <w:rsid w:val="00E21FC6"/>
    <w:rsid w:val="00E255BE"/>
    <w:rsid w:val="00E31D58"/>
    <w:rsid w:val="00E431A9"/>
    <w:rsid w:val="00E50285"/>
    <w:rsid w:val="00E52ABD"/>
    <w:rsid w:val="00E57B34"/>
    <w:rsid w:val="00E669E2"/>
    <w:rsid w:val="00E76135"/>
    <w:rsid w:val="00E82E5D"/>
    <w:rsid w:val="00E82F4F"/>
    <w:rsid w:val="00E8483E"/>
    <w:rsid w:val="00E864DF"/>
    <w:rsid w:val="00E94DC6"/>
    <w:rsid w:val="00E96EAB"/>
    <w:rsid w:val="00EB2CC3"/>
    <w:rsid w:val="00EC2844"/>
    <w:rsid w:val="00EC5500"/>
    <w:rsid w:val="00EC6BB9"/>
    <w:rsid w:val="00ED18F8"/>
    <w:rsid w:val="00ED79BE"/>
    <w:rsid w:val="00EE6EDA"/>
    <w:rsid w:val="00EE778E"/>
    <w:rsid w:val="00EF6719"/>
    <w:rsid w:val="00EF68D0"/>
    <w:rsid w:val="00EF6C6C"/>
    <w:rsid w:val="00F056FC"/>
    <w:rsid w:val="00F0632F"/>
    <w:rsid w:val="00F069AE"/>
    <w:rsid w:val="00F10476"/>
    <w:rsid w:val="00F135D8"/>
    <w:rsid w:val="00F24750"/>
    <w:rsid w:val="00F31299"/>
    <w:rsid w:val="00F3534A"/>
    <w:rsid w:val="00F35BFB"/>
    <w:rsid w:val="00F36ACC"/>
    <w:rsid w:val="00F51609"/>
    <w:rsid w:val="00F51663"/>
    <w:rsid w:val="00F533FA"/>
    <w:rsid w:val="00F55C25"/>
    <w:rsid w:val="00F73727"/>
    <w:rsid w:val="00F766A7"/>
    <w:rsid w:val="00F81006"/>
    <w:rsid w:val="00F85325"/>
    <w:rsid w:val="00F90CF4"/>
    <w:rsid w:val="00F90EC2"/>
    <w:rsid w:val="00F92FA5"/>
    <w:rsid w:val="00FA5DEB"/>
    <w:rsid w:val="00FB7EB0"/>
    <w:rsid w:val="00FC0E9C"/>
    <w:rsid w:val="00FC7646"/>
    <w:rsid w:val="00FD22B1"/>
    <w:rsid w:val="00FD33F1"/>
    <w:rsid w:val="00FD3566"/>
    <w:rsid w:val="00FD7E0F"/>
    <w:rsid w:val="00FE5397"/>
    <w:rsid w:val="00FF2389"/>
    <w:rsid w:val="00FF59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Revision">
    <w:name w:val="Revision"/>
    <w:hidden/>
    <w:uiPriority w:val="99"/>
    <w:semiHidden/>
    <w:rsid w:val="0073787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Revision">
    <w:name w:val="Revision"/>
    <w:hidden/>
    <w:uiPriority w:val="99"/>
    <w:semiHidden/>
    <w:rsid w:val="007378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D7628-6415-47F5-89C5-B380BA63E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25</TotalTime>
  <Pages>6</Pages>
  <Words>1550</Words>
  <Characters>9515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Methodological changes to the estimates</vt:lpstr>
    </vt:vector>
  </TitlesOfParts>
  <Company>Productivity Commission</Company>
  <LinksUpToDate>false</LinksUpToDate>
  <CharactersWithSpaces>11043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changes to the estimates</dc:title>
  <dc:subject>Trade &amp; Assistance Review 2012-13 Methodological Annex</dc:subject>
  <dc:creator>Productivity Commission</dc:creator>
  <cp:keywords/>
  <dc:description>4.</dc:description>
  <cp:lastModifiedBy>Mark Pimperl</cp:lastModifiedBy>
  <cp:revision>16</cp:revision>
  <cp:lastPrinted>2014-10-20T04:21:00Z</cp:lastPrinted>
  <dcterms:created xsi:type="dcterms:W3CDTF">2014-09-25T12:00:00Z</dcterms:created>
  <dcterms:modified xsi:type="dcterms:W3CDTF">2014-10-23T01:14:00Z</dcterms:modified>
</cp:coreProperties>
</file>