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84F6A" w:rsidP="00B84F6A">
      <w:pPr>
        <w:pStyle w:val="Heading1"/>
        <w:spacing w:before="0"/>
      </w:pPr>
      <w:bookmarkStart w:id="0" w:name="ChapterNumber"/>
      <w:bookmarkStart w:id="1" w:name="_GoBack"/>
      <w:bookmarkEnd w:id="1"/>
      <w:r>
        <w:t>5</w:t>
      </w:r>
      <w:bookmarkEnd w:id="0"/>
      <w:r>
        <w:tab/>
      </w:r>
      <w:bookmarkStart w:id="2" w:name="ChapterTitle"/>
      <w:r>
        <w:t>Rules of Origin methodology</w:t>
      </w:r>
      <w:bookmarkEnd w:id="2"/>
    </w:p>
    <w:p w:rsidR="002C33CF" w:rsidRDefault="002C33CF" w:rsidP="002C33CF">
      <w:pPr>
        <w:pStyle w:val="BodyText"/>
      </w:pPr>
      <w:bookmarkStart w:id="3" w:name="begin"/>
      <w:bookmarkEnd w:id="3"/>
      <w:r>
        <w:t xml:space="preserve">This chapter summarises the methodology used to create the </w:t>
      </w:r>
      <w:r w:rsidR="00831701">
        <w:t>r</w:t>
      </w:r>
      <w:r>
        <w:t xml:space="preserve">ules of </w:t>
      </w:r>
      <w:r w:rsidR="00831701">
        <w:t>o</w:t>
      </w:r>
      <w:r>
        <w:t xml:space="preserve">rigin </w:t>
      </w:r>
      <w:r w:rsidR="003347AE">
        <w:t>figure</w:t>
      </w:r>
      <w:r w:rsidR="00F652C7">
        <w:t>s</w:t>
      </w:r>
      <w:r>
        <w:t xml:space="preserve"> </w:t>
      </w:r>
      <w:r w:rsidR="00841B5F">
        <w:t xml:space="preserve">published in the </w:t>
      </w:r>
      <w:r w:rsidRPr="002C33CF">
        <w:rPr>
          <w:i/>
        </w:rPr>
        <w:t>Trade &amp; Assistance Review 2012</w:t>
      </w:r>
      <w:r w:rsidRPr="002C33CF">
        <w:rPr>
          <w:i/>
        </w:rPr>
        <w:noBreakHyphen/>
        <w:t>13</w:t>
      </w:r>
      <w:r>
        <w:t xml:space="preserve"> </w:t>
      </w:r>
      <w:r w:rsidR="006C1F72">
        <w:t xml:space="preserve">and </w:t>
      </w:r>
      <w:r w:rsidR="00841B5F">
        <w:t xml:space="preserve">replicated </w:t>
      </w:r>
      <w:r w:rsidR="003347AE">
        <w:t xml:space="preserve">below </w:t>
      </w:r>
      <w:r w:rsidR="00841B5F">
        <w:t xml:space="preserve">in </w:t>
      </w:r>
      <w:r w:rsidR="00EC13EF">
        <w:t>figure </w:t>
      </w:r>
      <w:r w:rsidR="00841B5F">
        <w:t>5.1</w:t>
      </w:r>
      <w:r w:rsidR="006C1F72">
        <w:t xml:space="preserve">. </w:t>
      </w:r>
      <w:r w:rsidR="00F652C7">
        <w:t xml:space="preserve">The </w:t>
      </w:r>
      <w:r w:rsidR="006C1F72">
        <w:t xml:space="preserve">methodology is outlined for </w:t>
      </w:r>
      <w:r w:rsidR="00962E35">
        <w:t xml:space="preserve">the trade agreements </w:t>
      </w:r>
      <w:r w:rsidR="00234657">
        <w:t xml:space="preserve">Australia has entered into </w:t>
      </w:r>
      <w:r w:rsidR="00EC13EF">
        <w:t xml:space="preserve">to date </w:t>
      </w:r>
      <w:r w:rsidR="00234657">
        <w:t>w</w:t>
      </w:r>
      <w:r w:rsidR="00962E35">
        <w:t xml:space="preserve">ith </w:t>
      </w:r>
      <w:r w:rsidR="00234657">
        <w:t xml:space="preserve">New Zealand, </w:t>
      </w:r>
      <w:r w:rsidR="006C1F72">
        <w:t>Thailand</w:t>
      </w:r>
      <w:r w:rsidR="00234657">
        <w:t xml:space="preserve">, </w:t>
      </w:r>
      <w:r w:rsidR="00EC13EF">
        <w:t>the United States</w:t>
      </w:r>
      <w:r w:rsidR="00B275EA">
        <w:t xml:space="preserve">, </w:t>
      </w:r>
      <w:r w:rsidR="00234657">
        <w:t xml:space="preserve">Chile, ASEAN, </w:t>
      </w:r>
      <w:r w:rsidR="006C1F72">
        <w:t xml:space="preserve">Malaysia and Korea. The </w:t>
      </w:r>
      <w:r w:rsidR="00EC13EF">
        <w:t xml:space="preserve">texts for the </w:t>
      </w:r>
      <w:r w:rsidR="006C1F72">
        <w:t>rules of origin for each agreement are sourced from the Department of Foreign Affairs and Trade (DFAT) website.</w:t>
      </w:r>
      <w:r w:rsidR="006C1F72">
        <w:rPr>
          <w:rStyle w:val="FootnoteReference"/>
        </w:rPr>
        <w:footnoteReference w:id="1"/>
      </w:r>
      <w:r w:rsidR="006C1F72">
        <w:t xml:space="preserve"> </w:t>
      </w:r>
      <w:r w:rsidR="00F652C7">
        <w:t xml:space="preserve">The </w:t>
      </w:r>
      <w:r w:rsidR="00962E35">
        <w:t xml:space="preserve">general </w:t>
      </w:r>
      <w:r w:rsidR="00F652C7">
        <w:t xml:space="preserve">methodology </w:t>
      </w:r>
      <w:r w:rsidR="00962E35">
        <w:t xml:space="preserve">is </w:t>
      </w:r>
      <w:r w:rsidR="00F652C7">
        <w:t xml:space="preserve">outlined below </w:t>
      </w:r>
      <w:r w:rsidR="00962E35">
        <w:t>while th</w:t>
      </w:r>
      <w:r w:rsidR="00E23961">
        <w:t xml:space="preserve">e detailed </w:t>
      </w:r>
      <w:r w:rsidR="005F3BC9">
        <w:t xml:space="preserve">calculations for </w:t>
      </w:r>
      <w:r w:rsidR="00E23961">
        <w:t xml:space="preserve">individual agreements </w:t>
      </w:r>
      <w:r w:rsidR="00FE6851">
        <w:t>are</w:t>
      </w:r>
      <w:r w:rsidR="00E23961">
        <w:t xml:space="preserve"> in appendix</w:t>
      </w:r>
      <w:r w:rsidR="00EC13EF">
        <w:t> A</w:t>
      </w:r>
      <w:r w:rsidR="00E23961">
        <w:t>.</w:t>
      </w:r>
      <w:r w:rsidR="00B36957">
        <w:t xml:space="preserve"> </w:t>
      </w:r>
      <w:r w:rsidR="006C2018">
        <w:t xml:space="preserve">The supporting spreadsheets deriving the summary of </w:t>
      </w:r>
      <w:r w:rsidR="0093103C">
        <w:t xml:space="preserve">methods used to determine origin reported in the </w:t>
      </w:r>
      <w:r w:rsidR="0093103C" w:rsidRPr="00BB65FA">
        <w:rPr>
          <w:i/>
        </w:rPr>
        <w:t>Review</w:t>
      </w:r>
      <w:r w:rsidR="0093103C">
        <w:t xml:space="preserve"> (</w:t>
      </w:r>
      <w:r w:rsidR="00480173">
        <w:t>figure </w:t>
      </w:r>
      <w:r w:rsidR="0093103C">
        <w:t xml:space="preserve">6.1, p. 117) </w:t>
      </w:r>
      <w:r w:rsidR="006C2018">
        <w:t xml:space="preserve">are provided </w:t>
      </w:r>
      <w:r w:rsidR="00BB65FA">
        <w:t xml:space="preserve">on the web </w:t>
      </w:r>
      <w:r w:rsidR="006C2018">
        <w:t xml:space="preserve">with this Annex. </w:t>
      </w:r>
    </w:p>
    <w:p w:rsidR="00BC1B8D" w:rsidRDefault="00B36957" w:rsidP="002C33CF">
      <w:pPr>
        <w:pStyle w:val="BodyText"/>
      </w:pPr>
      <w:r>
        <w:t xml:space="preserve">To support the analysis of </w:t>
      </w:r>
      <w:r w:rsidR="00C329FE">
        <w:t xml:space="preserve">methods </w:t>
      </w:r>
      <w:r>
        <w:t>to determine origin</w:t>
      </w:r>
      <w:r w:rsidR="00C329FE">
        <w:t xml:space="preserve"> — the rules of origin — </w:t>
      </w:r>
      <w:r>
        <w:t>the</w:t>
      </w:r>
      <w:r w:rsidRPr="00EC13EF">
        <w:t xml:space="preserve"> </w:t>
      </w:r>
      <w:r>
        <w:t xml:space="preserve">texts for each agreement </w:t>
      </w:r>
      <w:r w:rsidRPr="00EC13EF">
        <w:t>w</w:t>
      </w:r>
      <w:r>
        <w:t>ere</w:t>
      </w:r>
      <w:r w:rsidRPr="00EC13EF">
        <w:t xml:space="preserve"> </w:t>
      </w:r>
      <w:r w:rsidR="00224AA2">
        <w:t>downloaded</w:t>
      </w:r>
      <w:r w:rsidR="00224AA2" w:rsidRPr="00EC13EF">
        <w:t xml:space="preserve"> </w:t>
      </w:r>
      <w:r w:rsidRPr="00EC13EF">
        <w:t xml:space="preserve">from </w:t>
      </w:r>
      <w:r>
        <w:t xml:space="preserve">the DFAT trade agreement website and </w:t>
      </w:r>
      <w:r w:rsidR="00C329FE">
        <w:t xml:space="preserve">saved to </w:t>
      </w:r>
      <w:r>
        <w:t>an Excel spreadsheet</w:t>
      </w:r>
      <w:r w:rsidR="005C1A1A">
        <w:t>.</w:t>
      </w:r>
      <w:r w:rsidR="005C1A1A" w:rsidRPr="005C1A1A">
        <w:t xml:space="preserve"> </w:t>
      </w:r>
      <w:r w:rsidR="005C1A1A">
        <w:t>It was not possible to adopt common procedures to summarise rules across agreements d</w:t>
      </w:r>
      <w:r>
        <w:t>ue to</w:t>
      </w:r>
      <w:r w:rsidR="00BC1B8D" w:rsidRPr="00BC1B8D">
        <w:t xml:space="preserve"> </w:t>
      </w:r>
      <w:r w:rsidR="00BC1B8D">
        <w:t>the:</w:t>
      </w:r>
      <w:r w:rsidR="00C329FE">
        <w:t xml:space="preserve"> </w:t>
      </w:r>
    </w:p>
    <w:p w:rsidR="00BC1B8D" w:rsidRDefault="00C329FE" w:rsidP="00BB65FA">
      <w:pPr>
        <w:pStyle w:val="ListBullet"/>
      </w:pPr>
      <w:r>
        <w:t>complexity of product-specific rules of origin in</w:t>
      </w:r>
      <w:r w:rsidR="00BC1B8D">
        <w:t xml:space="preserve"> each agreement and</w:t>
      </w:r>
      <w:r>
        <w:t xml:space="preserve"> the marked differences between agreements</w:t>
      </w:r>
      <w:r w:rsidR="005C1A1A">
        <w:t>; as well as</w:t>
      </w:r>
    </w:p>
    <w:p w:rsidR="00BC1B8D" w:rsidRDefault="00C329FE" w:rsidP="00BB65FA">
      <w:pPr>
        <w:pStyle w:val="ListBullet"/>
      </w:pPr>
      <w:proofErr w:type="gramStart"/>
      <w:r>
        <w:t>substantial</w:t>
      </w:r>
      <w:proofErr w:type="gramEnd"/>
      <w:r>
        <w:t xml:space="preserve"> </w:t>
      </w:r>
      <w:r w:rsidR="00B36957">
        <w:t>differences in formatting and nomenclature in each of the agreements</w:t>
      </w:r>
      <w:r w:rsidR="005C1A1A">
        <w:t xml:space="preserve">. </w:t>
      </w:r>
    </w:p>
    <w:p w:rsidR="00C53E35" w:rsidRDefault="00BC1B8D" w:rsidP="002C33CF">
      <w:pPr>
        <w:pStyle w:val="BodyText"/>
      </w:pPr>
      <w:r>
        <w:t xml:space="preserve">Rather </w:t>
      </w:r>
      <w:r w:rsidR="00B36957">
        <w:t xml:space="preserve">the detailed procedures used to </w:t>
      </w:r>
      <w:r w:rsidR="00BB65FA">
        <w:t xml:space="preserve">tally </w:t>
      </w:r>
      <w:r w:rsidR="00B36957">
        <w:t xml:space="preserve">the incidence of rules of different types </w:t>
      </w:r>
      <w:r>
        <w:t xml:space="preserve">had to </w:t>
      </w:r>
      <w:proofErr w:type="gramStart"/>
      <w:r>
        <w:t>be</w:t>
      </w:r>
      <w:proofErr w:type="gramEnd"/>
      <w:r>
        <w:t xml:space="preserve"> tailored to the texts of the individual </w:t>
      </w:r>
      <w:r w:rsidR="00B36957">
        <w:t xml:space="preserve">agreements. </w:t>
      </w:r>
      <w:r w:rsidR="00480173">
        <w:t>Box </w:t>
      </w:r>
      <w:r>
        <w:t xml:space="preserve">6.6 (p. 115) in the Review illustrates how differences manifest in actual agreements with reference to the tariff item Curtains (including drapes) and interior blinds; curtain and bed valances (HS item 6303). </w:t>
      </w:r>
      <w:r w:rsidR="00BB65FA">
        <w:t>Differences in e</w:t>
      </w:r>
      <w:r w:rsidR="00C53E35">
        <w:t xml:space="preserve">xpression </w:t>
      </w:r>
      <w:r w:rsidR="00BB65FA">
        <w:t>are illustrated by</w:t>
      </w:r>
      <w:r w:rsidR="00B36957">
        <w:t xml:space="preserve"> the agreement-specific </w:t>
      </w:r>
      <w:r w:rsidR="00BB65FA">
        <w:t>nomenclatures. While t</w:t>
      </w:r>
      <w:r w:rsidR="00B36957">
        <w:t xml:space="preserve">he ASEAN and Korean agreements which use acronyms in rules texts (such as CC which describes a tariff change at the </w:t>
      </w:r>
      <w:r w:rsidR="00444482">
        <w:t>2-digit</w:t>
      </w:r>
      <w:r w:rsidR="00B36957">
        <w:t xml:space="preserve"> chapter level</w:t>
      </w:r>
      <w:r w:rsidR="00BB65FA">
        <w:t>), o</w:t>
      </w:r>
      <w:r w:rsidR="00B36957">
        <w:t>ther agreements use full text descriptors for each origin rule</w:t>
      </w:r>
      <w:r w:rsidR="00C53E35">
        <w:t>, often involving complex layering of texts</w:t>
      </w:r>
      <w:r w:rsidR="00B36957">
        <w:t xml:space="preserve">. </w:t>
      </w:r>
      <w:r w:rsidR="00C53E35">
        <w:t>All agreements include, to some extent</w:t>
      </w:r>
      <w:r w:rsidR="00BB65FA">
        <w:t>,</w:t>
      </w:r>
      <w:r w:rsidR="00C53E35">
        <w:t xml:space="preserve"> rule choices with these typically being expressed differently between agreements. </w:t>
      </w:r>
    </w:p>
    <w:p w:rsidR="00B36957" w:rsidRDefault="00C53E35" w:rsidP="002C33CF">
      <w:pPr>
        <w:pStyle w:val="BodyText"/>
      </w:pPr>
      <w:r>
        <w:t xml:space="preserve">The rule differences and differences </w:t>
      </w:r>
      <w:r w:rsidR="00B36957">
        <w:t>in formatting also mean that the approach to counting the number of rules in each agreement needs to be tailored to the texts. Tailoring is also required to avoid double counting of rules in some agreements</w:t>
      </w:r>
      <w:r>
        <w:t xml:space="preserve">, particularly when </w:t>
      </w:r>
      <w:r w:rsidR="00BB65FA">
        <w:t xml:space="preserve">the </w:t>
      </w:r>
      <w:r>
        <w:t xml:space="preserve">rules </w:t>
      </w:r>
      <w:r w:rsidR="00BB65FA">
        <w:t xml:space="preserve">for a trade item </w:t>
      </w:r>
      <w:r>
        <w:t>include multiple choices</w:t>
      </w:r>
      <w:r w:rsidR="00B36957">
        <w:t>.</w:t>
      </w:r>
    </w:p>
    <w:p w:rsidR="00CE2398" w:rsidRDefault="00CE2398" w:rsidP="00B36957">
      <w:pPr>
        <w:pStyle w:val="BodyText"/>
      </w:pPr>
      <w:r>
        <w:t xml:space="preserve">Because of the complexity of origin rules in individual agreements, and differences of rules and the expression of them between agreements, there is no single way of summarising </w:t>
      </w:r>
      <w:r>
        <w:lastRenderedPageBreak/>
        <w:t xml:space="preserve">rules within and between agreements. </w:t>
      </w:r>
      <w:r w:rsidR="003606A4">
        <w:t>T</w:t>
      </w:r>
      <w:r>
        <w:t>he approach adopted for the 2012</w:t>
      </w:r>
      <w:r>
        <w:noBreakHyphen/>
        <w:t xml:space="preserve">13 </w:t>
      </w:r>
      <w:r w:rsidRPr="00A130E5">
        <w:rPr>
          <w:i/>
        </w:rPr>
        <w:t>Review</w:t>
      </w:r>
      <w:r>
        <w:t xml:space="preserve"> </w:t>
      </w:r>
      <w:r w:rsidR="003606A4">
        <w:t>has a number of aspects.</w:t>
      </w:r>
    </w:p>
    <w:p w:rsidR="001278A3" w:rsidRDefault="005C356A" w:rsidP="00A130E5">
      <w:pPr>
        <w:pStyle w:val="ListBullet"/>
      </w:pPr>
      <w:r>
        <w:t>The i</w:t>
      </w:r>
      <w:r w:rsidRPr="00E864B0">
        <w:t xml:space="preserve">ndividual rules can be expressed at the </w:t>
      </w:r>
      <w:r w:rsidR="00444482">
        <w:t>2-digit</w:t>
      </w:r>
      <w:r>
        <w:t xml:space="preserve"> chapter, </w:t>
      </w:r>
      <w:r w:rsidR="00444482">
        <w:t>4-digit</w:t>
      </w:r>
      <w:r w:rsidRPr="00E864B0">
        <w:t xml:space="preserve"> heading, </w:t>
      </w:r>
      <w:proofErr w:type="gramStart"/>
      <w:r w:rsidRPr="00E864B0">
        <w:t>the</w:t>
      </w:r>
      <w:proofErr w:type="gramEnd"/>
      <w:r w:rsidRPr="00E864B0">
        <w:t xml:space="preserve"> </w:t>
      </w:r>
      <w:r w:rsidR="00444482">
        <w:t>6-digit</w:t>
      </w:r>
      <w:r w:rsidRPr="00E864B0">
        <w:t xml:space="preserve"> subheading level</w:t>
      </w:r>
      <w:r>
        <w:t>s</w:t>
      </w:r>
      <w:r w:rsidRPr="00E864B0">
        <w:t xml:space="preserve"> or for groupings of tariff line items</w:t>
      </w:r>
      <w:r>
        <w:t xml:space="preserve"> of the Harmonized System (HS) of international trade items</w:t>
      </w:r>
      <w:r w:rsidRPr="00E864B0">
        <w:t xml:space="preserve">. </w:t>
      </w:r>
      <w:r w:rsidR="00A130E5">
        <w:t xml:space="preserve">The counts are made in respect of the items or groups as expressed in the agreement texts. </w:t>
      </w:r>
      <w:r>
        <w:t xml:space="preserve">As a consequence, the number of individual rules in any one agreement can be substantial and, moreover, vary between agreements. Individual rules can offer single or multiple </w:t>
      </w:r>
      <w:r w:rsidR="00E3314B">
        <w:t>choices</w:t>
      </w:r>
      <w:r>
        <w:t xml:space="preserve"> and each </w:t>
      </w:r>
      <w:r w:rsidR="00E3314B">
        <w:t>choice</w:t>
      </w:r>
      <w:r>
        <w:t xml:space="preserve"> can include one or more </w:t>
      </w:r>
      <w:r w:rsidR="00E3314B">
        <w:t>tests of origin</w:t>
      </w:r>
      <w:r>
        <w:t>.</w:t>
      </w:r>
      <w:r w:rsidR="00E911C1">
        <w:rPr>
          <w:rStyle w:val="FootnoteReference"/>
        </w:rPr>
        <w:footnoteReference w:id="2"/>
      </w:r>
      <w:r>
        <w:t xml:space="preserve"> </w:t>
      </w:r>
    </w:p>
    <w:p w:rsidR="00BD328F" w:rsidRDefault="001278A3" w:rsidP="00A130E5">
      <w:pPr>
        <w:pStyle w:val="ListBullet"/>
      </w:pPr>
      <w:r>
        <w:t xml:space="preserve">For each rule, rules entailing a change in tariff classification (CTC) test only, </w:t>
      </w:r>
      <w:proofErr w:type="gramStart"/>
      <w:r>
        <w:t>a regional</w:t>
      </w:r>
      <w:proofErr w:type="gramEnd"/>
      <w:r>
        <w:t xml:space="preserve"> value content (RVC) test only, and </w:t>
      </w:r>
      <w:r w:rsidR="00E3314B">
        <w:t xml:space="preserve">the choice of </w:t>
      </w:r>
      <w:r>
        <w:t xml:space="preserve">either a CTC or RVC test are separately identified. Other rules such as </w:t>
      </w:r>
      <w:r w:rsidR="000D465A">
        <w:t>‘</w:t>
      </w:r>
      <w:r>
        <w:t xml:space="preserve">wholly </w:t>
      </w:r>
      <w:r w:rsidR="000D465A">
        <w:t>obtain</w:t>
      </w:r>
      <w:r w:rsidR="00444482">
        <w:t>ed</w:t>
      </w:r>
      <w:r w:rsidR="000D465A">
        <w:t xml:space="preserve">’, technical tests, or CTC and RVC rules are included in the ‘other’ category reported. </w:t>
      </w:r>
    </w:p>
    <w:p w:rsidR="00CE2398" w:rsidRDefault="00E911C1" w:rsidP="00A130E5">
      <w:pPr>
        <w:pStyle w:val="ListBullet"/>
      </w:pPr>
      <w:r>
        <w:t xml:space="preserve">The focus of reporting on the application of the CTC method is on the first </w:t>
      </w:r>
      <w:r w:rsidR="00E3314B">
        <w:t xml:space="preserve">component (or choice) </w:t>
      </w:r>
      <w:r>
        <w:t xml:space="preserve">of each rule. The reporting indicates whether the CTC test is applied at the 2-digit chapter, 4-digit heading or the 6-digit subheading levels. The reporting includes tests that are CTC only and </w:t>
      </w:r>
      <w:r w:rsidR="00E3314B">
        <w:t xml:space="preserve">CTC in combination with </w:t>
      </w:r>
      <w:r w:rsidR="00A130E5">
        <w:t>another criterion</w:t>
      </w:r>
      <w:r w:rsidR="00E3314B">
        <w:t>, such as an RVC test or a technical test.</w:t>
      </w:r>
      <w:r w:rsidR="00E3314B">
        <w:rPr>
          <w:rStyle w:val="FootnoteReference"/>
        </w:rPr>
        <w:footnoteReference w:id="3"/>
      </w:r>
      <w:r w:rsidR="00E3314B">
        <w:t xml:space="preserve"> </w:t>
      </w:r>
      <w:r>
        <w:t xml:space="preserve"> </w:t>
      </w:r>
    </w:p>
    <w:p w:rsidR="00B36957" w:rsidRDefault="00B36957" w:rsidP="00B36957">
      <w:pPr>
        <w:pStyle w:val="BodyText"/>
      </w:pPr>
      <w:r>
        <w:t xml:space="preserve">The procedures </w:t>
      </w:r>
      <w:r w:rsidR="00211920">
        <w:t xml:space="preserve">underpinning the reporting </w:t>
      </w:r>
      <w:r>
        <w:t xml:space="preserve">involve performing a </w:t>
      </w:r>
      <w:r w:rsidRPr="00D364B2">
        <w:rPr>
          <w:i/>
        </w:rPr>
        <w:t>cell count</w:t>
      </w:r>
      <w:r>
        <w:t xml:space="preserve"> to determine the total number of rules and then </w:t>
      </w:r>
      <w:r w:rsidRPr="00D364B2">
        <w:rPr>
          <w:i/>
        </w:rPr>
        <w:t>counting the number of individual rules</w:t>
      </w:r>
      <w:r>
        <w:t xml:space="preserve"> that correspond to the rule-types report</w:t>
      </w:r>
      <w:r w:rsidR="00211920">
        <w:t>ed</w:t>
      </w:r>
      <w:r>
        <w:t xml:space="preserve">. For the left hand panel in </w:t>
      </w:r>
      <w:r w:rsidR="00480173">
        <w:t>figure </w:t>
      </w:r>
      <w:r>
        <w:t xml:space="preserve">5.1, all possible origin rules were separated into four categories — those that involve a change in tariff classification only test (covering changes in tariff classification at the </w:t>
      </w:r>
      <w:r w:rsidR="00444482">
        <w:t>2-digit</w:t>
      </w:r>
      <w:r>
        <w:t xml:space="preserve"> chapter, </w:t>
      </w:r>
      <w:r w:rsidR="00444482">
        <w:t>4-digit</w:t>
      </w:r>
      <w:r>
        <w:t xml:space="preserve"> heading and </w:t>
      </w:r>
      <w:r w:rsidR="00444482">
        <w:t>6-digit</w:t>
      </w:r>
      <w:r>
        <w:t xml:space="preserve"> </w:t>
      </w:r>
      <w:r w:rsidR="00444482">
        <w:t>subheading</w:t>
      </w:r>
      <w:r>
        <w:t xml:space="preserve"> level); those that involve a regional value content test only; those that involve either a change in tariff classification or a regional value content test; and all other rules. For the right hand panel of </w:t>
      </w:r>
      <w:r w:rsidR="00480173">
        <w:t>figure </w:t>
      </w:r>
      <w:r>
        <w:t xml:space="preserve">5.1, rules that only involve a change in tariff classification were counted. </w:t>
      </w:r>
      <w:r w:rsidR="00211920">
        <w:t xml:space="preserve">As noted, for rules </w:t>
      </w:r>
      <w:r w:rsidR="00C93752">
        <w:t xml:space="preserve">with </w:t>
      </w:r>
      <w:r w:rsidR="00211920">
        <w:t xml:space="preserve">multiple components (or choices), the reporting refers to the CTC of the first component. The counts of the application of the CTC method in the first rule </w:t>
      </w:r>
      <w:r>
        <w:t xml:space="preserve">were decomposed into three categories — a change at the </w:t>
      </w:r>
      <w:r w:rsidR="00444482">
        <w:t>2-digit</w:t>
      </w:r>
      <w:r>
        <w:t xml:space="preserve"> tariff item chapter level, a change at the </w:t>
      </w:r>
      <w:r w:rsidR="00444482">
        <w:t>4-digit</w:t>
      </w:r>
      <w:r>
        <w:t xml:space="preserve"> tariff item heading level and a change at the </w:t>
      </w:r>
      <w:r w:rsidR="00444482">
        <w:t>6-digit</w:t>
      </w:r>
      <w:r>
        <w:t xml:space="preserve"> tariff item subheading level.</w:t>
      </w:r>
    </w:p>
    <w:p w:rsidR="00B36957" w:rsidRDefault="00B36957" w:rsidP="002C33CF">
      <w:pPr>
        <w:pStyle w:val="BodyText"/>
      </w:pPr>
      <w:r>
        <w:t>The counts of the incidence of rules of origin, on which figure 5.1 is based, are shown in table 5.1.</w:t>
      </w:r>
      <w:r w:rsidR="0093103C">
        <w:t xml:space="preserve"> Figure 5.1 in this Annex corresponds to figure 6.1 in the Review. </w:t>
      </w:r>
    </w:p>
    <w:p w:rsidR="00245C0F" w:rsidRDefault="00245C0F" w:rsidP="003F610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5C0F" w:rsidTr="003F610E">
        <w:tc>
          <w:tcPr>
            <w:tcW w:w="8771" w:type="dxa"/>
            <w:tcBorders>
              <w:top w:val="single" w:sz="6" w:space="0" w:color="78A22F"/>
              <w:left w:val="nil"/>
              <w:bottom w:val="nil"/>
              <w:right w:val="nil"/>
            </w:tcBorders>
            <w:shd w:val="clear" w:color="auto" w:fill="auto"/>
          </w:tcPr>
          <w:p w:rsidR="00245C0F" w:rsidRPr="00176D3F" w:rsidRDefault="00245C0F" w:rsidP="00245C0F">
            <w:pPr>
              <w:pStyle w:val="FigureTitle"/>
            </w:pPr>
            <w:bookmarkStart w:id="4" w:name="OLE_LINK1"/>
            <w:r w:rsidRPr="00784A05">
              <w:rPr>
                <w:b w:val="0"/>
              </w:rPr>
              <w:t xml:space="preserve">Figure </w:t>
            </w:r>
            <w:r w:rsidR="00B84F6A">
              <w:rPr>
                <w:b w:val="0"/>
              </w:rPr>
              <w:t>5.</w:t>
            </w:r>
            <w:r w:rsidR="002C6F8A">
              <w:rPr>
                <w:b w:val="0"/>
                <w:noProof/>
              </w:rPr>
              <w:t>1</w:t>
            </w:r>
            <w:r>
              <w:tab/>
              <w:t>Summary of methods used to determine origin in recent preferential trade agreements with Australia</w:t>
            </w:r>
            <w:r w:rsidRPr="00245C0F">
              <w:rPr>
                <w:rStyle w:val="NoteLabel"/>
              </w:rPr>
              <w:t>a,b</w:t>
            </w:r>
            <w:bookmarkEnd w:id="4"/>
          </w:p>
        </w:tc>
      </w:tr>
      <w:tr w:rsidR="00245C0F" w:rsidTr="003F610E">
        <w:tc>
          <w:tcPr>
            <w:tcW w:w="8771" w:type="dxa"/>
            <w:tcBorders>
              <w:top w:val="nil"/>
              <w:left w:val="nil"/>
              <w:bottom w:val="nil"/>
              <w:right w:val="nil"/>
            </w:tcBorders>
            <w:shd w:val="clear" w:color="auto" w:fill="auto"/>
            <w:tcMar>
              <w:top w:w="28" w:type="dxa"/>
              <w:bottom w:w="28" w:type="dxa"/>
            </w:tcMar>
          </w:tcPr>
          <w:tbl>
            <w:tblPr>
              <w:tblW w:w="8444"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4222"/>
              <w:gridCol w:w="4222"/>
            </w:tblGrid>
            <w:tr w:rsidR="00F652C7" w:rsidTr="00BB3EF5">
              <w:trPr>
                <w:trHeight w:val="573"/>
              </w:trPr>
              <w:tc>
                <w:tcPr>
                  <w:tcW w:w="4222" w:type="dxa"/>
                  <w:tcBorders>
                    <w:top w:val="nil"/>
                    <w:bottom w:val="nil"/>
                  </w:tcBorders>
                </w:tcPr>
                <w:p w:rsidR="00B21BE8" w:rsidRDefault="00B21BE8" w:rsidP="008356C6">
                  <w:pPr>
                    <w:pStyle w:val="TableColumnHeading"/>
                    <w:spacing w:before="20" w:after="20"/>
                    <w:jc w:val="center"/>
                  </w:pPr>
                  <w:r>
                    <w:t>Rule for determining origin</w:t>
                  </w:r>
                </w:p>
                <w:p w:rsidR="00F652C7" w:rsidRDefault="00B21BE8" w:rsidP="00D56895">
                  <w:pPr>
                    <w:pStyle w:val="TableColumnHeading"/>
                    <w:spacing w:before="20" w:after="20"/>
                    <w:jc w:val="center"/>
                  </w:pPr>
                  <w:r w:rsidRPr="00B21BE8">
                    <w:rPr>
                      <w:i w:val="0"/>
                    </w:rPr>
                    <w:t>Per cent of specified rules</w:t>
                  </w:r>
                  <w:r w:rsidRPr="00B21BE8">
                    <w:rPr>
                      <w:rStyle w:val="NoteLabel"/>
                      <w:i w:val="0"/>
                    </w:rPr>
                    <w:t>c</w:t>
                  </w:r>
                  <w:r w:rsidR="00FE621B" w:rsidDel="00FE621B">
                    <w:rPr>
                      <w:noProof/>
                    </w:rPr>
                    <w:t xml:space="preserve"> </w:t>
                  </w:r>
                </w:p>
              </w:tc>
              <w:tc>
                <w:tcPr>
                  <w:tcW w:w="4222" w:type="dxa"/>
                  <w:tcBorders>
                    <w:top w:val="nil"/>
                    <w:bottom w:val="nil"/>
                  </w:tcBorders>
                </w:tcPr>
                <w:p w:rsidR="00B21BE8" w:rsidRDefault="00B21BE8" w:rsidP="008356C6">
                  <w:pPr>
                    <w:pStyle w:val="TableColumnHeading"/>
                    <w:spacing w:before="20" w:after="20"/>
                    <w:jc w:val="center"/>
                  </w:pPr>
                  <w:r>
                    <w:t>Application of CTC method</w:t>
                  </w:r>
                  <w:r w:rsidRPr="00B21BE8">
                    <w:rPr>
                      <w:rStyle w:val="NoteLabel"/>
                      <w:i w:val="0"/>
                    </w:rPr>
                    <w:t>d</w:t>
                  </w:r>
                </w:p>
                <w:p w:rsidR="00F652C7" w:rsidRDefault="00B21BE8" w:rsidP="00D56895">
                  <w:pPr>
                    <w:pStyle w:val="TableColumnHeading"/>
                    <w:spacing w:before="20" w:after="20"/>
                    <w:jc w:val="center"/>
                  </w:pPr>
                  <w:r w:rsidRPr="00B21BE8">
                    <w:rPr>
                      <w:i w:val="0"/>
                    </w:rPr>
                    <w:t>Per cent of CTC-specified rules</w:t>
                  </w:r>
                  <w:r w:rsidRPr="00B21BE8">
                    <w:rPr>
                      <w:rStyle w:val="NoteLabel"/>
                      <w:i w:val="0"/>
                    </w:rPr>
                    <w:t>c</w:t>
                  </w:r>
                </w:p>
              </w:tc>
            </w:tr>
            <w:tr w:rsidR="00D56895" w:rsidTr="00BB3EF5">
              <w:trPr>
                <w:trHeight w:val="4859"/>
              </w:trPr>
              <w:tc>
                <w:tcPr>
                  <w:tcW w:w="4222" w:type="dxa"/>
                  <w:tcBorders>
                    <w:top w:val="nil"/>
                    <w:bottom w:val="nil"/>
                  </w:tcBorders>
                </w:tcPr>
                <w:p w:rsidR="00D56895" w:rsidRDefault="00D56895" w:rsidP="008356C6">
                  <w:pPr>
                    <w:pStyle w:val="TableColumnHeading"/>
                    <w:spacing w:before="20" w:after="20"/>
                    <w:jc w:val="center"/>
                  </w:pPr>
                  <w:r>
                    <w:rPr>
                      <w:noProof/>
                    </w:rPr>
                    <w:drawing>
                      <wp:inline distT="0" distB="0" distL="0" distR="0" wp14:anchorId="7454501A" wp14:editId="6191E443">
                        <wp:extent cx="2600325" cy="3209925"/>
                        <wp:effectExtent l="0" t="0" r="0" b="0"/>
                        <wp:docPr id="1" name="Chart 1" descr="Figure 5.1. Summary of methods used to determine origin in recent preferential trade agreements with Australia. This figure is split into two panels. The left hand panel presents the per cent of specified rules for each trade agreement. The right hand panel presents the per cent of CTC specified rules for each trade agreement.  More details can be found within the text immediately surrounding this image. "/>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222" w:type="dxa"/>
                  <w:tcBorders>
                    <w:top w:val="nil"/>
                    <w:bottom w:val="nil"/>
                  </w:tcBorders>
                </w:tcPr>
                <w:p w:rsidR="00D56895" w:rsidRDefault="00BB3EF5" w:rsidP="008356C6">
                  <w:pPr>
                    <w:pStyle w:val="TableColumnHeading"/>
                    <w:spacing w:before="20" w:after="20"/>
                    <w:jc w:val="center"/>
                  </w:pPr>
                  <w:r>
                    <w:rPr>
                      <w:noProof/>
                    </w:rPr>
                    <w:drawing>
                      <wp:inline distT="0" distB="0" distL="0" distR="0" wp14:anchorId="34EED10E" wp14:editId="48D6E372">
                        <wp:extent cx="2686050" cy="3209925"/>
                        <wp:effectExtent l="0" t="0" r="0" b="0"/>
                        <wp:docPr id="6" name="Chart 6" descr="Figure 5.1. Summary of methods used to determine origin in recent preferential trade agreements with Australia. This figure is split into two panels. The left hand panel presents the per cent of specified rules for each trade agreement. The right hand panel presents the per cent of CTC specified rules for each trade agreement.  More details can be found within the text immediately surrounding this image. "/>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245C0F" w:rsidRDefault="00245C0F" w:rsidP="003F610E">
            <w:pPr>
              <w:pStyle w:val="Figure"/>
            </w:pPr>
          </w:p>
        </w:tc>
      </w:tr>
      <w:tr w:rsidR="00245C0F" w:rsidRPr="00176D3F" w:rsidTr="003F610E">
        <w:tc>
          <w:tcPr>
            <w:tcW w:w="8771" w:type="dxa"/>
            <w:tcBorders>
              <w:top w:val="nil"/>
              <w:left w:val="nil"/>
              <w:bottom w:val="nil"/>
              <w:right w:val="nil"/>
            </w:tcBorders>
            <w:shd w:val="clear" w:color="auto" w:fill="auto"/>
          </w:tcPr>
          <w:p w:rsidR="00245C0F" w:rsidRPr="00176D3F" w:rsidRDefault="00245C0F" w:rsidP="00B36957">
            <w:pPr>
              <w:pStyle w:val="Note"/>
            </w:pPr>
            <w:bookmarkStart w:id="5" w:name="OLE_LINK2"/>
            <w:proofErr w:type="gramStart"/>
            <w:r>
              <w:rPr>
                <w:rStyle w:val="NoteLabel"/>
              </w:rPr>
              <w:t>a</w:t>
            </w:r>
            <w:proofErr w:type="gramEnd"/>
            <w:r w:rsidR="00B21BE8">
              <w:t> </w:t>
            </w:r>
            <w:r w:rsidR="00B21BE8" w:rsidRPr="00B21BE8">
              <w:t xml:space="preserve">‘CTC’ refers to a change in tariff classification test. ‘RVC’ refers to a regional value content rule. ‘Other’ includes, combined CTC and RVC rules, CTC rules with exceptions and specified process tests </w:t>
            </w:r>
            <w:r w:rsidR="008356C6">
              <w:t xml:space="preserve">requiring </w:t>
            </w:r>
            <w:r w:rsidR="00B21BE8" w:rsidRPr="00B21BE8">
              <w:t xml:space="preserve">particular production methods </w:t>
            </w:r>
            <w:r w:rsidR="008356C6">
              <w:t xml:space="preserve">needed </w:t>
            </w:r>
            <w:r w:rsidR="00B21BE8" w:rsidRPr="00B21BE8">
              <w:t>to qualify for preferential entry</w:t>
            </w:r>
            <w:r w:rsidR="00B21BE8">
              <w:t>.</w:t>
            </w:r>
            <w:r w:rsidR="00B36957">
              <w:t xml:space="preserve"> The figures are slightly different to those published in the </w:t>
            </w:r>
            <w:r w:rsidR="00B36957" w:rsidRPr="00B36957">
              <w:rPr>
                <w:i/>
              </w:rPr>
              <w:t>Trade &amp; Assistance Review 2012</w:t>
            </w:r>
            <w:r w:rsidR="00B36957" w:rsidRPr="00B36957">
              <w:rPr>
                <w:i/>
              </w:rPr>
              <w:noBreakHyphen/>
              <w:t>13</w:t>
            </w:r>
            <w:r w:rsidR="00B36957">
              <w:t xml:space="preserve"> due to minor revisions to selected calculations.</w:t>
            </w:r>
            <w:r>
              <w:t xml:space="preserve"> </w:t>
            </w:r>
            <w:proofErr w:type="gramStart"/>
            <w:r>
              <w:rPr>
                <w:rStyle w:val="NoteLabel"/>
              </w:rPr>
              <w:t>b</w:t>
            </w:r>
            <w:proofErr w:type="gramEnd"/>
            <w:r w:rsidR="00B21BE8">
              <w:t> </w:t>
            </w:r>
            <w:r w:rsidR="00B21BE8" w:rsidRPr="00B21BE8">
              <w:t>The agreement with Singapore is not included as it applies a single three-tiered test of origin</w:t>
            </w:r>
            <w:r w:rsidR="008356C6">
              <w:t>.</w:t>
            </w:r>
            <w:r w:rsidR="00B21BE8" w:rsidRPr="00B21BE8">
              <w:t xml:space="preserve"> </w:t>
            </w:r>
            <w:proofErr w:type="gramStart"/>
            <w:r>
              <w:rPr>
                <w:rStyle w:val="NoteLabel"/>
              </w:rPr>
              <w:t>c</w:t>
            </w:r>
            <w:proofErr w:type="gramEnd"/>
            <w:r w:rsidR="00B21BE8">
              <w:t> </w:t>
            </w:r>
            <w:r w:rsidR="00B21BE8" w:rsidRPr="00B21BE8">
              <w:t>Individual rules can be expressed at the 4</w:t>
            </w:r>
            <w:r w:rsidR="005838FE">
              <w:noBreakHyphen/>
            </w:r>
            <w:r w:rsidR="00B21BE8" w:rsidRPr="00B21BE8">
              <w:t>digit heading level, 6</w:t>
            </w:r>
            <w:r w:rsidR="005838FE">
              <w:noBreakHyphen/>
            </w:r>
            <w:r w:rsidR="00B21BE8" w:rsidRPr="00B21BE8">
              <w:t xml:space="preserve">digit subheading level or groupings of tariff line items. </w:t>
            </w:r>
            <w:proofErr w:type="gramStart"/>
            <w:r>
              <w:rPr>
                <w:rStyle w:val="NoteLabel"/>
              </w:rPr>
              <w:t>d</w:t>
            </w:r>
            <w:proofErr w:type="gramEnd"/>
            <w:r w:rsidR="00B21BE8">
              <w:t> </w:t>
            </w:r>
            <w:r w:rsidR="00B21BE8" w:rsidRPr="00B21BE8">
              <w:t>When the Australia-New Zealand CE</w:t>
            </w:r>
            <w:r w:rsidR="008356C6">
              <w:t>R</w:t>
            </w:r>
            <w:r w:rsidR="00B21BE8" w:rsidRPr="00B21BE8">
              <w:t xml:space="preserve"> agreement entered into force in 1983, an RVC rule with a simple technical test was the main rule applied. The revised rules reported replaced that rule and have been in force since 1</w:t>
            </w:r>
            <w:r w:rsidR="005838FE">
              <w:t> </w:t>
            </w:r>
            <w:r w:rsidR="00B21BE8" w:rsidRPr="00B21BE8">
              <w:t>January 2007.</w:t>
            </w:r>
            <w:r>
              <w:t xml:space="preserve"> </w:t>
            </w:r>
            <w:bookmarkEnd w:id="5"/>
          </w:p>
        </w:tc>
      </w:tr>
      <w:tr w:rsidR="00245C0F" w:rsidRPr="00176D3F" w:rsidTr="003F610E">
        <w:tc>
          <w:tcPr>
            <w:tcW w:w="8771" w:type="dxa"/>
            <w:tcBorders>
              <w:top w:val="nil"/>
              <w:left w:val="nil"/>
              <w:bottom w:val="nil"/>
              <w:right w:val="nil"/>
            </w:tcBorders>
            <w:shd w:val="clear" w:color="auto" w:fill="auto"/>
          </w:tcPr>
          <w:p w:rsidR="00245C0F" w:rsidRPr="00176D3F" w:rsidRDefault="00EC13EF" w:rsidP="003F610E">
            <w:pPr>
              <w:pStyle w:val="Source"/>
            </w:pPr>
            <w:r>
              <w:rPr>
                <w:i/>
              </w:rPr>
              <w:t>S</w:t>
            </w:r>
            <w:r w:rsidR="00245C0F" w:rsidRPr="00784A05">
              <w:rPr>
                <w:i/>
              </w:rPr>
              <w:t>ource</w:t>
            </w:r>
            <w:r w:rsidR="00245C0F" w:rsidRPr="00176D3F">
              <w:t xml:space="preserve">: </w:t>
            </w:r>
            <w:r w:rsidR="00245C0F">
              <w:t xml:space="preserve">Commission estimates. </w:t>
            </w:r>
          </w:p>
        </w:tc>
      </w:tr>
      <w:tr w:rsidR="00245C0F" w:rsidTr="003F610E">
        <w:tc>
          <w:tcPr>
            <w:tcW w:w="8771" w:type="dxa"/>
            <w:tcBorders>
              <w:top w:val="nil"/>
              <w:left w:val="nil"/>
              <w:bottom w:val="single" w:sz="6" w:space="0" w:color="78A22F"/>
              <w:right w:val="nil"/>
            </w:tcBorders>
            <w:shd w:val="clear" w:color="auto" w:fill="auto"/>
          </w:tcPr>
          <w:p w:rsidR="00245C0F" w:rsidRDefault="00245C0F" w:rsidP="003F610E">
            <w:pPr>
              <w:pStyle w:val="Figurespace"/>
            </w:pPr>
          </w:p>
        </w:tc>
      </w:tr>
      <w:tr w:rsidR="00245C0F" w:rsidRPr="000863A5" w:rsidTr="003F610E">
        <w:tc>
          <w:tcPr>
            <w:tcW w:w="8771" w:type="dxa"/>
            <w:tcBorders>
              <w:top w:val="single" w:sz="6" w:space="0" w:color="78A22F"/>
              <w:left w:val="nil"/>
              <w:bottom w:val="nil"/>
              <w:right w:val="nil"/>
            </w:tcBorders>
          </w:tcPr>
          <w:p w:rsidR="00245C0F" w:rsidRPr="00626D32" w:rsidRDefault="00245C0F" w:rsidP="003F610E">
            <w:pPr>
              <w:pStyle w:val="BoxSpaceBelow"/>
            </w:pPr>
          </w:p>
        </w:tc>
      </w:tr>
    </w:tbl>
    <w:p w:rsidR="00930EAD" w:rsidRDefault="00930EAD" w:rsidP="004A5464">
      <w:pPr>
        <w:pStyle w:val="BodyText"/>
      </w:pPr>
    </w:p>
    <w:p w:rsidR="00930EAD" w:rsidRDefault="00930EAD" w:rsidP="00930EAD">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95"/>
      </w:tblGrid>
      <w:tr w:rsidR="00930EAD" w:rsidTr="003948BA">
        <w:tc>
          <w:tcPr>
            <w:tcW w:w="8795" w:type="dxa"/>
            <w:tcBorders>
              <w:top w:val="single" w:sz="6" w:space="0" w:color="78A22F"/>
              <w:left w:val="nil"/>
              <w:bottom w:val="nil"/>
              <w:right w:val="nil"/>
            </w:tcBorders>
            <w:shd w:val="clear" w:color="auto" w:fill="auto"/>
          </w:tcPr>
          <w:p w:rsidR="00930EAD" w:rsidRPr="00EC13EF" w:rsidRDefault="00930EAD" w:rsidP="003948BA">
            <w:pPr>
              <w:pStyle w:val="TableTitle"/>
            </w:pPr>
            <w:r>
              <w:rPr>
                <w:b w:val="0"/>
              </w:rPr>
              <w:t xml:space="preserve">Table </w:t>
            </w:r>
            <w:r w:rsidR="00B84F6A">
              <w:rPr>
                <w:b w:val="0"/>
              </w:rPr>
              <w:t>5.</w:t>
            </w:r>
            <w:r w:rsidR="002C6F8A">
              <w:rPr>
                <w:b w:val="0"/>
                <w:noProof/>
              </w:rPr>
              <w:t>1</w:t>
            </w:r>
            <w:r>
              <w:tab/>
              <w:t>Incidence of methods used to determine origin in recent preferential trade agreements with Australia</w:t>
            </w:r>
          </w:p>
        </w:tc>
      </w:tr>
      <w:tr w:rsidR="00930EAD" w:rsidTr="003948BA">
        <w:trPr>
          <w:cantSplit/>
        </w:trPr>
        <w:tc>
          <w:tcPr>
            <w:tcW w:w="8795" w:type="dxa"/>
            <w:tcBorders>
              <w:top w:val="nil"/>
              <w:left w:val="nil"/>
              <w:bottom w:val="nil"/>
              <w:right w:val="nil"/>
            </w:tcBorders>
            <w:shd w:val="clear" w:color="auto" w:fill="auto"/>
          </w:tcPr>
          <w:tbl>
            <w:tblPr>
              <w:tblW w:w="5000" w:type="pct"/>
              <w:tblLayout w:type="fixed"/>
              <w:tblCellMar>
                <w:top w:w="28" w:type="dxa"/>
                <w:left w:w="0" w:type="dxa"/>
                <w:right w:w="0" w:type="dxa"/>
              </w:tblCellMar>
              <w:tblLook w:val="0000" w:firstRow="0" w:lastRow="0" w:firstColumn="0" w:lastColumn="0" w:noHBand="0" w:noVBand="0"/>
            </w:tblPr>
            <w:tblGrid>
              <w:gridCol w:w="8471"/>
              <w:gridCol w:w="20"/>
              <w:gridCol w:w="20"/>
            </w:tblGrid>
            <w:tr w:rsidR="00930EAD" w:rsidTr="00A130E5">
              <w:tc>
                <w:tcPr>
                  <w:tcW w:w="4977" w:type="pct"/>
                  <w:tcBorders>
                    <w:top w:val="single" w:sz="6" w:space="0" w:color="BFBFBF"/>
                    <w:bottom w:val="single" w:sz="6" w:space="0" w:color="BFBFBF"/>
                  </w:tcBorders>
                  <w:shd w:val="clear" w:color="auto" w:fill="auto"/>
                  <w:tcMar>
                    <w:top w:w="28" w:type="dxa"/>
                  </w:tcMar>
                </w:tcPr>
                <w:tbl>
                  <w:tblPr>
                    <w:tblW w:w="8520" w:type="dxa"/>
                    <w:tblInd w:w="93" w:type="dxa"/>
                    <w:tblLayout w:type="fixed"/>
                    <w:tblLook w:val="04A0" w:firstRow="1" w:lastRow="0" w:firstColumn="1" w:lastColumn="0" w:noHBand="0" w:noVBand="1"/>
                  </w:tblPr>
                  <w:tblGrid>
                    <w:gridCol w:w="1500"/>
                    <w:gridCol w:w="986"/>
                    <w:gridCol w:w="1026"/>
                    <w:gridCol w:w="856"/>
                    <w:gridCol w:w="931"/>
                    <w:gridCol w:w="993"/>
                    <w:gridCol w:w="1134"/>
                    <w:gridCol w:w="992"/>
                    <w:gridCol w:w="102"/>
                  </w:tblGrid>
                  <w:tr w:rsidR="00930EAD" w:rsidRPr="00F4053B" w:rsidTr="002C6F8A">
                    <w:trPr>
                      <w:gridAfter w:val="1"/>
                      <w:wAfter w:w="102" w:type="dxa"/>
                      <w:trHeight w:val="300"/>
                    </w:trPr>
                    <w:tc>
                      <w:tcPr>
                        <w:tcW w:w="1500" w:type="dxa"/>
                        <w:tcBorders>
                          <w:top w:val="nil"/>
                          <w:left w:val="nil"/>
                          <w:bottom w:val="single" w:sz="4" w:space="0" w:color="BFBFBF"/>
                          <w:right w:val="nil"/>
                        </w:tcBorders>
                        <w:shd w:val="clear" w:color="auto" w:fill="auto"/>
                        <w:noWrap/>
                        <w:vAlign w:val="bottom"/>
                        <w:hideMark/>
                      </w:tcPr>
                      <w:p w:rsidR="00930EAD" w:rsidRPr="00F4053B" w:rsidRDefault="00930EAD" w:rsidP="003948BA">
                        <w:pPr>
                          <w:pStyle w:val="TableColumnHeading"/>
                        </w:pPr>
                      </w:p>
                    </w:tc>
                    <w:tc>
                      <w:tcPr>
                        <w:tcW w:w="986" w:type="dxa"/>
                        <w:tcBorders>
                          <w:top w:val="nil"/>
                          <w:left w:val="nil"/>
                          <w:bottom w:val="single" w:sz="4" w:space="0" w:color="BFBFBF"/>
                          <w:right w:val="nil"/>
                        </w:tcBorders>
                        <w:shd w:val="clear" w:color="auto" w:fill="auto"/>
                        <w:noWrap/>
                        <w:vAlign w:val="bottom"/>
                        <w:hideMark/>
                      </w:tcPr>
                      <w:p w:rsidR="00930EAD" w:rsidRPr="00F4053B" w:rsidRDefault="00930EAD" w:rsidP="003948BA">
                        <w:pPr>
                          <w:pStyle w:val="TableColumnHeading"/>
                          <w:rPr>
                            <w:bCs/>
                          </w:rPr>
                        </w:pPr>
                        <w:r w:rsidRPr="00F4053B">
                          <w:rPr>
                            <w:bCs/>
                          </w:rPr>
                          <w:t>New Zealand</w:t>
                        </w:r>
                      </w:p>
                    </w:tc>
                    <w:tc>
                      <w:tcPr>
                        <w:tcW w:w="1026" w:type="dxa"/>
                        <w:tcBorders>
                          <w:top w:val="nil"/>
                          <w:left w:val="nil"/>
                          <w:bottom w:val="single" w:sz="4" w:space="0" w:color="BFBFBF"/>
                          <w:right w:val="nil"/>
                        </w:tcBorders>
                        <w:shd w:val="clear" w:color="auto" w:fill="auto"/>
                        <w:noWrap/>
                        <w:vAlign w:val="bottom"/>
                        <w:hideMark/>
                      </w:tcPr>
                      <w:p w:rsidR="00930EAD" w:rsidRPr="00F4053B" w:rsidRDefault="00930EAD" w:rsidP="003948BA">
                        <w:pPr>
                          <w:pStyle w:val="TableColumnHeading"/>
                          <w:rPr>
                            <w:bCs/>
                          </w:rPr>
                        </w:pPr>
                        <w:r w:rsidRPr="00F4053B">
                          <w:rPr>
                            <w:bCs/>
                          </w:rPr>
                          <w:t>Thailand</w:t>
                        </w:r>
                      </w:p>
                    </w:tc>
                    <w:tc>
                      <w:tcPr>
                        <w:tcW w:w="856" w:type="dxa"/>
                        <w:tcBorders>
                          <w:top w:val="nil"/>
                          <w:left w:val="nil"/>
                          <w:bottom w:val="single" w:sz="4" w:space="0" w:color="BFBFBF"/>
                          <w:right w:val="nil"/>
                        </w:tcBorders>
                        <w:shd w:val="clear" w:color="auto" w:fill="auto"/>
                        <w:noWrap/>
                        <w:vAlign w:val="bottom"/>
                        <w:hideMark/>
                      </w:tcPr>
                      <w:p w:rsidR="00930EAD" w:rsidRPr="00F4053B" w:rsidRDefault="00A130E5" w:rsidP="003948BA">
                        <w:pPr>
                          <w:pStyle w:val="TableColumnHeading"/>
                          <w:rPr>
                            <w:bCs/>
                          </w:rPr>
                        </w:pPr>
                        <w:r>
                          <w:rPr>
                            <w:bCs/>
                          </w:rPr>
                          <w:t>United States</w:t>
                        </w:r>
                      </w:p>
                    </w:tc>
                    <w:tc>
                      <w:tcPr>
                        <w:tcW w:w="931" w:type="dxa"/>
                        <w:tcBorders>
                          <w:top w:val="nil"/>
                          <w:left w:val="nil"/>
                          <w:bottom w:val="single" w:sz="4" w:space="0" w:color="BFBFBF"/>
                          <w:right w:val="nil"/>
                        </w:tcBorders>
                        <w:shd w:val="clear" w:color="auto" w:fill="auto"/>
                        <w:noWrap/>
                        <w:vAlign w:val="bottom"/>
                        <w:hideMark/>
                      </w:tcPr>
                      <w:p w:rsidR="00930EAD" w:rsidRPr="00F4053B" w:rsidRDefault="00930EAD" w:rsidP="003948BA">
                        <w:pPr>
                          <w:pStyle w:val="TableColumnHeading"/>
                          <w:rPr>
                            <w:bCs/>
                          </w:rPr>
                        </w:pPr>
                        <w:r w:rsidRPr="00F4053B">
                          <w:rPr>
                            <w:bCs/>
                          </w:rPr>
                          <w:t>Chile</w:t>
                        </w:r>
                      </w:p>
                    </w:tc>
                    <w:tc>
                      <w:tcPr>
                        <w:tcW w:w="993" w:type="dxa"/>
                        <w:tcBorders>
                          <w:top w:val="nil"/>
                          <w:left w:val="nil"/>
                          <w:bottom w:val="single" w:sz="4" w:space="0" w:color="BFBFBF"/>
                          <w:right w:val="nil"/>
                        </w:tcBorders>
                        <w:shd w:val="clear" w:color="auto" w:fill="auto"/>
                        <w:noWrap/>
                        <w:vAlign w:val="bottom"/>
                        <w:hideMark/>
                      </w:tcPr>
                      <w:p w:rsidR="00930EAD" w:rsidRPr="00F4053B" w:rsidRDefault="00930EAD" w:rsidP="003948BA">
                        <w:pPr>
                          <w:pStyle w:val="TableColumnHeading"/>
                          <w:rPr>
                            <w:bCs/>
                          </w:rPr>
                        </w:pPr>
                        <w:r w:rsidRPr="00F4053B">
                          <w:rPr>
                            <w:bCs/>
                          </w:rPr>
                          <w:t>ASEAN</w:t>
                        </w:r>
                      </w:p>
                    </w:tc>
                    <w:tc>
                      <w:tcPr>
                        <w:tcW w:w="1134" w:type="dxa"/>
                        <w:tcBorders>
                          <w:top w:val="nil"/>
                          <w:left w:val="nil"/>
                          <w:bottom w:val="single" w:sz="4" w:space="0" w:color="BFBFBF"/>
                          <w:right w:val="nil"/>
                        </w:tcBorders>
                        <w:shd w:val="clear" w:color="auto" w:fill="auto"/>
                        <w:noWrap/>
                        <w:vAlign w:val="bottom"/>
                        <w:hideMark/>
                      </w:tcPr>
                      <w:p w:rsidR="00930EAD" w:rsidRPr="00F4053B" w:rsidRDefault="00930EAD" w:rsidP="003948BA">
                        <w:pPr>
                          <w:pStyle w:val="TableColumnHeading"/>
                          <w:rPr>
                            <w:bCs/>
                          </w:rPr>
                        </w:pPr>
                        <w:r w:rsidRPr="00F4053B">
                          <w:rPr>
                            <w:bCs/>
                          </w:rPr>
                          <w:t>Malaysia</w:t>
                        </w:r>
                      </w:p>
                    </w:tc>
                    <w:tc>
                      <w:tcPr>
                        <w:tcW w:w="992" w:type="dxa"/>
                        <w:tcBorders>
                          <w:top w:val="nil"/>
                          <w:left w:val="nil"/>
                          <w:bottom w:val="single" w:sz="4" w:space="0" w:color="BFBFBF"/>
                          <w:right w:val="nil"/>
                        </w:tcBorders>
                        <w:shd w:val="clear" w:color="auto" w:fill="auto"/>
                        <w:noWrap/>
                        <w:vAlign w:val="bottom"/>
                        <w:hideMark/>
                      </w:tcPr>
                      <w:p w:rsidR="00930EAD" w:rsidRPr="00F4053B" w:rsidRDefault="00930EAD" w:rsidP="003948BA">
                        <w:pPr>
                          <w:pStyle w:val="TableColumnHeading"/>
                          <w:rPr>
                            <w:bCs/>
                          </w:rPr>
                        </w:pPr>
                        <w:r w:rsidRPr="00F4053B">
                          <w:rPr>
                            <w:bCs/>
                          </w:rPr>
                          <w:t>Korea</w:t>
                        </w:r>
                      </w:p>
                    </w:tc>
                  </w:tr>
                  <w:tr w:rsidR="00930EAD" w:rsidRPr="00F4053B" w:rsidTr="002C6F8A">
                    <w:trPr>
                      <w:gridAfter w:val="1"/>
                      <w:wAfter w:w="102" w:type="dxa"/>
                      <w:trHeight w:val="300"/>
                    </w:trPr>
                    <w:tc>
                      <w:tcPr>
                        <w:tcW w:w="1500" w:type="dxa"/>
                        <w:tcBorders>
                          <w:top w:val="single" w:sz="4" w:space="0" w:color="BFBFBF"/>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986" w:type="dxa"/>
                        <w:tcBorders>
                          <w:top w:val="single" w:sz="4" w:space="0" w:color="BFBFBF"/>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1026" w:type="dxa"/>
                        <w:tcBorders>
                          <w:top w:val="single" w:sz="4" w:space="0" w:color="BFBFBF"/>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856" w:type="dxa"/>
                        <w:tcBorders>
                          <w:top w:val="single" w:sz="4" w:space="0" w:color="BFBFBF"/>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931" w:type="dxa"/>
                        <w:tcBorders>
                          <w:top w:val="single" w:sz="4" w:space="0" w:color="BFBFBF"/>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993" w:type="dxa"/>
                        <w:tcBorders>
                          <w:top w:val="single" w:sz="4" w:space="0" w:color="BFBFBF"/>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1134" w:type="dxa"/>
                        <w:tcBorders>
                          <w:top w:val="single" w:sz="4" w:space="0" w:color="BFBFBF"/>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992" w:type="dxa"/>
                        <w:tcBorders>
                          <w:top w:val="single" w:sz="4" w:space="0" w:color="BFBFBF"/>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r>
                  <w:tr w:rsidR="00930EAD" w:rsidRPr="00F4053B" w:rsidTr="003948BA">
                    <w:trPr>
                      <w:trHeight w:val="300"/>
                    </w:trPr>
                    <w:tc>
                      <w:tcPr>
                        <w:tcW w:w="8520" w:type="dxa"/>
                        <w:gridSpan w:val="9"/>
                        <w:tcBorders>
                          <w:top w:val="nil"/>
                          <w:left w:val="nil"/>
                          <w:bottom w:val="nil"/>
                          <w:right w:val="nil"/>
                        </w:tcBorders>
                        <w:shd w:val="clear" w:color="auto" w:fill="auto"/>
                        <w:noWrap/>
                        <w:vAlign w:val="bottom"/>
                      </w:tcPr>
                      <w:p w:rsidR="00930EAD" w:rsidRPr="00F4053B" w:rsidRDefault="00930EAD" w:rsidP="003948BA">
                        <w:pPr>
                          <w:pStyle w:val="TableBodyText"/>
                          <w:ind w:right="0"/>
                          <w:jc w:val="center"/>
                          <w:rPr>
                            <w:i/>
                          </w:rPr>
                        </w:pPr>
                        <w:r w:rsidRPr="00F4053B">
                          <w:rPr>
                            <w:i/>
                          </w:rPr>
                          <w:t>Incidence of rules for determining origin</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tcPr>
                      <w:p w:rsidR="00930EAD" w:rsidRPr="00F4053B" w:rsidRDefault="00930EAD" w:rsidP="003948BA">
                        <w:pPr>
                          <w:pStyle w:val="TableBodyText"/>
                          <w:jc w:val="left"/>
                          <w:rPr>
                            <w:bCs/>
                          </w:rPr>
                        </w:pPr>
                        <w:r w:rsidRPr="00F4053B">
                          <w:t>CTC only</w:t>
                        </w:r>
                      </w:p>
                    </w:tc>
                    <w:tc>
                      <w:tcPr>
                        <w:tcW w:w="986" w:type="dxa"/>
                        <w:tcBorders>
                          <w:top w:val="nil"/>
                          <w:left w:val="nil"/>
                          <w:bottom w:val="nil"/>
                          <w:right w:val="nil"/>
                        </w:tcBorders>
                        <w:shd w:val="clear" w:color="auto" w:fill="auto"/>
                        <w:noWrap/>
                        <w:vAlign w:val="bottom"/>
                      </w:tcPr>
                      <w:p w:rsidR="00930EAD" w:rsidRPr="00F4053B" w:rsidRDefault="009F00FF" w:rsidP="00FD1C67">
                        <w:pPr>
                          <w:pStyle w:val="TableBodyText"/>
                        </w:pPr>
                        <w:r w:rsidRPr="00F4053B">
                          <w:t>197</w:t>
                        </w:r>
                        <w:r w:rsidR="00FD1C67">
                          <w:t>8</w:t>
                        </w:r>
                      </w:p>
                    </w:tc>
                    <w:tc>
                      <w:tcPr>
                        <w:tcW w:w="1026"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1979</w:t>
                        </w:r>
                      </w:p>
                    </w:tc>
                    <w:tc>
                      <w:tcPr>
                        <w:tcW w:w="856"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764</w:t>
                        </w:r>
                      </w:p>
                    </w:tc>
                    <w:tc>
                      <w:tcPr>
                        <w:tcW w:w="931"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2260</w:t>
                        </w:r>
                      </w:p>
                    </w:tc>
                    <w:tc>
                      <w:tcPr>
                        <w:tcW w:w="993"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346</w:t>
                        </w:r>
                      </w:p>
                    </w:tc>
                    <w:tc>
                      <w:tcPr>
                        <w:tcW w:w="1134"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282</w:t>
                        </w:r>
                      </w:p>
                    </w:tc>
                    <w:tc>
                      <w:tcPr>
                        <w:tcW w:w="992"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3089</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tcPr>
                      <w:p w:rsidR="00930EAD" w:rsidRPr="00F4053B" w:rsidRDefault="00930EAD" w:rsidP="003948BA">
                        <w:pPr>
                          <w:pStyle w:val="TableBodyText"/>
                          <w:jc w:val="left"/>
                          <w:rPr>
                            <w:bCs/>
                          </w:rPr>
                        </w:pPr>
                        <w:r w:rsidRPr="00F4053B">
                          <w:t>RVC only</w:t>
                        </w:r>
                      </w:p>
                    </w:tc>
                    <w:tc>
                      <w:tcPr>
                        <w:tcW w:w="986"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2</w:t>
                        </w:r>
                      </w:p>
                    </w:tc>
                    <w:tc>
                      <w:tcPr>
                        <w:tcW w:w="1026"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1</w:t>
                        </w:r>
                      </w:p>
                    </w:tc>
                    <w:tc>
                      <w:tcPr>
                        <w:tcW w:w="856"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3</w:t>
                        </w:r>
                      </w:p>
                    </w:tc>
                    <w:tc>
                      <w:tcPr>
                        <w:tcW w:w="931"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0</w:t>
                        </w:r>
                      </w:p>
                    </w:tc>
                    <w:tc>
                      <w:tcPr>
                        <w:tcW w:w="993"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67</w:t>
                        </w:r>
                      </w:p>
                    </w:tc>
                    <w:tc>
                      <w:tcPr>
                        <w:tcW w:w="1134"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0</w:t>
                        </w:r>
                      </w:p>
                    </w:tc>
                    <w:tc>
                      <w:tcPr>
                        <w:tcW w:w="992"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8</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tcPr>
                      <w:p w:rsidR="00930EAD" w:rsidRPr="00F4053B" w:rsidRDefault="00930EAD" w:rsidP="003948BA">
                        <w:pPr>
                          <w:pStyle w:val="TableBodyText"/>
                          <w:jc w:val="left"/>
                          <w:rPr>
                            <w:bCs/>
                          </w:rPr>
                        </w:pPr>
                        <w:r w:rsidRPr="00F4053B">
                          <w:t>CTC or RVC</w:t>
                        </w:r>
                      </w:p>
                    </w:tc>
                    <w:tc>
                      <w:tcPr>
                        <w:tcW w:w="986" w:type="dxa"/>
                        <w:tcBorders>
                          <w:top w:val="nil"/>
                          <w:left w:val="nil"/>
                          <w:bottom w:val="nil"/>
                          <w:right w:val="nil"/>
                        </w:tcBorders>
                        <w:shd w:val="clear" w:color="auto" w:fill="auto"/>
                        <w:noWrap/>
                        <w:vAlign w:val="bottom"/>
                      </w:tcPr>
                      <w:p w:rsidR="00930EAD" w:rsidRPr="00F4053B" w:rsidRDefault="00F268E1" w:rsidP="009F00FF">
                        <w:pPr>
                          <w:pStyle w:val="TableBodyText"/>
                        </w:pPr>
                        <w:r>
                          <w:t>9</w:t>
                        </w:r>
                        <w:r w:rsidR="009F00FF">
                          <w:t>3</w:t>
                        </w:r>
                      </w:p>
                    </w:tc>
                    <w:tc>
                      <w:tcPr>
                        <w:tcW w:w="1026"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55</w:t>
                        </w:r>
                      </w:p>
                    </w:tc>
                    <w:tc>
                      <w:tcPr>
                        <w:tcW w:w="856" w:type="dxa"/>
                        <w:tcBorders>
                          <w:top w:val="nil"/>
                          <w:left w:val="nil"/>
                          <w:bottom w:val="nil"/>
                          <w:right w:val="nil"/>
                        </w:tcBorders>
                        <w:shd w:val="clear" w:color="auto" w:fill="auto"/>
                        <w:noWrap/>
                        <w:vAlign w:val="bottom"/>
                      </w:tcPr>
                      <w:p w:rsidR="00930EAD" w:rsidRPr="00F4053B" w:rsidRDefault="00C65147" w:rsidP="00C65147">
                        <w:pPr>
                          <w:pStyle w:val="TableBodyText"/>
                        </w:pPr>
                        <w:r w:rsidRPr="00F4053B">
                          <w:t>1</w:t>
                        </w:r>
                        <w:r>
                          <w:t>36</w:t>
                        </w:r>
                      </w:p>
                    </w:tc>
                    <w:tc>
                      <w:tcPr>
                        <w:tcW w:w="931"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187</w:t>
                        </w:r>
                      </w:p>
                    </w:tc>
                    <w:tc>
                      <w:tcPr>
                        <w:tcW w:w="993" w:type="dxa"/>
                        <w:tcBorders>
                          <w:top w:val="nil"/>
                          <w:left w:val="nil"/>
                          <w:bottom w:val="nil"/>
                          <w:right w:val="nil"/>
                        </w:tcBorders>
                        <w:shd w:val="clear" w:color="auto" w:fill="auto"/>
                        <w:noWrap/>
                        <w:vAlign w:val="bottom"/>
                      </w:tcPr>
                      <w:p w:rsidR="00930EAD" w:rsidRPr="00F4053B" w:rsidRDefault="00930EAD" w:rsidP="00FD1C67">
                        <w:pPr>
                          <w:pStyle w:val="TableBodyText"/>
                        </w:pPr>
                        <w:r w:rsidRPr="00F4053B">
                          <w:t>223</w:t>
                        </w:r>
                        <w:r w:rsidR="00FD1C67">
                          <w:t>1</w:t>
                        </w:r>
                      </w:p>
                    </w:tc>
                    <w:tc>
                      <w:tcPr>
                        <w:tcW w:w="1134"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2303</w:t>
                        </w:r>
                      </w:p>
                    </w:tc>
                    <w:tc>
                      <w:tcPr>
                        <w:tcW w:w="992" w:type="dxa"/>
                        <w:tcBorders>
                          <w:top w:val="nil"/>
                          <w:left w:val="nil"/>
                          <w:bottom w:val="nil"/>
                          <w:right w:val="nil"/>
                        </w:tcBorders>
                        <w:shd w:val="clear" w:color="auto" w:fill="auto"/>
                        <w:noWrap/>
                        <w:vAlign w:val="bottom"/>
                      </w:tcPr>
                      <w:p w:rsidR="00930EAD" w:rsidRPr="00F4053B" w:rsidRDefault="00930EAD" w:rsidP="00FD1C67">
                        <w:pPr>
                          <w:pStyle w:val="TableBodyText"/>
                        </w:pPr>
                        <w:r w:rsidRPr="00F4053B">
                          <w:t>114</w:t>
                        </w:r>
                        <w:r w:rsidR="00FD1C67">
                          <w:t>2</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tcPr>
                      <w:p w:rsidR="00930EAD" w:rsidRPr="00F4053B" w:rsidRDefault="00930EAD" w:rsidP="003948BA">
                        <w:pPr>
                          <w:pStyle w:val="TableBodyText"/>
                          <w:jc w:val="left"/>
                          <w:rPr>
                            <w:bCs/>
                          </w:rPr>
                        </w:pPr>
                        <w:r w:rsidRPr="00F4053B">
                          <w:t xml:space="preserve">Other  </w:t>
                        </w:r>
                      </w:p>
                    </w:tc>
                    <w:tc>
                      <w:tcPr>
                        <w:tcW w:w="986" w:type="dxa"/>
                        <w:tcBorders>
                          <w:top w:val="nil"/>
                          <w:left w:val="nil"/>
                          <w:bottom w:val="nil"/>
                          <w:right w:val="nil"/>
                        </w:tcBorders>
                        <w:shd w:val="clear" w:color="auto" w:fill="auto"/>
                        <w:noWrap/>
                        <w:vAlign w:val="bottom"/>
                      </w:tcPr>
                      <w:p w:rsidR="00930EAD" w:rsidRPr="00F4053B" w:rsidRDefault="00F268E1" w:rsidP="005B36F1">
                        <w:pPr>
                          <w:pStyle w:val="TableBodyText"/>
                        </w:pPr>
                        <w:r w:rsidRPr="00F4053B">
                          <w:t>7</w:t>
                        </w:r>
                        <w:r>
                          <w:t>4</w:t>
                        </w:r>
                        <w:r w:rsidR="005B36F1">
                          <w:t>0</w:t>
                        </w:r>
                      </w:p>
                    </w:tc>
                    <w:tc>
                      <w:tcPr>
                        <w:tcW w:w="1026" w:type="dxa"/>
                        <w:tcBorders>
                          <w:top w:val="nil"/>
                          <w:left w:val="nil"/>
                          <w:bottom w:val="nil"/>
                          <w:right w:val="nil"/>
                        </w:tcBorders>
                        <w:shd w:val="clear" w:color="auto" w:fill="auto"/>
                        <w:noWrap/>
                        <w:vAlign w:val="bottom"/>
                      </w:tcPr>
                      <w:p w:rsidR="00930EAD" w:rsidRPr="00F4053B" w:rsidRDefault="00930EAD" w:rsidP="00D56895">
                        <w:pPr>
                          <w:pStyle w:val="TableBodyText"/>
                        </w:pPr>
                        <w:r w:rsidRPr="00F4053B">
                          <w:t>87</w:t>
                        </w:r>
                        <w:r w:rsidR="00D56895">
                          <w:t>2</w:t>
                        </w:r>
                      </w:p>
                    </w:tc>
                    <w:tc>
                      <w:tcPr>
                        <w:tcW w:w="856" w:type="dxa"/>
                        <w:tcBorders>
                          <w:top w:val="nil"/>
                          <w:left w:val="nil"/>
                          <w:bottom w:val="nil"/>
                          <w:right w:val="nil"/>
                        </w:tcBorders>
                        <w:shd w:val="clear" w:color="auto" w:fill="auto"/>
                        <w:noWrap/>
                        <w:vAlign w:val="bottom"/>
                      </w:tcPr>
                      <w:p w:rsidR="00930EAD" w:rsidRPr="00F4053B" w:rsidRDefault="00C65147" w:rsidP="003948BA">
                        <w:pPr>
                          <w:pStyle w:val="TableBodyText"/>
                        </w:pPr>
                        <w:r>
                          <w:t>77</w:t>
                        </w:r>
                      </w:p>
                    </w:tc>
                    <w:tc>
                      <w:tcPr>
                        <w:tcW w:w="931"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356</w:t>
                        </w:r>
                      </w:p>
                    </w:tc>
                    <w:tc>
                      <w:tcPr>
                        <w:tcW w:w="993" w:type="dxa"/>
                        <w:tcBorders>
                          <w:top w:val="nil"/>
                          <w:left w:val="nil"/>
                          <w:bottom w:val="nil"/>
                          <w:right w:val="nil"/>
                        </w:tcBorders>
                        <w:shd w:val="clear" w:color="auto" w:fill="auto"/>
                        <w:noWrap/>
                        <w:vAlign w:val="bottom"/>
                      </w:tcPr>
                      <w:p w:rsidR="00930EAD" w:rsidRPr="00F4053B" w:rsidRDefault="00930EAD" w:rsidP="00FD1C67">
                        <w:pPr>
                          <w:pStyle w:val="TableBodyText"/>
                        </w:pPr>
                        <w:r w:rsidRPr="00F4053B">
                          <w:t>45</w:t>
                        </w:r>
                        <w:r w:rsidR="00FD1C67">
                          <w:t>8</w:t>
                        </w:r>
                      </w:p>
                    </w:tc>
                    <w:tc>
                      <w:tcPr>
                        <w:tcW w:w="1134"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92</w:t>
                        </w:r>
                      </w:p>
                    </w:tc>
                    <w:tc>
                      <w:tcPr>
                        <w:tcW w:w="992" w:type="dxa"/>
                        <w:tcBorders>
                          <w:top w:val="nil"/>
                          <w:left w:val="nil"/>
                          <w:bottom w:val="nil"/>
                          <w:right w:val="nil"/>
                        </w:tcBorders>
                        <w:shd w:val="clear" w:color="auto" w:fill="auto"/>
                        <w:noWrap/>
                        <w:vAlign w:val="bottom"/>
                      </w:tcPr>
                      <w:p w:rsidR="00930EAD" w:rsidRPr="00F4053B" w:rsidRDefault="00930EAD" w:rsidP="00FD1C67">
                        <w:pPr>
                          <w:pStyle w:val="TableBodyText"/>
                        </w:pPr>
                        <w:r w:rsidRPr="00F4053B">
                          <w:t>9</w:t>
                        </w:r>
                        <w:r w:rsidR="00FD1C67">
                          <w:t>66</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tcPr>
                      <w:p w:rsidR="00930EAD" w:rsidRPr="00F4053B" w:rsidRDefault="00930EAD" w:rsidP="003948BA">
                        <w:pPr>
                          <w:pStyle w:val="TableBodyText"/>
                          <w:jc w:val="left"/>
                          <w:rPr>
                            <w:bCs/>
                          </w:rPr>
                        </w:pPr>
                        <w:r w:rsidRPr="00F4053B">
                          <w:t>Total</w:t>
                        </w:r>
                        <w:r w:rsidR="00224AA2" w:rsidRPr="00A130E5">
                          <w:rPr>
                            <w:rStyle w:val="NoteLabel"/>
                          </w:rPr>
                          <w:t>a</w:t>
                        </w:r>
                      </w:p>
                    </w:tc>
                    <w:tc>
                      <w:tcPr>
                        <w:tcW w:w="986" w:type="dxa"/>
                        <w:tcBorders>
                          <w:top w:val="nil"/>
                          <w:left w:val="nil"/>
                          <w:bottom w:val="nil"/>
                          <w:right w:val="nil"/>
                        </w:tcBorders>
                        <w:shd w:val="clear" w:color="auto" w:fill="auto"/>
                        <w:noWrap/>
                        <w:vAlign w:val="bottom"/>
                      </w:tcPr>
                      <w:p w:rsidR="00930EAD" w:rsidRPr="00F4053B" w:rsidRDefault="00F268E1" w:rsidP="00F268E1">
                        <w:pPr>
                          <w:pStyle w:val="TableBodyText"/>
                        </w:pPr>
                        <w:r w:rsidRPr="00F4053B">
                          <w:t>28</w:t>
                        </w:r>
                        <w:r>
                          <w:t>13</w:t>
                        </w:r>
                      </w:p>
                    </w:tc>
                    <w:tc>
                      <w:tcPr>
                        <w:tcW w:w="1026" w:type="dxa"/>
                        <w:tcBorders>
                          <w:top w:val="nil"/>
                          <w:left w:val="nil"/>
                          <w:bottom w:val="nil"/>
                          <w:right w:val="nil"/>
                        </w:tcBorders>
                        <w:shd w:val="clear" w:color="auto" w:fill="auto"/>
                        <w:noWrap/>
                        <w:vAlign w:val="bottom"/>
                      </w:tcPr>
                      <w:p w:rsidR="00930EAD" w:rsidRPr="00F4053B" w:rsidRDefault="00930EAD" w:rsidP="00D56895">
                        <w:pPr>
                          <w:pStyle w:val="TableBodyText"/>
                        </w:pPr>
                        <w:r w:rsidRPr="00F4053B">
                          <w:t>290</w:t>
                        </w:r>
                        <w:r w:rsidR="00D56895">
                          <w:t>7</w:t>
                        </w:r>
                      </w:p>
                    </w:tc>
                    <w:tc>
                      <w:tcPr>
                        <w:tcW w:w="856"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980</w:t>
                        </w:r>
                      </w:p>
                    </w:tc>
                    <w:tc>
                      <w:tcPr>
                        <w:tcW w:w="931"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2803</w:t>
                        </w:r>
                      </w:p>
                    </w:tc>
                    <w:tc>
                      <w:tcPr>
                        <w:tcW w:w="993"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3102</w:t>
                        </w:r>
                      </w:p>
                    </w:tc>
                    <w:tc>
                      <w:tcPr>
                        <w:tcW w:w="1134" w:type="dxa"/>
                        <w:tcBorders>
                          <w:top w:val="nil"/>
                          <w:left w:val="nil"/>
                          <w:bottom w:val="nil"/>
                          <w:right w:val="nil"/>
                        </w:tcBorders>
                        <w:shd w:val="clear" w:color="auto" w:fill="auto"/>
                        <w:noWrap/>
                        <w:vAlign w:val="bottom"/>
                      </w:tcPr>
                      <w:p w:rsidR="00930EAD" w:rsidRPr="00F4053B" w:rsidRDefault="00930EAD" w:rsidP="003948BA">
                        <w:pPr>
                          <w:pStyle w:val="TableBodyText"/>
                        </w:pPr>
                        <w:r w:rsidRPr="00F4053B">
                          <w:t>2677</w:t>
                        </w:r>
                      </w:p>
                    </w:tc>
                    <w:tc>
                      <w:tcPr>
                        <w:tcW w:w="992" w:type="dxa"/>
                        <w:tcBorders>
                          <w:top w:val="nil"/>
                          <w:left w:val="nil"/>
                          <w:bottom w:val="nil"/>
                          <w:right w:val="nil"/>
                        </w:tcBorders>
                        <w:shd w:val="clear" w:color="auto" w:fill="auto"/>
                        <w:noWrap/>
                        <w:vAlign w:val="bottom"/>
                      </w:tcPr>
                      <w:p w:rsidR="00930EAD" w:rsidRPr="00F4053B" w:rsidRDefault="00930EAD" w:rsidP="00FD1C67">
                        <w:pPr>
                          <w:pStyle w:val="TableBodyText"/>
                        </w:pPr>
                        <w:r w:rsidRPr="00F4053B">
                          <w:t>5</w:t>
                        </w:r>
                        <w:r w:rsidR="00FD1C67">
                          <w:t>205</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tcPr>
                      <w:p w:rsidR="00930EAD" w:rsidRPr="00F4053B" w:rsidRDefault="00930EAD" w:rsidP="003948BA">
                        <w:pPr>
                          <w:pStyle w:val="TableBodyText"/>
                          <w:ind w:right="0"/>
                          <w:jc w:val="center"/>
                        </w:pPr>
                      </w:p>
                    </w:tc>
                    <w:tc>
                      <w:tcPr>
                        <w:tcW w:w="986" w:type="dxa"/>
                        <w:tcBorders>
                          <w:top w:val="nil"/>
                          <w:left w:val="nil"/>
                          <w:bottom w:val="nil"/>
                          <w:right w:val="nil"/>
                        </w:tcBorders>
                        <w:shd w:val="clear" w:color="auto" w:fill="auto"/>
                        <w:noWrap/>
                        <w:vAlign w:val="bottom"/>
                      </w:tcPr>
                      <w:p w:rsidR="00930EAD" w:rsidRPr="00F4053B" w:rsidRDefault="00930EAD" w:rsidP="003948BA">
                        <w:pPr>
                          <w:pStyle w:val="TableBodyText"/>
                          <w:ind w:right="0"/>
                          <w:jc w:val="center"/>
                        </w:pPr>
                      </w:p>
                    </w:tc>
                    <w:tc>
                      <w:tcPr>
                        <w:tcW w:w="1026" w:type="dxa"/>
                        <w:tcBorders>
                          <w:top w:val="nil"/>
                          <w:left w:val="nil"/>
                          <w:bottom w:val="nil"/>
                          <w:right w:val="nil"/>
                        </w:tcBorders>
                        <w:shd w:val="clear" w:color="auto" w:fill="auto"/>
                        <w:noWrap/>
                        <w:vAlign w:val="bottom"/>
                      </w:tcPr>
                      <w:p w:rsidR="00930EAD" w:rsidRPr="00F4053B" w:rsidRDefault="00930EAD" w:rsidP="003948BA">
                        <w:pPr>
                          <w:pStyle w:val="TableBodyText"/>
                          <w:ind w:right="0"/>
                          <w:jc w:val="center"/>
                        </w:pPr>
                      </w:p>
                    </w:tc>
                    <w:tc>
                      <w:tcPr>
                        <w:tcW w:w="856" w:type="dxa"/>
                        <w:tcBorders>
                          <w:top w:val="nil"/>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931" w:type="dxa"/>
                        <w:tcBorders>
                          <w:top w:val="nil"/>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993" w:type="dxa"/>
                        <w:tcBorders>
                          <w:top w:val="nil"/>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1134" w:type="dxa"/>
                        <w:tcBorders>
                          <w:top w:val="nil"/>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c>
                      <w:tcPr>
                        <w:tcW w:w="992" w:type="dxa"/>
                        <w:tcBorders>
                          <w:top w:val="nil"/>
                          <w:left w:val="nil"/>
                          <w:bottom w:val="nil"/>
                          <w:right w:val="nil"/>
                        </w:tcBorders>
                        <w:shd w:val="clear" w:color="auto" w:fill="auto"/>
                        <w:noWrap/>
                        <w:vAlign w:val="bottom"/>
                      </w:tcPr>
                      <w:p w:rsidR="00930EAD" w:rsidRPr="00F4053B" w:rsidRDefault="00930EAD" w:rsidP="003948BA">
                        <w:pPr>
                          <w:rPr>
                            <w:rFonts w:ascii="Calibri" w:hAnsi="Calibri"/>
                            <w:b/>
                            <w:bCs/>
                            <w:color w:val="000000"/>
                            <w:sz w:val="22"/>
                            <w:szCs w:val="22"/>
                          </w:rPr>
                        </w:pPr>
                      </w:p>
                    </w:tc>
                  </w:tr>
                  <w:tr w:rsidR="00930EAD" w:rsidRPr="00F4053B" w:rsidTr="003948BA">
                    <w:trPr>
                      <w:trHeight w:val="300"/>
                    </w:trPr>
                    <w:tc>
                      <w:tcPr>
                        <w:tcW w:w="8520" w:type="dxa"/>
                        <w:gridSpan w:val="9"/>
                        <w:tcBorders>
                          <w:top w:val="nil"/>
                          <w:left w:val="nil"/>
                          <w:bottom w:val="nil"/>
                          <w:right w:val="nil"/>
                        </w:tcBorders>
                        <w:shd w:val="clear" w:color="auto" w:fill="auto"/>
                        <w:noWrap/>
                        <w:vAlign w:val="bottom"/>
                      </w:tcPr>
                      <w:p w:rsidR="00930EAD" w:rsidRPr="00F4053B" w:rsidRDefault="00930EAD" w:rsidP="003948BA">
                        <w:pPr>
                          <w:pStyle w:val="TableBodyText"/>
                          <w:ind w:right="0"/>
                          <w:jc w:val="center"/>
                          <w:rPr>
                            <w:i/>
                          </w:rPr>
                        </w:pPr>
                        <w:r w:rsidRPr="00F4053B">
                          <w:rPr>
                            <w:i/>
                          </w:rPr>
                          <w:t>Incidence of rules for the application of the CTC method</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hideMark/>
                      </w:tcPr>
                      <w:p w:rsidR="00930EAD" w:rsidRPr="00F4053B" w:rsidRDefault="00930EAD" w:rsidP="003948BA">
                        <w:pPr>
                          <w:pStyle w:val="TableBodyText"/>
                          <w:jc w:val="left"/>
                        </w:pPr>
                        <w:r w:rsidRPr="00F4053B">
                          <w:t xml:space="preserve">Chapter </w:t>
                        </w:r>
                        <w:r w:rsidR="00444482">
                          <w:t>2-digit</w:t>
                        </w:r>
                      </w:p>
                    </w:tc>
                    <w:tc>
                      <w:tcPr>
                        <w:tcW w:w="986" w:type="dxa"/>
                        <w:tcBorders>
                          <w:top w:val="nil"/>
                          <w:left w:val="nil"/>
                          <w:bottom w:val="nil"/>
                          <w:right w:val="nil"/>
                        </w:tcBorders>
                        <w:shd w:val="clear" w:color="auto" w:fill="auto"/>
                        <w:noWrap/>
                        <w:vAlign w:val="bottom"/>
                        <w:hideMark/>
                      </w:tcPr>
                      <w:p w:rsidR="00930EAD" w:rsidRPr="00F4053B" w:rsidRDefault="00F268E1" w:rsidP="00F268E1">
                        <w:pPr>
                          <w:pStyle w:val="TableBodyText"/>
                          <w:ind w:right="0"/>
                        </w:pPr>
                        <w:r w:rsidRPr="00F4053B">
                          <w:t>33</w:t>
                        </w:r>
                        <w:r>
                          <w:t>3</w:t>
                        </w:r>
                      </w:p>
                    </w:tc>
                    <w:tc>
                      <w:tcPr>
                        <w:tcW w:w="1026" w:type="dxa"/>
                        <w:tcBorders>
                          <w:top w:val="nil"/>
                          <w:left w:val="nil"/>
                          <w:bottom w:val="nil"/>
                          <w:right w:val="nil"/>
                        </w:tcBorders>
                        <w:shd w:val="clear" w:color="auto" w:fill="auto"/>
                        <w:noWrap/>
                        <w:vAlign w:val="bottom"/>
                        <w:hideMark/>
                      </w:tcPr>
                      <w:p w:rsidR="00930EAD" w:rsidRPr="00F4053B" w:rsidRDefault="00930EAD" w:rsidP="00FD1C67">
                        <w:pPr>
                          <w:pStyle w:val="TableBodyText"/>
                          <w:ind w:right="0"/>
                        </w:pPr>
                        <w:r w:rsidRPr="00F4053B">
                          <w:t>37</w:t>
                        </w:r>
                        <w:r w:rsidR="00FD1C67">
                          <w:t>8</w:t>
                        </w:r>
                      </w:p>
                    </w:tc>
                    <w:tc>
                      <w:tcPr>
                        <w:tcW w:w="856"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229</w:t>
                        </w:r>
                      </w:p>
                    </w:tc>
                    <w:tc>
                      <w:tcPr>
                        <w:tcW w:w="931"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411</w:t>
                        </w:r>
                      </w:p>
                    </w:tc>
                    <w:tc>
                      <w:tcPr>
                        <w:tcW w:w="993"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1107</w:t>
                        </w:r>
                      </w:p>
                    </w:tc>
                    <w:tc>
                      <w:tcPr>
                        <w:tcW w:w="1134"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381</w:t>
                        </w:r>
                      </w:p>
                    </w:tc>
                    <w:tc>
                      <w:tcPr>
                        <w:tcW w:w="992"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936</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hideMark/>
                      </w:tcPr>
                      <w:p w:rsidR="00930EAD" w:rsidRPr="00F4053B" w:rsidRDefault="00930EAD" w:rsidP="003948BA">
                        <w:pPr>
                          <w:pStyle w:val="TableBodyText"/>
                          <w:jc w:val="left"/>
                        </w:pPr>
                        <w:r w:rsidRPr="00F4053B">
                          <w:t xml:space="preserve">Heading </w:t>
                        </w:r>
                        <w:r w:rsidR="00444482">
                          <w:t>4-digit</w:t>
                        </w:r>
                        <w:r w:rsidRPr="00F4053B">
                          <w:t xml:space="preserve"> </w:t>
                        </w:r>
                      </w:p>
                    </w:tc>
                    <w:tc>
                      <w:tcPr>
                        <w:tcW w:w="986" w:type="dxa"/>
                        <w:tcBorders>
                          <w:top w:val="nil"/>
                          <w:left w:val="nil"/>
                          <w:bottom w:val="nil"/>
                          <w:right w:val="nil"/>
                        </w:tcBorders>
                        <w:shd w:val="clear" w:color="auto" w:fill="auto"/>
                        <w:noWrap/>
                        <w:vAlign w:val="bottom"/>
                        <w:hideMark/>
                      </w:tcPr>
                      <w:p w:rsidR="00930EAD" w:rsidRPr="00F4053B" w:rsidRDefault="00F268E1" w:rsidP="00F268E1">
                        <w:pPr>
                          <w:pStyle w:val="TableBodyText"/>
                          <w:ind w:right="0"/>
                        </w:pPr>
                        <w:r w:rsidRPr="00F4053B">
                          <w:t>97</w:t>
                        </w:r>
                        <w:r>
                          <w:t>3</w:t>
                        </w:r>
                      </w:p>
                    </w:tc>
                    <w:tc>
                      <w:tcPr>
                        <w:tcW w:w="1026" w:type="dxa"/>
                        <w:tcBorders>
                          <w:top w:val="nil"/>
                          <w:left w:val="nil"/>
                          <w:bottom w:val="nil"/>
                          <w:right w:val="nil"/>
                        </w:tcBorders>
                        <w:shd w:val="clear" w:color="auto" w:fill="auto"/>
                        <w:noWrap/>
                        <w:vAlign w:val="bottom"/>
                        <w:hideMark/>
                      </w:tcPr>
                      <w:p w:rsidR="00930EAD" w:rsidRPr="00F4053B" w:rsidRDefault="00FD1C67" w:rsidP="00FD1C67">
                        <w:pPr>
                          <w:pStyle w:val="TableBodyText"/>
                          <w:ind w:right="0"/>
                        </w:pPr>
                        <w:r>
                          <w:t>1009</w:t>
                        </w:r>
                      </w:p>
                    </w:tc>
                    <w:tc>
                      <w:tcPr>
                        <w:tcW w:w="856"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415</w:t>
                        </w:r>
                      </w:p>
                    </w:tc>
                    <w:tc>
                      <w:tcPr>
                        <w:tcW w:w="931" w:type="dxa"/>
                        <w:tcBorders>
                          <w:top w:val="nil"/>
                          <w:left w:val="nil"/>
                          <w:bottom w:val="nil"/>
                          <w:right w:val="nil"/>
                        </w:tcBorders>
                        <w:shd w:val="clear" w:color="auto" w:fill="auto"/>
                        <w:noWrap/>
                        <w:vAlign w:val="bottom"/>
                        <w:hideMark/>
                      </w:tcPr>
                      <w:p w:rsidR="00930EAD" w:rsidRPr="00F4053B" w:rsidRDefault="00FD1C67" w:rsidP="00FD1C67">
                        <w:pPr>
                          <w:pStyle w:val="TableBodyText"/>
                          <w:ind w:right="0"/>
                        </w:pPr>
                        <w:r>
                          <w:t>907</w:t>
                        </w:r>
                      </w:p>
                    </w:tc>
                    <w:tc>
                      <w:tcPr>
                        <w:tcW w:w="993"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589</w:t>
                        </w:r>
                      </w:p>
                    </w:tc>
                    <w:tc>
                      <w:tcPr>
                        <w:tcW w:w="1134"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9</w:t>
                        </w:r>
                        <w:r w:rsidR="00FD1C67">
                          <w:t>0</w:t>
                        </w:r>
                        <w:r w:rsidRPr="00F4053B">
                          <w:t>0</w:t>
                        </w:r>
                      </w:p>
                    </w:tc>
                    <w:tc>
                      <w:tcPr>
                        <w:tcW w:w="992"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2739</w:t>
                        </w:r>
                      </w:p>
                    </w:tc>
                  </w:tr>
                  <w:tr w:rsidR="00930EAD" w:rsidRPr="00F4053B" w:rsidTr="003948BA">
                    <w:trPr>
                      <w:gridAfter w:val="1"/>
                      <w:wAfter w:w="102" w:type="dxa"/>
                      <w:trHeight w:val="300"/>
                    </w:trPr>
                    <w:tc>
                      <w:tcPr>
                        <w:tcW w:w="1500" w:type="dxa"/>
                        <w:tcBorders>
                          <w:top w:val="nil"/>
                          <w:left w:val="nil"/>
                          <w:bottom w:val="nil"/>
                          <w:right w:val="nil"/>
                        </w:tcBorders>
                        <w:shd w:val="clear" w:color="auto" w:fill="auto"/>
                        <w:noWrap/>
                        <w:vAlign w:val="bottom"/>
                        <w:hideMark/>
                      </w:tcPr>
                      <w:p w:rsidR="00930EAD" w:rsidRPr="00F4053B" w:rsidRDefault="00930EAD" w:rsidP="003948BA">
                        <w:pPr>
                          <w:pStyle w:val="TableBodyText"/>
                          <w:jc w:val="left"/>
                        </w:pPr>
                        <w:r w:rsidRPr="00F4053B">
                          <w:t xml:space="preserve">Subheading </w:t>
                        </w:r>
                        <w:r w:rsidR="00444482">
                          <w:t>6-digit</w:t>
                        </w:r>
                      </w:p>
                    </w:tc>
                    <w:tc>
                      <w:tcPr>
                        <w:tcW w:w="986" w:type="dxa"/>
                        <w:tcBorders>
                          <w:top w:val="nil"/>
                          <w:left w:val="nil"/>
                          <w:bottom w:val="nil"/>
                          <w:right w:val="nil"/>
                        </w:tcBorders>
                        <w:shd w:val="clear" w:color="auto" w:fill="auto"/>
                        <w:noWrap/>
                        <w:vAlign w:val="bottom"/>
                        <w:hideMark/>
                      </w:tcPr>
                      <w:p w:rsidR="00930EAD" w:rsidRPr="00F4053B" w:rsidRDefault="00F268E1" w:rsidP="003948BA">
                        <w:pPr>
                          <w:pStyle w:val="TableBodyText"/>
                          <w:ind w:right="0"/>
                        </w:pPr>
                        <w:r>
                          <w:t>1486</w:t>
                        </w:r>
                      </w:p>
                    </w:tc>
                    <w:tc>
                      <w:tcPr>
                        <w:tcW w:w="1026" w:type="dxa"/>
                        <w:tcBorders>
                          <w:top w:val="nil"/>
                          <w:left w:val="nil"/>
                          <w:bottom w:val="nil"/>
                          <w:right w:val="nil"/>
                        </w:tcBorders>
                        <w:shd w:val="clear" w:color="auto" w:fill="auto"/>
                        <w:noWrap/>
                        <w:vAlign w:val="bottom"/>
                        <w:hideMark/>
                      </w:tcPr>
                      <w:p w:rsidR="00930EAD" w:rsidRPr="00F4053B" w:rsidRDefault="00930EAD" w:rsidP="00FD1C67">
                        <w:pPr>
                          <w:pStyle w:val="TableBodyText"/>
                          <w:ind w:right="0"/>
                        </w:pPr>
                        <w:r w:rsidRPr="00F4053B">
                          <w:t>1</w:t>
                        </w:r>
                        <w:r w:rsidR="00FD1C67">
                          <w:t>489</w:t>
                        </w:r>
                      </w:p>
                    </w:tc>
                    <w:tc>
                      <w:tcPr>
                        <w:tcW w:w="856"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332</w:t>
                        </w:r>
                      </w:p>
                    </w:tc>
                    <w:tc>
                      <w:tcPr>
                        <w:tcW w:w="931" w:type="dxa"/>
                        <w:tcBorders>
                          <w:top w:val="nil"/>
                          <w:left w:val="nil"/>
                          <w:bottom w:val="nil"/>
                          <w:right w:val="nil"/>
                        </w:tcBorders>
                        <w:shd w:val="clear" w:color="auto" w:fill="auto"/>
                        <w:noWrap/>
                        <w:vAlign w:val="bottom"/>
                        <w:hideMark/>
                      </w:tcPr>
                      <w:p w:rsidR="00930EAD" w:rsidRPr="00F4053B" w:rsidRDefault="00930EAD" w:rsidP="00FD1C67">
                        <w:pPr>
                          <w:pStyle w:val="TableBodyText"/>
                          <w:ind w:right="0"/>
                        </w:pPr>
                        <w:r w:rsidRPr="00F4053B">
                          <w:t>14</w:t>
                        </w:r>
                        <w:r w:rsidR="00FD1C67">
                          <w:t>8</w:t>
                        </w:r>
                        <w:r w:rsidRPr="00F4053B">
                          <w:t>0</w:t>
                        </w:r>
                      </w:p>
                    </w:tc>
                    <w:tc>
                      <w:tcPr>
                        <w:tcW w:w="993"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1035</w:t>
                        </w:r>
                      </w:p>
                    </w:tc>
                    <w:tc>
                      <w:tcPr>
                        <w:tcW w:w="1134" w:type="dxa"/>
                        <w:tcBorders>
                          <w:top w:val="nil"/>
                          <w:left w:val="nil"/>
                          <w:bottom w:val="nil"/>
                          <w:right w:val="nil"/>
                        </w:tcBorders>
                        <w:shd w:val="clear" w:color="auto" w:fill="auto"/>
                        <w:noWrap/>
                        <w:vAlign w:val="bottom"/>
                        <w:hideMark/>
                      </w:tcPr>
                      <w:p w:rsidR="00930EAD" w:rsidRPr="00F4053B" w:rsidRDefault="00930EAD" w:rsidP="00FD1C67">
                        <w:pPr>
                          <w:pStyle w:val="TableBodyText"/>
                          <w:ind w:right="0"/>
                        </w:pPr>
                        <w:r w:rsidRPr="00F4053B">
                          <w:t>13</w:t>
                        </w:r>
                        <w:r w:rsidR="00FD1C67">
                          <w:t>7</w:t>
                        </w:r>
                        <w:r w:rsidRPr="00F4053B">
                          <w:t>7</w:t>
                        </w:r>
                      </w:p>
                    </w:tc>
                    <w:tc>
                      <w:tcPr>
                        <w:tcW w:w="992"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1147</w:t>
                        </w:r>
                      </w:p>
                    </w:tc>
                  </w:tr>
                  <w:tr w:rsidR="00930EAD" w:rsidRPr="00F4053B" w:rsidTr="003948BA">
                    <w:trPr>
                      <w:gridAfter w:val="1"/>
                      <w:wAfter w:w="102" w:type="dxa"/>
                      <w:trHeight w:val="330"/>
                    </w:trPr>
                    <w:tc>
                      <w:tcPr>
                        <w:tcW w:w="1500" w:type="dxa"/>
                        <w:tcBorders>
                          <w:top w:val="nil"/>
                          <w:left w:val="nil"/>
                          <w:bottom w:val="nil"/>
                          <w:right w:val="nil"/>
                        </w:tcBorders>
                        <w:shd w:val="clear" w:color="auto" w:fill="auto"/>
                        <w:noWrap/>
                        <w:vAlign w:val="bottom"/>
                        <w:hideMark/>
                      </w:tcPr>
                      <w:p w:rsidR="00930EAD" w:rsidRPr="00F4053B" w:rsidRDefault="00930EAD" w:rsidP="003948BA">
                        <w:pPr>
                          <w:pStyle w:val="TableBodyText"/>
                          <w:jc w:val="left"/>
                        </w:pPr>
                        <w:r w:rsidRPr="00F4053B">
                          <w:t>Total</w:t>
                        </w:r>
                      </w:p>
                    </w:tc>
                    <w:tc>
                      <w:tcPr>
                        <w:tcW w:w="986" w:type="dxa"/>
                        <w:tcBorders>
                          <w:top w:val="nil"/>
                          <w:left w:val="nil"/>
                          <w:bottom w:val="nil"/>
                          <w:right w:val="nil"/>
                        </w:tcBorders>
                        <w:shd w:val="clear" w:color="auto" w:fill="auto"/>
                        <w:noWrap/>
                        <w:vAlign w:val="bottom"/>
                        <w:hideMark/>
                      </w:tcPr>
                      <w:p w:rsidR="00F268E1" w:rsidRPr="00F4053B" w:rsidRDefault="00F268E1" w:rsidP="00F268E1">
                        <w:pPr>
                          <w:pStyle w:val="TableBodyText"/>
                          <w:ind w:right="0"/>
                        </w:pPr>
                        <w:r w:rsidRPr="00F4053B">
                          <w:t>2</w:t>
                        </w:r>
                        <w:r>
                          <w:t>792</w:t>
                        </w:r>
                      </w:p>
                    </w:tc>
                    <w:tc>
                      <w:tcPr>
                        <w:tcW w:w="1026" w:type="dxa"/>
                        <w:tcBorders>
                          <w:top w:val="nil"/>
                          <w:left w:val="nil"/>
                          <w:bottom w:val="nil"/>
                          <w:right w:val="nil"/>
                        </w:tcBorders>
                        <w:shd w:val="clear" w:color="auto" w:fill="auto"/>
                        <w:noWrap/>
                        <w:vAlign w:val="bottom"/>
                        <w:hideMark/>
                      </w:tcPr>
                      <w:p w:rsidR="00930EAD" w:rsidRPr="00F4053B" w:rsidRDefault="00930EAD" w:rsidP="00FD1C67">
                        <w:pPr>
                          <w:pStyle w:val="TableBodyText"/>
                          <w:ind w:right="0"/>
                        </w:pPr>
                        <w:r w:rsidRPr="00F4053B">
                          <w:t>28</w:t>
                        </w:r>
                        <w:r w:rsidR="00FD1C67">
                          <w:t>76</w:t>
                        </w:r>
                      </w:p>
                    </w:tc>
                    <w:tc>
                      <w:tcPr>
                        <w:tcW w:w="856"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976</w:t>
                        </w:r>
                      </w:p>
                    </w:tc>
                    <w:tc>
                      <w:tcPr>
                        <w:tcW w:w="931"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2798</w:t>
                        </w:r>
                      </w:p>
                    </w:tc>
                    <w:tc>
                      <w:tcPr>
                        <w:tcW w:w="993"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2731</w:t>
                        </w:r>
                      </w:p>
                    </w:tc>
                    <w:tc>
                      <w:tcPr>
                        <w:tcW w:w="1134" w:type="dxa"/>
                        <w:tcBorders>
                          <w:top w:val="nil"/>
                          <w:left w:val="nil"/>
                          <w:bottom w:val="nil"/>
                          <w:right w:val="nil"/>
                        </w:tcBorders>
                        <w:shd w:val="clear" w:color="auto" w:fill="auto"/>
                        <w:noWrap/>
                        <w:vAlign w:val="bottom"/>
                        <w:hideMark/>
                      </w:tcPr>
                      <w:p w:rsidR="00930EAD" w:rsidRPr="00F4053B" w:rsidRDefault="00930EAD" w:rsidP="00FD1C67">
                        <w:pPr>
                          <w:pStyle w:val="TableBodyText"/>
                          <w:ind w:right="0"/>
                        </w:pPr>
                        <w:r w:rsidRPr="00F4053B">
                          <w:t>26</w:t>
                        </w:r>
                        <w:r w:rsidR="00FD1C67">
                          <w:t>5</w:t>
                        </w:r>
                        <w:r w:rsidRPr="00F4053B">
                          <w:t>8</w:t>
                        </w:r>
                      </w:p>
                    </w:tc>
                    <w:tc>
                      <w:tcPr>
                        <w:tcW w:w="992" w:type="dxa"/>
                        <w:tcBorders>
                          <w:top w:val="nil"/>
                          <w:left w:val="nil"/>
                          <w:bottom w:val="nil"/>
                          <w:right w:val="nil"/>
                        </w:tcBorders>
                        <w:shd w:val="clear" w:color="auto" w:fill="auto"/>
                        <w:noWrap/>
                        <w:vAlign w:val="bottom"/>
                        <w:hideMark/>
                      </w:tcPr>
                      <w:p w:rsidR="00930EAD" w:rsidRPr="00F4053B" w:rsidRDefault="00930EAD" w:rsidP="003948BA">
                        <w:pPr>
                          <w:pStyle w:val="TableBodyText"/>
                          <w:ind w:right="0"/>
                        </w:pPr>
                        <w:r w:rsidRPr="00F4053B">
                          <w:t>4822</w:t>
                        </w:r>
                      </w:p>
                    </w:tc>
                  </w:tr>
                </w:tbl>
                <w:p w:rsidR="00930EAD" w:rsidRPr="00F4053B" w:rsidRDefault="00930EAD" w:rsidP="003948BA">
                  <w:pPr>
                    <w:pStyle w:val="TableColumnHeading"/>
                    <w:jc w:val="left"/>
                    <w:rPr>
                      <w:b/>
                    </w:rPr>
                  </w:pPr>
                </w:p>
              </w:tc>
              <w:tc>
                <w:tcPr>
                  <w:tcW w:w="12" w:type="pct"/>
                  <w:tcBorders>
                    <w:top w:val="single" w:sz="6" w:space="0" w:color="BFBFBF"/>
                    <w:bottom w:val="single" w:sz="6" w:space="0" w:color="BFBFBF"/>
                  </w:tcBorders>
                  <w:shd w:val="clear" w:color="auto" w:fill="auto"/>
                  <w:tcMar>
                    <w:top w:w="28" w:type="dxa"/>
                  </w:tcMar>
                </w:tcPr>
                <w:p w:rsidR="00930EAD" w:rsidRDefault="00930EAD" w:rsidP="003948BA">
                  <w:pPr>
                    <w:pStyle w:val="TableColumnHeading"/>
                  </w:pPr>
                </w:p>
              </w:tc>
              <w:tc>
                <w:tcPr>
                  <w:tcW w:w="12" w:type="pct"/>
                  <w:tcBorders>
                    <w:top w:val="single" w:sz="6" w:space="0" w:color="BFBFBF"/>
                    <w:bottom w:val="single" w:sz="6" w:space="0" w:color="BFBFBF"/>
                  </w:tcBorders>
                  <w:shd w:val="clear" w:color="auto" w:fill="auto"/>
                  <w:tcMar>
                    <w:top w:w="28" w:type="dxa"/>
                  </w:tcMar>
                </w:tcPr>
                <w:p w:rsidR="00930EAD" w:rsidRDefault="00930EAD" w:rsidP="003948BA">
                  <w:pPr>
                    <w:pStyle w:val="TableColumnHeading"/>
                    <w:ind w:right="28"/>
                  </w:pPr>
                </w:p>
              </w:tc>
            </w:tr>
          </w:tbl>
          <w:p w:rsidR="00930EAD" w:rsidRDefault="00930EAD" w:rsidP="003948BA">
            <w:pPr>
              <w:pStyle w:val="Box"/>
            </w:pPr>
          </w:p>
        </w:tc>
      </w:tr>
      <w:tr w:rsidR="00930EAD" w:rsidTr="003948BA">
        <w:trPr>
          <w:cantSplit/>
        </w:trPr>
        <w:tc>
          <w:tcPr>
            <w:tcW w:w="8795" w:type="dxa"/>
            <w:tcBorders>
              <w:top w:val="nil"/>
              <w:left w:val="nil"/>
              <w:bottom w:val="nil"/>
              <w:right w:val="nil"/>
            </w:tcBorders>
            <w:shd w:val="clear" w:color="auto" w:fill="auto"/>
          </w:tcPr>
          <w:p w:rsidR="00224AA2" w:rsidRPr="00A130E5" w:rsidRDefault="00224AA2" w:rsidP="00A130E5">
            <w:pPr>
              <w:pStyle w:val="Note"/>
              <w:rPr>
                <w:rStyle w:val="NoteLabel"/>
              </w:rPr>
            </w:pPr>
            <w:proofErr w:type="gramStart"/>
            <w:r>
              <w:rPr>
                <w:rStyle w:val="NoteLabel"/>
              </w:rPr>
              <w:t>a</w:t>
            </w:r>
            <w:proofErr w:type="gramEnd"/>
            <w:r w:rsidRPr="00A130E5">
              <w:rPr>
                <w:rStyle w:val="NoteLabel"/>
              </w:rPr>
              <w:t> </w:t>
            </w:r>
            <w:r w:rsidRPr="00A130E5">
              <w:t xml:space="preserve">The </w:t>
            </w:r>
            <w:r w:rsidR="006C2018">
              <w:t xml:space="preserve">count of listed rules reported in table 6.1 of </w:t>
            </w:r>
            <w:r w:rsidR="006C2018" w:rsidRPr="00A130E5">
              <w:rPr>
                <w:i/>
              </w:rPr>
              <w:t>Trade &amp; Assistance Review 2012</w:t>
            </w:r>
            <w:r w:rsidR="006C2018" w:rsidRPr="00A130E5">
              <w:rPr>
                <w:i/>
              </w:rPr>
              <w:noBreakHyphen/>
              <w:t>13</w:t>
            </w:r>
            <w:r w:rsidR="006C2018">
              <w:t xml:space="preserve"> corresponds to this Total. Due to processing differences there a</w:t>
            </w:r>
            <w:r w:rsidR="00480173">
              <w:t>re</w:t>
            </w:r>
            <w:r w:rsidR="006C2018">
              <w:t xml:space="preserve"> very minor variations between the two representations for some agreements. </w:t>
            </w:r>
          </w:p>
          <w:p w:rsidR="00930EAD" w:rsidRPr="005F3BC9" w:rsidRDefault="00930EAD" w:rsidP="003948BA">
            <w:pPr>
              <w:pStyle w:val="Subtitle"/>
              <w:keepNext w:val="0"/>
              <w:spacing w:before="80" w:after="0" w:line="220" w:lineRule="exact"/>
              <w:ind w:left="0"/>
              <w:jc w:val="both"/>
              <w:rPr>
                <w:sz w:val="18"/>
                <w:szCs w:val="18"/>
              </w:rPr>
            </w:pPr>
            <w:r w:rsidRPr="005F3BC9">
              <w:rPr>
                <w:i/>
                <w:sz w:val="18"/>
                <w:szCs w:val="18"/>
              </w:rPr>
              <w:t>Source</w:t>
            </w:r>
            <w:r w:rsidRPr="005F3BC9">
              <w:rPr>
                <w:sz w:val="18"/>
                <w:szCs w:val="18"/>
              </w:rPr>
              <w:t xml:space="preserve">: Commission estimates. </w:t>
            </w:r>
          </w:p>
        </w:tc>
      </w:tr>
      <w:tr w:rsidR="00930EAD" w:rsidTr="003948BA">
        <w:trPr>
          <w:cantSplit/>
        </w:trPr>
        <w:tc>
          <w:tcPr>
            <w:tcW w:w="8795" w:type="dxa"/>
            <w:tcBorders>
              <w:top w:val="nil"/>
              <w:left w:val="nil"/>
              <w:bottom w:val="single" w:sz="6" w:space="0" w:color="78A22F"/>
              <w:right w:val="nil"/>
            </w:tcBorders>
            <w:shd w:val="clear" w:color="auto" w:fill="auto"/>
          </w:tcPr>
          <w:p w:rsidR="00930EAD" w:rsidRDefault="00930EAD" w:rsidP="003948BA">
            <w:pPr>
              <w:pStyle w:val="Box"/>
              <w:spacing w:before="0" w:line="120" w:lineRule="exact"/>
            </w:pPr>
          </w:p>
        </w:tc>
      </w:tr>
      <w:tr w:rsidR="00930EAD" w:rsidRPr="000863A5" w:rsidTr="003948BA">
        <w:tc>
          <w:tcPr>
            <w:tcW w:w="8795" w:type="dxa"/>
            <w:tcBorders>
              <w:top w:val="single" w:sz="6" w:space="0" w:color="78A22F"/>
              <w:left w:val="nil"/>
              <w:bottom w:val="nil"/>
              <w:right w:val="nil"/>
            </w:tcBorders>
          </w:tcPr>
          <w:p w:rsidR="00930EAD" w:rsidRPr="00626D32" w:rsidRDefault="00930EAD" w:rsidP="003948BA">
            <w:pPr>
              <w:pStyle w:val="BoxSpaceBelow"/>
            </w:pPr>
          </w:p>
        </w:tc>
      </w:tr>
    </w:tbl>
    <w:p w:rsidR="00800BB8" w:rsidRPr="00731E8E" w:rsidRDefault="00800BB8" w:rsidP="00731E8E">
      <w:pPr>
        <w:pStyle w:val="BodyText"/>
      </w:pPr>
    </w:p>
    <w:sectPr w:rsidR="00800BB8" w:rsidRPr="00731E8E" w:rsidSect="002C33CF">
      <w:headerReference w:type="even" r:id="rId11"/>
      <w:headerReference w:type="default" r:id="rId12"/>
      <w:footerReference w:type="even" r:id="rId13"/>
      <w:footerReference w:type="default" r:id="rId14"/>
      <w:pgSz w:w="11907" w:h="16840" w:code="9"/>
      <w:pgMar w:top="1985" w:right="1304" w:bottom="1247" w:left="1814" w:header="1701" w:footer="397" w:gutter="0"/>
      <w:pgNumType w:start="2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CD0" w:rsidRDefault="00904CD0">
      <w:r>
        <w:separator/>
      </w:r>
    </w:p>
  </w:endnote>
  <w:endnote w:type="continuationSeparator" w:id="0">
    <w:p w:rsidR="00904CD0" w:rsidRDefault="0090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948BA" w:rsidTr="005F48ED">
      <w:trPr>
        <w:trHeight w:hRule="exact" w:val="567"/>
      </w:trPr>
      <w:tc>
        <w:tcPr>
          <w:tcW w:w="510" w:type="dxa"/>
        </w:tcPr>
        <w:p w:rsidR="003948BA" w:rsidRPr="00A24443" w:rsidRDefault="003948BA"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61DA9">
            <w:rPr>
              <w:rStyle w:val="PageNumber"/>
              <w:caps w:val="0"/>
              <w:noProof/>
            </w:rPr>
            <w:t>24</w:t>
          </w:r>
          <w:r w:rsidRPr="00A24443">
            <w:rPr>
              <w:rStyle w:val="PageNumber"/>
              <w:caps w:val="0"/>
            </w:rPr>
            <w:fldChar w:fldCharType="end"/>
          </w:r>
        </w:p>
      </w:tc>
      <w:tc>
        <w:tcPr>
          <w:tcW w:w="7767" w:type="dxa"/>
        </w:tcPr>
        <w:p w:rsidR="003948BA" w:rsidRPr="0013739A" w:rsidRDefault="003948BA"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475975">
            <w:rPr>
              <w:rFonts w:cs="Arial"/>
            </w:rPr>
            <w:t>Trade &amp; Assistance Review 2012-13 Methodological Annex</w:t>
          </w:r>
          <w:r w:rsidRPr="00BA5B14">
            <w:rPr>
              <w:rFonts w:cs="Arial"/>
            </w:rPr>
            <w:fldChar w:fldCharType="end"/>
          </w:r>
          <w:bookmarkStart w:id="6" w:name="DraftReportEven"/>
          <w:bookmarkEnd w:id="6"/>
        </w:p>
      </w:tc>
      <w:tc>
        <w:tcPr>
          <w:tcW w:w="510" w:type="dxa"/>
        </w:tcPr>
        <w:p w:rsidR="003948BA" w:rsidRDefault="003948BA" w:rsidP="0019293B">
          <w:pPr>
            <w:pStyle w:val="Footer"/>
          </w:pPr>
        </w:p>
      </w:tc>
    </w:tr>
  </w:tbl>
  <w:p w:rsidR="003948BA" w:rsidRDefault="003948B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948BA" w:rsidTr="005F48ED">
      <w:trPr>
        <w:trHeight w:hRule="exact" w:val="567"/>
      </w:trPr>
      <w:tc>
        <w:tcPr>
          <w:tcW w:w="510" w:type="dxa"/>
        </w:tcPr>
        <w:p w:rsidR="003948BA" w:rsidRDefault="003948BA">
          <w:pPr>
            <w:pStyle w:val="Footer"/>
            <w:ind w:right="360" w:firstLine="360"/>
          </w:pPr>
        </w:p>
      </w:tc>
      <w:tc>
        <w:tcPr>
          <w:tcW w:w="7767" w:type="dxa"/>
        </w:tcPr>
        <w:p w:rsidR="003948BA" w:rsidRPr="00BA5B14" w:rsidRDefault="003948BA"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475975">
            <w:rPr>
              <w:rFonts w:cs="Arial"/>
            </w:rPr>
            <w:t>Rules of Origin methodology</w:t>
          </w:r>
          <w:r w:rsidRPr="00BA5B14">
            <w:rPr>
              <w:rFonts w:cs="Arial"/>
            </w:rPr>
            <w:fldChar w:fldCharType="end"/>
          </w:r>
          <w:bookmarkStart w:id="7" w:name="DraftReportOdd"/>
          <w:bookmarkEnd w:id="7"/>
        </w:p>
      </w:tc>
      <w:tc>
        <w:tcPr>
          <w:tcW w:w="510" w:type="dxa"/>
        </w:tcPr>
        <w:p w:rsidR="003948BA" w:rsidRPr="00A24443" w:rsidRDefault="003948BA">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61DA9">
            <w:rPr>
              <w:rStyle w:val="PageNumber"/>
              <w:caps w:val="0"/>
              <w:noProof/>
            </w:rPr>
            <w:t>21</w:t>
          </w:r>
          <w:r w:rsidRPr="00A24443">
            <w:rPr>
              <w:rStyle w:val="PageNumber"/>
              <w:caps w:val="0"/>
            </w:rPr>
            <w:fldChar w:fldCharType="end"/>
          </w:r>
        </w:p>
      </w:tc>
    </w:tr>
  </w:tbl>
  <w:p w:rsidR="003948BA" w:rsidRDefault="003948B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CD0" w:rsidRDefault="00904CD0">
      <w:r>
        <w:separator/>
      </w:r>
    </w:p>
  </w:footnote>
  <w:footnote w:type="continuationSeparator" w:id="0">
    <w:p w:rsidR="00904CD0" w:rsidRDefault="00904CD0">
      <w:r>
        <w:continuationSeparator/>
      </w:r>
    </w:p>
  </w:footnote>
  <w:footnote w:id="1">
    <w:p w:rsidR="003948BA" w:rsidRDefault="003948BA" w:rsidP="006C1F72">
      <w:pPr>
        <w:pStyle w:val="FootnoteText"/>
      </w:pPr>
      <w:r>
        <w:rPr>
          <w:rStyle w:val="FootnoteReference"/>
        </w:rPr>
        <w:footnoteRef/>
      </w:r>
      <w:r>
        <w:tab/>
      </w:r>
      <w:hyperlink r:id="rId1" w:history="1">
        <w:r w:rsidRPr="005F3BC9">
          <w:rPr>
            <w:rStyle w:val="Hyperlink"/>
            <w:color w:val="auto"/>
          </w:rPr>
          <w:t>www.dfat.gov.au/fta</w:t>
        </w:r>
      </w:hyperlink>
    </w:p>
  </w:footnote>
  <w:footnote w:id="2">
    <w:p w:rsidR="00E911C1" w:rsidRDefault="00E911C1" w:rsidP="00E911C1">
      <w:pPr>
        <w:pStyle w:val="FootnoteText"/>
      </w:pPr>
      <w:r>
        <w:rPr>
          <w:rStyle w:val="FootnoteReference"/>
        </w:rPr>
        <w:footnoteRef/>
      </w:r>
      <w:r>
        <w:tab/>
        <w:t>If each alternative in multiple test rules for an individual trade item or group of trade items were counted the ‘number’ of rules for each agreement would be substantially higher than reported.</w:t>
      </w:r>
    </w:p>
  </w:footnote>
  <w:footnote w:id="3">
    <w:p w:rsidR="00E3314B" w:rsidRDefault="00E3314B">
      <w:pPr>
        <w:pStyle w:val="FootnoteText"/>
      </w:pPr>
      <w:r>
        <w:rPr>
          <w:rStyle w:val="FootnoteReference"/>
        </w:rPr>
        <w:footnoteRef/>
      </w:r>
      <w:r>
        <w:tab/>
        <w:t>The application of the CTC methods in any second (and subsequent) components (or choices) in each rule would differ f</w:t>
      </w:r>
      <w:r w:rsidR="00211920">
        <w:t>rom</w:t>
      </w:r>
      <w:r>
        <w:t xml:space="preserve"> the application in the first component</w:t>
      </w:r>
      <w:r w:rsidR="00A130E5">
        <w:t xml:space="preserve"> and could be tallied separately</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948BA">
      <w:tc>
        <w:tcPr>
          <w:tcW w:w="2155" w:type="dxa"/>
          <w:tcBorders>
            <w:top w:val="single" w:sz="24" w:space="0" w:color="auto"/>
          </w:tcBorders>
        </w:tcPr>
        <w:p w:rsidR="003948BA" w:rsidRDefault="003948BA" w:rsidP="0019293B">
          <w:pPr>
            <w:pStyle w:val="HeaderEven"/>
          </w:pPr>
        </w:p>
      </w:tc>
      <w:tc>
        <w:tcPr>
          <w:tcW w:w="6634" w:type="dxa"/>
          <w:tcBorders>
            <w:top w:val="single" w:sz="6" w:space="0" w:color="auto"/>
          </w:tcBorders>
        </w:tcPr>
        <w:p w:rsidR="003948BA" w:rsidRDefault="003948BA" w:rsidP="0019293B">
          <w:pPr>
            <w:pStyle w:val="HeaderEven"/>
          </w:pPr>
        </w:p>
      </w:tc>
    </w:tr>
  </w:tbl>
  <w:p w:rsidR="003948BA" w:rsidRDefault="003948B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948BA">
      <w:tc>
        <w:tcPr>
          <w:tcW w:w="6634" w:type="dxa"/>
          <w:tcBorders>
            <w:top w:val="single" w:sz="6" w:space="0" w:color="auto"/>
          </w:tcBorders>
        </w:tcPr>
        <w:p w:rsidR="003948BA" w:rsidRDefault="003948BA" w:rsidP="00E669E2">
          <w:pPr>
            <w:pStyle w:val="HeaderOdd"/>
          </w:pPr>
        </w:p>
      </w:tc>
      <w:tc>
        <w:tcPr>
          <w:tcW w:w="2155" w:type="dxa"/>
          <w:tcBorders>
            <w:top w:val="single" w:sz="24" w:space="0" w:color="auto"/>
          </w:tcBorders>
        </w:tcPr>
        <w:p w:rsidR="003948BA" w:rsidRDefault="003948BA" w:rsidP="00E669E2">
          <w:pPr>
            <w:pStyle w:val="HeaderOdd"/>
          </w:pPr>
        </w:p>
      </w:tc>
    </w:tr>
  </w:tbl>
  <w:p w:rsidR="003948BA" w:rsidRDefault="003948B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ules of Origin methodology"/>
    <w:docVar w:name="ShortReportTitle" w:val="Trade &amp; Assistance Review 2012-13 Methodological Annex"/>
  </w:docVars>
  <w:rsids>
    <w:rsidRoot w:val="002C33CF"/>
    <w:rsid w:val="00006561"/>
    <w:rsid w:val="000227D5"/>
    <w:rsid w:val="00024395"/>
    <w:rsid w:val="000245AA"/>
    <w:rsid w:val="00030BA0"/>
    <w:rsid w:val="00033784"/>
    <w:rsid w:val="0003664B"/>
    <w:rsid w:val="0004111F"/>
    <w:rsid w:val="00043013"/>
    <w:rsid w:val="00055077"/>
    <w:rsid w:val="000565B3"/>
    <w:rsid w:val="00061744"/>
    <w:rsid w:val="00067B45"/>
    <w:rsid w:val="0007150B"/>
    <w:rsid w:val="0007547B"/>
    <w:rsid w:val="00080FD6"/>
    <w:rsid w:val="000938F5"/>
    <w:rsid w:val="00093D7C"/>
    <w:rsid w:val="00095663"/>
    <w:rsid w:val="00096E55"/>
    <w:rsid w:val="0009783E"/>
    <w:rsid w:val="000A3736"/>
    <w:rsid w:val="000A53A6"/>
    <w:rsid w:val="000B1022"/>
    <w:rsid w:val="000B380F"/>
    <w:rsid w:val="000B533A"/>
    <w:rsid w:val="000B601B"/>
    <w:rsid w:val="000C207E"/>
    <w:rsid w:val="000C4AE5"/>
    <w:rsid w:val="000D2489"/>
    <w:rsid w:val="000D41E9"/>
    <w:rsid w:val="000D465A"/>
    <w:rsid w:val="000E1E99"/>
    <w:rsid w:val="000F0035"/>
    <w:rsid w:val="000F04E7"/>
    <w:rsid w:val="000F060A"/>
    <w:rsid w:val="000F420B"/>
    <w:rsid w:val="000F5C7C"/>
    <w:rsid w:val="000F6FB9"/>
    <w:rsid w:val="0010105F"/>
    <w:rsid w:val="00110116"/>
    <w:rsid w:val="00120072"/>
    <w:rsid w:val="0012127C"/>
    <w:rsid w:val="00126EB8"/>
    <w:rsid w:val="001274D4"/>
    <w:rsid w:val="001278A3"/>
    <w:rsid w:val="001363AA"/>
    <w:rsid w:val="0013739A"/>
    <w:rsid w:val="001413E9"/>
    <w:rsid w:val="00142165"/>
    <w:rsid w:val="00146A6B"/>
    <w:rsid w:val="00147922"/>
    <w:rsid w:val="00151C10"/>
    <w:rsid w:val="001533DD"/>
    <w:rsid w:val="001555F8"/>
    <w:rsid w:val="00162434"/>
    <w:rsid w:val="00162E5B"/>
    <w:rsid w:val="0017145C"/>
    <w:rsid w:val="00172631"/>
    <w:rsid w:val="00183E82"/>
    <w:rsid w:val="001878BB"/>
    <w:rsid w:val="00191AE0"/>
    <w:rsid w:val="0019293B"/>
    <w:rsid w:val="0019426B"/>
    <w:rsid w:val="001956E3"/>
    <w:rsid w:val="001A6A4B"/>
    <w:rsid w:val="001B0A04"/>
    <w:rsid w:val="001B6D29"/>
    <w:rsid w:val="001C0865"/>
    <w:rsid w:val="001C0AED"/>
    <w:rsid w:val="001C1EF3"/>
    <w:rsid w:val="001C2099"/>
    <w:rsid w:val="001C2474"/>
    <w:rsid w:val="001C3ABA"/>
    <w:rsid w:val="001C5111"/>
    <w:rsid w:val="001C5631"/>
    <w:rsid w:val="001D118F"/>
    <w:rsid w:val="001D7109"/>
    <w:rsid w:val="001E7BE8"/>
    <w:rsid w:val="001F0248"/>
    <w:rsid w:val="001F229E"/>
    <w:rsid w:val="001F3EB3"/>
    <w:rsid w:val="001F4F86"/>
    <w:rsid w:val="00202C2C"/>
    <w:rsid w:val="00203050"/>
    <w:rsid w:val="00211085"/>
    <w:rsid w:val="00211920"/>
    <w:rsid w:val="002135AB"/>
    <w:rsid w:val="002144BE"/>
    <w:rsid w:val="00222FD7"/>
    <w:rsid w:val="00224AA2"/>
    <w:rsid w:val="00225B15"/>
    <w:rsid w:val="00227246"/>
    <w:rsid w:val="00234657"/>
    <w:rsid w:val="00234C90"/>
    <w:rsid w:val="00242279"/>
    <w:rsid w:val="00242E84"/>
    <w:rsid w:val="00243997"/>
    <w:rsid w:val="0024516C"/>
    <w:rsid w:val="0024588D"/>
    <w:rsid w:val="00245C0F"/>
    <w:rsid w:val="00245C82"/>
    <w:rsid w:val="00252D60"/>
    <w:rsid w:val="00261892"/>
    <w:rsid w:val="00262D96"/>
    <w:rsid w:val="00265347"/>
    <w:rsid w:val="002724BA"/>
    <w:rsid w:val="00274DCE"/>
    <w:rsid w:val="0027549C"/>
    <w:rsid w:val="00291B40"/>
    <w:rsid w:val="0029235C"/>
    <w:rsid w:val="00296EFF"/>
    <w:rsid w:val="002A2E22"/>
    <w:rsid w:val="002B4008"/>
    <w:rsid w:val="002C33CF"/>
    <w:rsid w:val="002C439F"/>
    <w:rsid w:val="002C4A9B"/>
    <w:rsid w:val="002C6F8A"/>
    <w:rsid w:val="002D0C42"/>
    <w:rsid w:val="002D0E8E"/>
    <w:rsid w:val="002D2BEF"/>
    <w:rsid w:val="002D3DEA"/>
    <w:rsid w:val="002D5ED9"/>
    <w:rsid w:val="002F28A9"/>
    <w:rsid w:val="002F4BEB"/>
    <w:rsid w:val="002F5857"/>
    <w:rsid w:val="00301189"/>
    <w:rsid w:val="00301E4A"/>
    <w:rsid w:val="003100A7"/>
    <w:rsid w:val="0031402C"/>
    <w:rsid w:val="003142D3"/>
    <w:rsid w:val="00314F45"/>
    <w:rsid w:val="003168B8"/>
    <w:rsid w:val="00322D64"/>
    <w:rsid w:val="00323E09"/>
    <w:rsid w:val="00323E23"/>
    <w:rsid w:val="0032521E"/>
    <w:rsid w:val="00327A3E"/>
    <w:rsid w:val="003305C5"/>
    <w:rsid w:val="003320F0"/>
    <w:rsid w:val="00333932"/>
    <w:rsid w:val="003347AE"/>
    <w:rsid w:val="00335688"/>
    <w:rsid w:val="00342118"/>
    <w:rsid w:val="003447EE"/>
    <w:rsid w:val="003518AA"/>
    <w:rsid w:val="00352165"/>
    <w:rsid w:val="00353182"/>
    <w:rsid w:val="00355D6E"/>
    <w:rsid w:val="0035613D"/>
    <w:rsid w:val="003565D9"/>
    <w:rsid w:val="003602E1"/>
    <w:rsid w:val="003606A4"/>
    <w:rsid w:val="00361BD5"/>
    <w:rsid w:val="00366719"/>
    <w:rsid w:val="0037026F"/>
    <w:rsid w:val="00371240"/>
    <w:rsid w:val="00372FA4"/>
    <w:rsid w:val="00374731"/>
    <w:rsid w:val="00376E59"/>
    <w:rsid w:val="00377EC1"/>
    <w:rsid w:val="00380340"/>
    <w:rsid w:val="003814CF"/>
    <w:rsid w:val="003850A4"/>
    <w:rsid w:val="00387F49"/>
    <w:rsid w:val="003919F9"/>
    <w:rsid w:val="003920CF"/>
    <w:rsid w:val="00393026"/>
    <w:rsid w:val="003948BA"/>
    <w:rsid w:val="003A45EA"/>
    <w:rsid w:val="003B23C2"/>
    <w:rsid w:val="003B3310"/>
    <w:rsid w:val="003C1065"/>
    <w:rsid w:val="003C38B5"/>
    <w:rsid w:val="003C5D99"/>
    <w:rsid w:val="003C6323"/>
    <w:rsid w:val="003D1087"/>
    <w:rsid w:val="003D4893"/>
    <w:rsid w:val="003D4933"/>
    <w:rsid w:val="003E01A7"/>
    <w:rsid w:val="003E2F59"/>
    <w:rsid w:val="003E746B"/>
    <w:rsid w:val="003F0789"/>
    <w:rsid w:val="003F5EBF"/>
    <w:rsid w:val="003F610E"/>
    <w:rsid w:val="00401882"/>
    <w:rsid w:val="0040463E"/>
    <w:rsid w:val="004100C8"/>
    <w:rsid w:val="00411DBD"/>
    <w:rsid w:val="004122F9"/>
    <w:rsid w:val="00412ACE"/>
    <w:rsid w:val="004145D2"/>
    <w:rsid w:val="004157E9"/>
    <w:rsid w:val="00426CB4"/>
    <w:rsid w:val="00431249"/>
    <w:rsid w:val="00434C19"/>
    <w:rsid w:val="004359A2"/>
    <w:rsid w:val="00444482"/>
    <w:rsid w:val="00450810"/>
    <w:rsid w:val="00452CBC"/>
    <w:rsid w:val="00457900"/>
    <w:rsid w:val="004616EA"/>
    <w:rsid w:val="00462C59"/>
    <w:rsid w:val="004664C9"/>
    <w:rsid w:val="00467F9D"/>
    <w:rsid w:val="00470737"/>
    <w:rsid w:val="00472204"/>
    <w:rsid w:val="00475975"/>
    <w:rsid w:val="00477144"/>
    <w:rsid w:val="00480173"/>
    <w:rsid w:val="00490547"/>
    <w:rsid w:val="00491380"/>
    <w:rsid w:val="0049459F"/>
    <w:rsid w:val="0049654A"/>
    <w:rsid w:val="004A38DD"/>
    <w:rsid w:val="004A5464"/>
    <w:rsid w:val="004A59BC"/>
    <w:rsid w:val="004A7C22"/>
    <w:rsid w:val="004B43AE"/>
    <w:rsid w:val="004C1BBA"/>
    <w:rsid w:val="004C233B"/>
    <w:rsid w:val="004C30ED"/>
    <w:rsid w:val="004C6C7C"/>
    <w:rsid w:val="004D5675"/>
    <w:rsid w:val="005010FE"/>
    <w:rsid w:val="00501133"/>
    <w:rsid w:val="00517795"/>
    <w:rsid w:val="00517972"/>
    <w:rsid w:val="0052058C"/>
    <w:rsid w:val="00523639"/>
    <w:rsid w:val="00531FE5"/>
    <w:rsid w:val="005402FA"/>
    <w:rsid w:val="005421CD"/>
    <w:rsid w:val="005529FA"/>
    <w:rsid w:val="00554292"/>
    <w:rsid w:val="0055725D"/>
    <w:rsid w:val="005644F2"/>
    <w:rsid w:val="00565355"/>
    <w:rsid w:val="005729BD"/>
    <w:rsid w:val="00580154"/>
    <w:rsid w:val="00581E82"/>
    <w:rsid w:val="005838FE"/>
    <w:rsid w:val="00583C39"/>
    <w:rsid w:val="00586A90"/>
    <w:rsid w:val="00587F28"/>
    <w:rsid w:val="00590826"/>
    <w:rsid w:val="005909CF"/>
    <w:rsid w:val="00591D60"/>
    <w:rsid w:val="00591E71"/>
    <w:rsid w:val="005948C6"/>
    <w:rsid w:val="005A0620"/>
    <w:rsid w:val="005A0D41"/>
    <w:rsid w:val="005A27A1"/>
    <w:rsid w:val="005A4ADA"/>
    <w:rsid w:val="005B36F1"/>
    <w:rsid w:val="005B7FF5"/>
    <w:rsid w:val="005C1A1A"/>
    <w:rsid w:val="005C356A"/>
    <w:rsid w:val="005D329F"/>
    <w:rsid w:val="005D598F"/>
    <w:rsid w:val="005E09A5"/>
    <w:rsid w:val="005E6749"/>
    <w:rsid w:val="005F3BC9"/>
    <w:rsid w:val="005F48ED"/>
    <w:rsid w:val="005F6FF7"/>
    <w:rsid w:val="00606E78"/>
    <w:rsid w:val="00607BF1"/>
    <w:rsid w:val="00611505"/>
    <w:rsid w:val="00630D4D"/>
    <w:rsid w:val="00632A74"/>
    <w:rsid w:val="00632C3D"/>
    <w:rsid w:val="00637980"/>
    <w:rsid w:val="0064013C"/>
    <w:rsid w:val="00646446"/>
    <w:rsid w:val="00654D42"/>
    <w:rsid w:val="0066026A"/>
    <w:rsid w:val="0066323E"/>
    <w:rsid w:val="006663D2"/>
    <w:rsid w:val="00666E02"/>
    <w:rsid w:val="006771DE"/>
    <w:rsid w:val="00690774"/>
    <w:rsid w:val="006924B3"/>
    <w:rsid w:val="006938C2"/>
    <w:rsid w:val="00695742"/>
    <w:rsid w:val="00697409"/>
    <w:rsid w:val="006A0601"/>
    <w:rsid w:val="006A2FE0"/>
    <w:rsid w:val="006A4655"/>
    <w:rsid w:val="006B1633"/>
    <w:rsid w:val="006B2B3C"/>
    <w:rsid w:val="006B3925"/>
    <w:rsid w:val="006B4B28"/>
    <w:rsid w:val="006B6DF1"/>
    <w:rsid w:val="006C1D81"/>
    <w:rsid w:val="006C1F72"/>
    <w:rsid w:val="006C2018"/>
    <w:rsid w:val="006C5F91"/>
    <w:rsid w:val="006C7038"/>
    <w:rsid w:val="006D6C73"/>
    <w:rsid w:val="006E56A9"/>
    <w:rsid w:val="006E5D50"/>
    <w:rsid w:val="006E73EF"/>
    <w:rsid w:val="006F58A5"/>
    <w:rsid w:val="007079C9"/>
    <w:rsid w:val="00714D4D"/>
    <w:rsid w:val="007266D3"/>
    <w:rsid w:val="00731E8E"/>
    <w:rsid w:val="00732029"/>
    <w:rsid w:val="007408AB"/>
    <w:rsid w:val="0075277D"/>
    <w:rsid w:val="007537DC"/>
    <w:rsid w:val="007604BB"/>
    <w:rsid w:val="007613F2"/>
    <w:rsid w:val="00772909"/>
    <w:rsid w:val="00785232"/>
    <w:rsid w:val="00785500"/>
    <w:rsid w:val="00786850"/>
    <w:rsid w:val="00787D71"/>
    <w:rsid w:val="0079701E"/>
    <w:rsid w:val="007A1748"/>
    <w:rsid w:val="007A21EB"/>
    <w:rsid w:val="007B05BE"/>
    <w:rsid w:val="007B1A93"/>
    <w:rsid w:val="007B4091"/>
    <w:rsid w:val="007C36C9"/>
    <w:rsid w:val="007D6401"/>
    <w:rsid w:val="007E01E4"/>
    <w:rsid w:val="007E56E0"/>
    <w:rsid w:val="007E72F3"/>
    <w:rsid w:val="007E7A12"/>
    <w:rsid w:val="007F44B0"/>
    <w:rsid w:val="007F6F28"/>
    <w:rsid w:val="007F7107"/>
    <w:rsid w:val="007F7DB3"/>
    <w:rsid w:val="00800BB8"/>
    <w:rsid w:val="00800BEF"/>
    <w:rsid w:val="00800D4C"/>
    <w:rsid w:val="00801073"/>
    <w:rsid w:val="00803B39"/>
    <w:rsid w:val="0081030F"/>
    <w:rsid w:val="00812F4A"/>
    <w:rsid w:val="0082087D"/>
    <w:rsid w:val="00827679"/>
    <w:rsid w:val="008303D4"/>
    <w:rsid w:val="00831701"/>
    <w:rsid w:val="008333EA"/>
    <w:rsid w:val="00833717"/>
    <w:rsid w:val="008356C6"/>
    <w:rsid w:val="00835771"/>
    <w:rsid w:val="00836AC4"/>
    <w:rsid w:val="00841B5F"/>
    <w:rsid w:val="008427EE"/>
    <w:rsid w:val="00842933"/>
    <w:rsid w:val="00853279"/>
    <w:rsid w:val="0085730C"/>
    <w:rsid w:val="00857537"/>
    <w:rsid w:val="00857EE1"/>
    <w:rsid w:val="0086082C"/>
    <w:rsid w:val="008643E6"/>
    <w:rsid w:val="00864ADC"/>
    <w:rsid w:val="00870DFC"/>
    <w:rsid w:val="00880153"/>
    <w:rsid w:val="00880F97"/>
    <w:rsid w:val="0088133A"/>
    <w:rsid w:val="0089285E"/>
    <w:rsid w:val="0089436C"/>
    <w:rsid w:val="008A299F"/>
    <w:rsid w:val="008A6228"/>
    <w:rsid w:val="008A7638"/>
    <w:rsid w:val="008B388D"/>
    <w:rsid w:val="008C4570"/>
    <w:rsid w:val="008C49AF"/>
    <w:rsid w:val="008D2713"/>
    <w:rsid w:val="008D365C"/>
    <w:rsid w:val="008D7622"/>
    <w:rsid w:val="008E00BC"/>
    <w:rsid w:val="008E18C2"/>
    <w:rsid w:val="008E489B"/>
    <w:rsid w:val="008E4CEC"/>
    <w:rsid w:val="008F3E02"/>
    <w:rsid w:val="008F4E0A"/>
    <w:rsid w:val="008F6444"/>
    <w:rsid w:val="009021A6"/>
    <w:rsid w:val="009030BF"/>
    <w:rsid w:val="00903B52"/>
    <w:rsid w:val="00904CD0"/>
    <w:rsid w:val="0091032F"/>
    <w:rsid w:val="00914368"/>
    <w:rsid w:val="00930EAD"/>
    <w:rsid w:val="0093103C"/>
    <w:rsid w:val="00931076"/>
    <w:rsid w:val="00931425"/>
    <w:rsid w:val="009345D9"/>
    <w:rsid w:val="00934B15"/>
    <w:rsid w:val="00940C87"/>
    <w:rsid w:val="00942B62"/>
    <w:rsid w:val="009444A6"/>
    <w:rsid w:val="0094668B"/>
    <w:rsid w:val="00946861"/>
    <w:rsid w:val="0095323B"/>
    <w:rsid w:val="00956A0C"/>
    <w:rsid w:val="00956BD9"/>
    <w:rsid w:val="00957671"/>
    <w:rsid w:val="00962489"/>
    <w:rsid w:val="00962E35"/>
    <w:rsid w:val="00967CD3"/>
    <w:rsid w:val="00970305"/>
    <w:rsid w:val="009854B5"/>
    <w:rsid w:val="00985FFF"/>
    <w:rsid w:val="009864F5"/>
    <w:rsid w:val="009865E2"/>
    <w:rsid w:val="00990C2C"/>
    <w:rsid w:val="00997AC9"/>
    <w:rsid w:val="009A5171"/>
    <w:rsid w:val="009B09EC"/>
    <w:rsid w:val="009B4492"/>
    <w:rsid w:val="009B565D"/>
    <w:rsid w:val="009B6ADB"/>
    <w:rsid w:val="009C505E"/>
    <w:rsid w:val="009D063A"/>
    <w:rsid w:val="009D105C"/>
    <w:rsid w:val="009D3C06"/>
    <w:rsid w:val="009E1844"/>
    <w:rsid w:val="009E66DF"/>
    <w:rsid w:val="009E6A82"/>
    <w:rsid w:val="009E6CFD"/>
    <w:rsid w:val="009F00FF"/>
    <w:rsid w:val="009F0D1B"/>
    <w:rsid w:val="009F5BBD"/>
    <w:rsid w:val="009F696D"/>
    <w:rsid w:val="009F6BC6"/>
    <w:rsid w:val="009F74EF"/>
    <w:rsid w:val="00A02826"/>
    <w:rsid w:val="00A10096"/>
    <w:rsid w:val="00A118D2"/>
    <w:rsid w:val="00A130E5"/>
    <w:rsid w:val="00A15D5A"/>
    <w:rsid w:val="00A16D81"/>
    <w:rsid w:val="00A17328"/>
    <w:rsid w:val="00A17819"/>
    <w:rsid w:val="00A23A20"/>
    <w:rsid w:val="00A24443"/>
    <w:rsid w:val="00A268B9"/>
    <w:rsid w:val="00A2703A"/>
    <w:rsid w:val="00A31F3F"/>
    <w:rsid w:val="00A33DFF"/>
    <w:rsid w:val="00A35115"/>
    <w:rsid w:val="00A36D9A"/>
    <w:rsid w:val="00A451DC"/>
    <w:rsid w:val="00A456F7"/>
    <w:rsid w:val="00A4650A"/>
    <w:rsid w:val="00A529B8"/>
    <w:rsid w:val="00A53578"/>
    <w:rsid w:val="00A539D7"/>
    <w:rsid w:val="00A554AB"/>
    <w:rsid w:val="00A57062"/>
    <w:rsid w:val="00A612DA"/>
    <w:rsid w:val="00A63E97"/>
    <w:rsid w:val="00A67781"/>
    <w:rsid w:val="00A67F42"/>
    <w:rsid w:val="00A71822"/>
    <w:rsid w:val="00A7455E"/>
    <w:rsid w:val="00A761F9"/>
    <w:rsid w:val="00A774CD"/>
    <w:rsid w:val="00A82A0E"/>
    <w:rsid w:val="00A82D09"/>
    <w:rsid w:val="00A90204"/>
    <w:rsid w:val="00A9097A"/>
    <w:rsid w:val="00A92B53"/>
    <w:rsid w:val="00A9413E"/>
    <w:rsid w:val="00A94FA6"/>
    <w:rsid w:val="00AA1695"/>
    <w:rsid w:val="00AA1BAF"/>
    <w:rsid w:val="00AA328C"/>
    <w:rsid w:val="00AA49A0"/>
    <w:rsid w:val="00AA6413"/>
    <w:rsid w:val="00AA6710"/>
    <w:rsid w:val="00AB0681"/>
    <w:rsid w:val="00AB6855"/>
    <w:rsid w:val="00AB76D3"/>
    <w:rsid w:val="00AB77AD"/>
    <w:rsid w:val="00AC345C"/>
    <w:rsid w:val="00AC3A15"/>
    <w:rsid w:val="00AD30E3"/>
    <w:rsid w:val="00AD4930"/>
    <w:rsid w:val="00AD520B"/>
    <w:rsid w:val="00AD5308"/>
    <w:rsid w:val="00AE1200"/>
    <w:rsid w:val="00AE2C1B"/>
    <w:rsid w:val="00AE3265"/>
    <w:rsid w:val="00AE3BCC"/>
    <w:rsid w:val="00AF0348"/>
    <w:rsid w:val="00B00419"/>
    <w:rsid w:val="00B060DC"/>
    <w:rsid w:val="00B216D8"/>
    <w:rsid w:val="00B21BE8"/>
    <w:rsid w:val="00B275EA"/>
    <w:rsid w:val="00B33DA2"/>
    <w:rsid w:val="00B36957"/>
    <w:rsid w:val="00B425C3"/>
    <w:rsid w:val="00B42AD1"/>
    <w:rsid w:val="00B440AD"/>
    <w:rsid w:val="00B4666A"/>
    <w:rsid w:val="00B479BB"/>
    <w:rsid w:val="00B47D80"/>
    <w:rsid w:val="00B53E7E"/>
    <w:rsid w:val="00B559E1"/>
    <w:rsid w:val="00B6342E"/>
    <w:rsid w:val="00B66862"/>
    <w:rsid w:val="00B7113F"/>
    <w:rsid w:val="00B84267"/>
    <w:rsid w:val="00B84F6A"/>
    <w:rsid w:val="00B90ED4"/>
    <w:rsid w:val="00B91AEE"/>
    <w:rsid w:val="00BA2BCF"/>
    <w:rsid w:val="00BA31AA"/>
    <w:rsid w:val="00BA5B14"/>
    <w:rsid w:val="00BA73B6"/>
    <w:rsid w:val="00BA7E27"/>
    <w:rsid w:val="00BB0C9B"/>
    <w:rsid w:val="00BB2603"/>
    <w:rsid w:val="00BB3EF5"/>
    <w:rsid w:val="00BB4FCD"/>
    <w:rsid w:val="00BB65FA"/>
    <w:rsid w:val="00BC04E9"/>
    <w:rsid w:val="00BC1B8D"/>
    <w:rsid w:val="00BC3114"/>
    <w:rsid w:val="00BD13EA"/>
    <w:rsid w:val="00BD328F"/>
    <w:rsid w:val="00BD4D47"/>
    <w:rsid w:val="00BE03D5"/>
    <w:rsid w:val="00BE3808"/>
    <w:rsid w:val="00BF1B92"/>
    <w:rsid w:val="00BF2348"/>
    <w:rsid w:val="00C01ECC"/>
    <w:rsid w:val="00C03B88"/>
    <w:rsid w:val="00C0576E"/>
    <w:rsid w:val="00C062E9"/>
    <w:rsid w:val="00C07B64"/>
    <w:rsid w:val="00C12CF5"/>
    <w:rsid w:val="00C13721"/>
    <w:rsid w:val="00C14FE4"/>
    <w:rsid w:val="00C3066D"/>
    <w:rsid w:val="00C329FE"/>
    <w:rsid w:val="00C35E4C"/>
    <w:rsid w:val="00C45BD1"/>
    <w:rsid w:val="00C47AA3"/>
    <w:rsid w:val="00C52416"/>
    <w:rsid w:val="00C53E35"/>
    <w:rsid w:val="00C543F4"/>
    <w:rsid w:val="00C62525"/>
    <w:rsid w:val="00C6291C"/>
    <w:rsid w:val="00C633CB"/>
    <w:rsid w:val="00C65147"/>
    <w:rsid w:val="00C664CD"/>
    <w:rsid w:val="00C674AF"/>
    <w:rsid w:val="00C736B7"/>
    <w:rsid w:val="00C76059"/>
    <w:rsid w:val="00C76FEE"/>
    <w:rsid w:val="00C81D4A"/>
    <w:rsid w:val="00C824FA"/>
    <w:rsid w:val="00C859AC"/>
    <w:rsid w:val="00C8762C"/>
    <w:rsid w:val="00C92339"/>
    <w:rsid w:val="00C93752"/>
    <w:rsid w:val="00C95BED"/>
    <w:rsid w:val="00CA00F9"/>
    <w:rsid w:val="00CA2961"/>
    <w:rsid w:val="00CA34E5"/>
    <w:rsid w:val="00CA3C59"/>
    <w:rsid w:val="00CB17F1"/>
    <w:rsid w:val="00CB50D7"/>
    <w:rsid w:val="00CB7177"/>
    <w:rsid w:val="00CB7CED"/>
    <w:rsid w:val="00CC070F"/>
    <w:rsid w:val="00CC1998"/>
    <w:rsid w:val="00CC4946"/>
    <w:rsid w:val="00CC64A1"/>
    <w:rsid w:val="00CE00CC"/>
    <w:rsid w:val="00CE2398"/>
    <w:rsid w:val="00CE3D84"/>
    <w:rsid w:val="00CF3B11"/>
    <w:rsid w:val="00D002CD"/>
    <w:rsid w:val="00D02A96"/>
    <w:rsid w:val="00D02C12"/>
    <w:rsid w:val="00D05EB7"/>
    <w:rsid w:val="00D10991"/>
    <w:rsid w:val="00D15BE0"/>
    <w:rsid w:val="00D270A4"/>
    <w:rsid w:val="00D31FE9"/>
    <w:rsid w:val="00D34E1B"/>
    <w:rsid w:val="00D364B2"/>
    <w:rsid w:val="00D376BA"/>
    <w:rsid w:val="00D434A0"/>
    <w:rsid w:val="00D451ED"/>
    <w:rsid w:val="00D45634"/>
    <w:rsid w:val="00D50662"/>
    <w:rsid w:val="00D54F4B"/>
    <w:rsid w:val="00D5568A"/>
    <w:rsid w:val="00D56895"/>
    <w:rsid w:val="00D56C75"/>
    <w:rsid w:val="00D605FF"/>
    <w:rsid w:val="00D61DA9"/>
    <w:rsid w:val="00D630ED"/>
    <w:rsid w:val="00D63D73"/>
    <w:rsid w:val="00D64452"/>
    <w:rsid w:val="00D66E1E"/>
    <w:rsid w:val="00D70696"/>
    <w:rsid w:val="00D7244B"/>
    <w:rsid w:val="00D75722"/>
    <w:rsid w:val="00D7760F"/>
    <w:rsid w:val="00D80CF5"/>
    <w:rsid w:val="00D82202"/>
    <w:rsid w:val="00D822E9"/>
    <w:rsid w:val="00D8282D"/>
    <w:rsid w:val="00D82A57"/>
    <w:rsid w:val="00D83A45"/>
    <w:rsid w:val="00D83E11"/>
    <w:rsid w:val="00D844A3"/>
    <w:rsid w:val="00D8747C"/>
    <w:rsid w:val="00D90827"/>
    <w:rsid w:val="00D9187E"/>
    <w:rsid w:val="00DA1959"/>
    <w:rsid w:val="00DA2245"/>
    <w:rsid w:val="00DA4452"/>
    <w:rsid w:val="00DA5BBA"/>
    <w:rsid w:val="00DA7E41"/>
    <w:rsid w:val="00DB26D2"/>
    <w:rsid w:val="00DB67C9"/>
    <w:rsid w:val="00DC0C95"/>
    <w:rsid w:val="00DC108C"/>
    <w:rsid w:val="00DC19D6"/>
    <w:rsid w:val="00DC294C"/>
    <w:rsid w:val="00DC4F0B"/>
    <w:rsid w:val="00DC65F1"/>
    <w:rsid w:val="00DD0474"/>
    <w:rsid w:val="00DD6580"/>
    <w:rsid w:val="00DE1B95"/>
    <w:rsid w:val="00DE3CD7"/>
    <w:rsid w:val="00DE5F22"/>
    <w:rsid w:val="00DE69A0"/>
    <w:rsid w:val="00DE7264"/>
    <w:rsid w:val="00DF1885"/>
    <w:rsid w:val="00DF306C"/>
    <w:rsid w:val="00DF56B5"/>
    <w:rsid w:val="00E01D7F"/>
    <w:rsid w:val="00E05C03"/>
    <w:rsid w:val="00E17A7B"/>
    <w:rsid w:val="00E17C72"/>
    <w:rsid w:val="00E21FC6"/>
    <w:rsid w:val="00E23961"/>
    <w:rsid w:val="00E262A1"/>
    <w:rsid w:val="00E3314B"/>
    <w:rsid w:val="00E33D42"/>
    <w:rsid w:val="00E357B2"/>
    <w:rsid w:val="00E41F9E"/>
    <w:rsid w:val="00E431A9"/>
    <w:rsid w:val="00E47D78"/>
    <w:rsid w:val="00E60936"/>
    <w:rsid w:val="00E6587F"/>
    <w:rsid w:val="00E669E2"/>
    <w:rsid w:val="00E73F62"/>
    <w:rsid w:val="00E76135"/>
    <w:rsid w:val="00E824EC"/>
    <w:rsid w:val="00E82AE9"/>
    <w:rsid w:val="00E82F4F"/>
    <w:rsid w:val="00E85E70"/>
    <w:rsid w:val="00E864DF"/>
    <w:rsid w:val="00E86DFC"/>
    <w:rsid w:val="00E911C1"/>
    <w:rsid w:val="00E95A1F"/>
    <w:rsid w:val="00E97EC5"/>
    <w:rsid w:val="00EA06F4"/>
    <w:rsid w:val="00EA25B9"/>
    <w:rsid w:val="00EA2EEB"/>
    <w:rsid w:val="00EA31AA"/>
    <w:rsid w:val="00EA5003"/>
    <w:rsid w:val="00EB00D1"/>
    <w:rsid w:val="00EB18DD"/>
    <w:rsid w:val="00EB2CC3"/>
    <w:rsid w:val="00EB714E"/>
    <w:rsid w:val="00EC13EF"/>
    <w:rsid w:val="00EC2844"/>
    <w:rsid w:val="00EC4B97"/>
    <w:rsid w:val="00EC5500"/>
    <w:rsid w:val="00ED18F8"/>
    <w:rsid w:val="00ED599E"/>
    <w:rsid w:val="00EE259B"/>
    <w:rsid w:val="00EE6942"/>
    <w:rsid w:val="00EE6EDA"/>
    <w:rsid w:val="00EE778E"/>
    <w:rsid w:val="00EF2C73"/>
    <w:rsid w:val="00EF6719"/>
    <w:rsid w:val="00EF6C6C"/>
    <w:rsid w:val="00F04BCF"/>
    <w:rsid w:val="00F056FC"/>
    <w:rsid w:val="00F0632F"/>
    <w:rsid w:val="00F069AE"/>
    <w:rsid w:val="00F07BE7"/>
    <w:rsid w:val="00F10476"/>
    <w:rsid w:val="00F131EB"/>
    <w:rsid w:val="00F135D8"/>
    <w:rsid w:val="00F144B5"/>
    <w:rsid w:val="00F268E1"/>
    <w:rsid w:val="00F303EF"/>
    <w:rsid w:val="00F31299"/>
    <w:rsid w:val="00F3534A"/>
    <w:rsid w:val="00F35BFB"/>
    <w:rsid w:val="00F36ACC"/>
    <w:rsid w:val="00F4053B"/>
    <w:rsid w:val="00F50370"/>
    <w:rsid w:val="00F51609"/>
    <w:rsid w:val="00F51F34"/>
    <w:rsid w:val="00F53564"/>
    <w:rsid w:val="00F55C25"/>
    <w:rsid w:val="00F56A4C"/>
    <w:rsid w:val="00F5724B"/>
    <w:rsid w:val="00F63BE3"/>
    <w:rsid w:val="00F652C7"/>
    <w:rsid w:val="00F7130E"/>
    <w:rsid w:val="00F73727"/>
    <w:rsid w:val="00F766A7"/>
    <w:rsid w:val="00F76839"/>
    <w:rsid w:val="00F81006"/>
    <w:rsid w:val="00F85325"/>
    <w:rsid w:val="00F911CA"/>
    <w:rsid w:val="00F92655"/>
    <w:rsid w:val="00F96DFE"/>
    <w:rsid w:val="00FA2C2C"/>
    <w:rsid w:val="00FA74F7"/>
    <w:rsid w:val="00FB5251"/>
    <w:rsid w:val="00FB65D6"/>
    <w:rsid w:val="00FB6DA6"/>
    <w:rsid w:val="00FC5566"/>
    <w:rsid w:val="00FD151C"/>
    <w:rsid w:val="00FD1C67"/>
    <w:rsid w:val="00FD22B1"/>
    <w:rsid w:val="00FD339D"/>
    <w:rsid w:val="00FD33F1"/>
    <w:rsid w:val="00FD3566"/>
    <w:rsid w:val="00FD5A94"/>
    <w:rsid w:val="00FD67C0"/>
    <w:rsid w:val="00FE0AA3"/>
    <w:rsid w:val="00FE5397"/>
    <w:rsid w:val="00FE621B"/>
    <w:rsid w:val="00FE6240"/>
    <w:rsid w:val="00FE68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2C33CF"/>
    <w:rPr>
      <w:color w:val="78A22F" w:themeColor="hyperlink"/>
      <w:u w:val="single"/>
    </w:rPr>
  </w:style>
  <w:style w:type="character" w:styleId="FollowedHyperlink">
    <w:name w:val="FollowedHyperlink"/>
    <w:basedOn w:val="DefaultParagraphFont"/>
    <w:rsid w:val="002C33CF"/>
    <w:rPr>
      <w:color w:val="387DD2" w:themeColor="followedHyperlink"/>
      <w:u w:val="single"/>
    </w:rPr>
  </w:style>
  <w:style w:type="character" w:customStyle="1" w:styleId="Heading2Char">
    <w:name w:val="Heading 2 Char"/>
    <w:basedOn w:val="DefaultParagraphFont"/>
    <w:link w:val="Heading2"/>
    <w:rsid w:val="00EA2EEB"/>
    <w:rPr>
      <w:rFonts w:ascii="Arial" w:hAnsi="Arial"/>
      <w:b/>
      <w:sz w:val="32"/>
    </w:rPr>
  </w:style>
  <w:style w:type="character" w:customStyle="1" w:styleId="Heading3Char">
    <w:name w:val="Heading 3 Char"/>
    <w:basedOn w:val="DefaultParagraphFont"/>
    <w:link w:val="Heading3"/>
    <w:rsid w:val="00EA2EEB"/>
    <w:rPr>
      <w:rFonts w:ascii="Arial" w:hAnsi="Arial"/>
      <w:b/>
      <w:sz w:val="26"/>
    </w:rPr>
  </w:style>
  <w:style w:type="character" w:customStyle="1" w:styleId="Heading4Char">
    <w:name w:val="Heading 4 Char"/>
    <w:basedOn w:val="DefaultParagraphFont"/>
    <w:link w:val="Heading4"/>
    <w:rsid w:val="00EA2EEB"/>
    <w:rPr>
      <w:rFonts w:ascii="Arial" w:hAnsi="Arial"/>
      <w:sz w:val="24"/>
    </w:rPr>
  </w:style>
  <w:style w:type="paragraph" w:styleId="Revision">
    <w:name w:val="Revision"/>
    <w:hidden/>
    <w:uiPriority w:val="99"/>
    <w:semiHidden/>
    <w:rsid w:val="00B275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2C33CF"/>
    <w:rPr>
      <w:color w:val="78A22F" w:themeColor="hyperlink"/>
      <w:u w:val="single"/>
    </w:rPr>
  </w:style>
  <w:style w:type="character" w:styleId="FollowedHyperlink">
    <w:name w:val="FollowedHyperlink"/>
    <w:basedOn w:val="DefaultParagraphFont"/>
    <w:rsid w:val="002C33CF"/>
    <w:rPr>
      <w:color w:val="387DD2" w:themeColor="followedHyperlink"/>
      <w:u w:val="single"/>
    </w:rPr>
  </w:style>
  <w:style w:type="character" w:customStyle="1" w:styleId="Heading2Char">
    <w:name w:val="Heading 2 Char"/>
    <w:basedOn w:val="DefaultParagraphFont"/>
    <w:link w:val="Heading2"/>
    <w:rsid w:val="00EA2EEB"/>
    <w:rPr>
      <w:rFonts w:ascii="Arial" w:hAnsi="Arial"/>
      <w:b/>
      <w:sz w:val="32"/>
    </w:rPr>
  </w:style>
  <w:style w:type="character" w:customStyle="1" w:styleId="Heading3Char">
    <w:name w:val="Heading 3 Char"/>
    <w:basedOn w:val="DefaultParagraphFont"/>
    <w:link w:val="Heading3"/>
    <w:rsid w:val="00EA2EEB"/>
    <w:rPr>
      <w:rFonts w:ascii="Arial" w:hAnsi="Arial"/>
      <w:b/>
      <w:sz w:val="26"/>
    </w:rPr>
  </w:style>
  <w:style w:type="character" w:customStyle="1" w:styleId="Heading4Char">
    <w:name w:val="Heading 4 Char"/>
    <w:basedOn w:val="DefaultParagraphFont"/>
    <w:link w:val="Heading4"/>
    <w:rsid w:val="00EA2EEB"/>
    <w:rPr>
      <w:rFonts w:ascii="Arial" w:hAnsi="Arial"/>
      <w:sz w:val="24"/>
    </w:rPr>
  </w:style>
  <w:style w:type="paragraph" w:styleId="Revision">
    <w:name w:val="Revision"/>
    <w:hidden/>
    <w:uiPriority w:val="99"/>
    <w:semiHidden/>
    <w:rsid w:val="00B275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19148">
      <w:bodyDiv w:val="1"/>
      <w:marLeft w:val="0"/>
      <w:marRight w:val="0"/>
      <w:marTop w:val="0"/>
      <w:marBottom w:val="0"/>
      <w:divBdr>
        <w:top w:val="none" w:sz="0" w:space="0" w:color="auto"/>
        <w:left w:val="none" w:sz="0" w:space="0" w:color="auto"/>
        <w:bottom w:val="none" w:sz="0" w:space="0" w:color="auto"/>
        <w:right w:val="none" w:sz="0" w:space="0" w:color="auto"/>
      </w:divBdr>
    </w:div>
    <w:div w:id="57844254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dfat.gov.au/ft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nch1\esb\T%20A%20R\2012-13\AAreport\Annex%20-%20Changes%20to%20the%20Commission's%20Assistance%20Estimates\Charts%20data\13%20-%20Structure%20of%20rules%20of%20origi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ch1\esb\T%20A%20R\2012-13\AAreport\Annex%20-%20Changes%20to%20the%20Commission's%20Assistance%20Estimates\Charts%20data\13%20-%20Structure%20of%20rules%20of%20origi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411211469707311"/>
          <c:y val="3.2852414578811419E-2"/>
          <c:w val="0.79679820117381417"/>
          <c:h val="0.69943814886640654"/>
        </c:manualLayout>
      </c:layout>
      <c:barChart>
        <c:barDir val="col"/>
        <c:grouping val="stacked"/>
        <c:varyColors val="0"/>
        <c:ser>
          <c:idx val="0"/>
          <c:order val="0"/>
          <c:tx>
            <c:strRef>
              <c:f>'Figure 5.1'!$B$6</c:f>
              <c:strCache>
                <c:ptCount val="1"/>
                <c:pt idx="0">
                  <c:v>CTC only</c:v>
                </c:pt>
              </c:strCache>
            </c:strRef>
          </c:tx>
          <c:spPr>
            <a:solidFill>
              <a:srgbClr val="344893"/>
            </a:solidFill>
          </c:spPr>
          <c:invertIfNegative val="0"/>
          <c:cat>
            <c:strRef>
              <c:f>'Figure 5.1'!$C$5:$I$5</c:f>
              <c:strCache>
                <c:ptCount val="7"/>
                <c:pt idx="0">
                  <c:v>New Zealand</c:v>
                </c:pt>
                <c:pt idx="1">
                  <c:v>Thailand</c:v>
                </c:pt>
                <c:pt idx="2">
                  <c:v>USA</c:v>
                </c:pt>
                <c:pt idx="3">
                  <c:v>Chile</c:v>
                </c:pt>
                <c:pt idx="4">
                  <c:v>ASEAN</c:v>
                </c:pt>
                <c:pt idx="5">
                  <c:v>Malaysia</c:v>
                </c:pt>
                <c:pt idx="6">
                  <c:v>Korea</c:v>
                </c:pt>
              </c:strCache>
            </c:strRef>
          </c:cat>
          <c:val>
            <c:numRef>
              <c:f>'Figure 5.1'!$C$6:$I$6</c:f>
              <c:numCache>
                <c:formatCode>0</c:formatCode>
                <c:ptCount val="7"/>
                <c:pt idx="0">
                  <c:v>70.316388197653751</c:v>
                </c:pt>
                <c:pt idx="1">
                  <c:v>68.077055383556925</c:v>
                </c:pt>
                <c:pt idx="2">
                  <c:v>77.959183673469397</c:v>
                </c:pt>
                <c:pt idx="3">
                  <c:v>80.627898679985734</c:v>
                </c:pt>
                <c:pt idx="4">
                  <c:v>11.154094132817537</c:v>
                </c:pt>
                <c:pt idx="5">
                  <c:v>10.534180052297348</c:v>
                </c:pt>
                <c:pt idx="6">
                  <c:v>59.346781940441886</c:v>
                </c:pt>
              </c:numCache>
            </c:numRef>
          </c:val>
        </c:ser>
        <c:ser>
          <c:idx val="2"/>
          <c:order val="1"/>
          <c:tx>
            <c:strRef>
              <c:f>'Figure 5.1'!$B$8</c:f>
              <c:strCache>
                <c:ptCount val="1"/>
                <c:pt idx="0">
                  <c:v>CTC or RVC</c:v>
                </c:pt>
              </c:strCache>
            </c:strRef>
          </c:tx>
          <c:spPr>
            <a:solidFill>
              <a:srgbClr val="78A22F"/>
            </a:solidFill>
          </c:spPr>
          <c:invertIfNegative val="0"/>
          <c:cat>
            <c:strRef>
              <c:f>'Figure 5.1'!$C$5:$I$5</c:f>
              <c:strCache>
                <c:ptCount val="7"/>
                <c:pt idx="0">
                  <c:v>New Zealand</c:v>
                </c:pt>
                <c:pt idx="1">
                  <c:v>Thailand</c:v>
                </c:pt>
                <c:pt idx="2">
                  <c:v>USA</c:v>
                </c:pt>
                <c:pt idx="3">
                  <c:v>Chile</c:v>
                </c:pt>
                <c:pt idx="4">
                  <c:v>ASEAN</c:v>
                </c:pt>
                <c:pt idx="5">
                  <c:v>Malaysia</c:v>
                </c:pt>
                <c:pt idx="6">
                  <c:v>Korea</c:v>
                </c:pt>
              </c:strCache>
            </c:strRef>
          </c:cat>
          <c:val>
            <c:numRef>
              <c:f>'Figure 5.1'!$C$8:$I$8</c:f>
              <c:numCache>
                <c:formatCode>0</c:formatCode>
                <c:ptCount val="7"/>
                <c:pt idx="0">
                  <c:v>3.3060789193032347</c:v>
                </c:pt>
                <c:pt idx="1">
                  <c:v>1.8919848641210868</c:v>
                </c:pt>
                <c:pt idx="2">
                  <c:v>13.877551020408163</c:v>
                </c:pt>
                <c:pt idx="3">
                  <c:v>6.6714234748483774</c:v>
                </c:pt>
                <c:pt idx="4">
                  <c:v>71.921341070277251</c:v>
                </c:pt>
                <c:pt idx="5">
                  <c:v>86.029137093761676</c:v>
                </c:pt>
                <c:pt idx="6">
                  <c:v>21.940441882804997</c:v>
                </c:pt>
              </c:numCache>
            </c:numRef>
          </c:val>
        </c:ser>
        <c:ser>
          <c:idx val="1"/>
          <c:order val="2"/>
          <c:tx>
            <c:strRef>
              <c:f>'Figure 5.1'!$B$7</c:f>
              <c:strCache>
                <c:ptCount val="1"/>
                <c:pt idx="0">
                  <c:v>RVC only</c:v>
                </c:pt>
              </c:strCache>
            </c:strRef>
          </c:tx>
          <c:spPr>
            <a:solidFill>
              <a:srgbClr val="000000"/>
            </a:solidFill>
          </c:spPr>
          <c:invertIfNegative val="0"/>
          <c:cat>
            <c:strRef>
              <c:f>'Figure 5.1'!$C$5:$I$5</c:f>
              <c:strCache>
                <c:ptCount val="7"/>
                <c:pt idx="0">
                  <c:v>New Zealand</c:v>
                </c:pt>
                <c:pt idx="1">
                  <c:v>Thailand</c:v>
                </c:pt>
                <c:pt idx="2">
                  <c:v>USA</c:v>
                </c:pt>
                <c:pt idx="3">
                  <c:v>Chile</c:v>
                </c:pt>
                <c:pt idx="4">
                  <c:v>ASEAN</c:v>
                </c:pt>
                <c:pt idx="5">
                  <c:v>Malaysia</c:v>
                </c:pt>
                <c:pt idx="6">
                  <c:v>Korea</c:v>
                </c:pt>
              </c:strCache>
            </c:strRef>
          </c:cat>
          <c:val>
            <c:numRef>
              <c:f>'Figure 5.1'!$C$7:$I$7</c:f>
              <c:numCache>
                <c:formatCode>0</c:formatCode>
                <c:ptCount val="7"/>
                <c:pt idx="0">
                  <c:v>7.1098471382865264E-2</c:v>
                </c:pt>
                <c:pt idx="1">
                  <c:v>3.4399724802201583E-2</c:v>
                </c:pt>
                <c:pt idx="2">
                  <c:v>0.30612244897959184</c:v>
                </c:pt>
                <c:pt idx="3">
                  <c:v>0</c:v>
                </c:pt>
                <c:pt idx="4">
                  <c:v>2.1598968407479049</c:v>
                </c:pt>
                <c:pt idx="5">
                  <c:v>0</c:v>
                </c:pt>
                <c:pt idx="6">
                  <c:v>0.15369836695485112</c:v>
                </c:pt>
              </c:numCache>
            </c:numRef>
          </c:val>
        </c:ser>
        <c:ser>
          <c:idx val="3"/>
          <c:order val="3"/>
          <c:tx>
            <c:strRef>
              <c:f>'Figure 5.1'!$B$9</c:f>
              <c:strCache>
                <c:ptCount val="1"/>
                <c:pt idx="0">
                  <c:v>Other</c:v>
                </c:pt>
              </c:strCache>
            </c:strRef>
          </c:tx>
          <c:spPr>
            <a:solidFill>
              <a:srgbClr val="B4C98B"/>
            </a:solidFill>
          </c:spPr>
          <c:invertIfNegative val="0"/>
          <c:cat>
            <c:strRef>
              <c:f>'Figure 5.1'!$C$5:$I$5</c:f>
              <c:strCache>
                <c:ptCount val="7"/>
                <c:pt idx="0">
                  <c:v>New Zealand</c:v>
                </c:pt>
                <c:pt idx="1">
                  <c:v>Thailand</c:v>
                </c:pt>
                <c:pt idx="2">
                  <c:v>USA</c:v>
                </c:pt>
                <c:pt idx="3">
                  <c:v>Chile</c:v>
                </c:pt>
                <c:pt idx="4">
                  <c:v>ASEAN</c:v>
                </c:pt>
                <c:pt idx="5">
                  <c:v>Malaysia</c:v>
                </c:pt>
                <c:pt idx="6">
                  <c:v>Korea</c:v>
                </c:pt>
              </c:strCache>
            </c:strRef>
          </c:cat>
          <c:val>
            <c:numRef>
              <c:f>'Figure 5.1'!$C$9:$I$9</c:f>
              <c:numCache>
                <c:formatCode>0</c:formatCode>
                <c:ptCount val="7"/>
                <c:pt idx="0">
                  <c:v>26.306434411660153</c:v>
                </c:pt>
                <c:pt idx="1">
                  <c:v>29.996560027519781</c:v>
                </c:pt>
                <c:pt idx="2">
                  <c:v>7.8571428571428568</c:v>
                </c:pt>
                <c:pt idx="3">
                  <c:v>12.700677845165895</c:v>
                </c:pt>
                <c:pt idx="4">
                  <c:v>14.764667956157318</c:v>
                </c:pt>
                <c:pt idx="5">
                  <c:v>3.4366828539409791</c:v>
                </c:pt>
                <c:pt idx="6">
                  <c:v>18.559077809798271</c:v>
                </c:pt>
              </c:numCache>
            </c:numRef>
          </c:val>
        </c:ser>
        <c:dLbls>
          <c:showLegendKey val="0"/>
          <c:showVal val="0"/>
          <c:showCatName val="0"/>
          <c:showSerName val="0"/>
          <c:showPercent val="0"/>
          <c:showBubbleSize val="0"/>
        </c:dLbls>
        <c:gapWidth val="75"/>
        <c:overlap val="100"/>
        <c:axId val="112965504"/>
        <c:axId val="112967040"/>
      </c:barChart>
      <c:catAx>
        <c:axId val="112965504"/>
        <c:scaling>
          <c:orientation val="minMax"/>
        </c:scaling>
        <c:delete val="0"/>
        <c:axPos val="b"/>
        <c:majorTickMark val="out"/>
        <c:minorTickMark val="none"/>
        <c:tickLblPos val="nextTo"/>
        <c:crossAx val="112967040"/>
        <c:crosses val="autoZero"/>
        <c:auto val="1"/>
        <c:lblAlgn val="ctr"/>
        <c:lblOffset val="100"/>
        <c:noMultiLvlLbl val="0"/>
      </c:catAx>
      <c:valAx>
        <c:axId val="112967040"/>
        <c:scaling>
          <c:orientation val="minMax"/>
          <c:max val="100"/>
        </c:scaling>
        <c:delete val="0"/>
        <c:axPos val="l"/>
        <c:majorGridlines>
          <c:spPr>
            <a:ln>
              <a:solidFill>
                <a:schemeClr val="bg1">
                  <a:lumMod val="85000"/>
                </a:schemeClr>
              </a:solidFill>
            </a:ln>
          </c:spPr>
        </c:majorGridlines>
        <c:title>
          <c:tx>
            <c:rich>
              <a:bodyPr rot="-5400000" vert="horz"/>
              <a:lstStyle/>
              <a:p>
                <a:pPr>
                  <a:defRPr/>
                </a:pPr>
                <a:r>
                  <a:rPr lang="en-AU"/>
                  <a:t>per cent</a:t>
                </a:r>
              </a:p>
            </c:rich>
          </c:tx>
          <c:layout>
            <c:manualLayout>
              <c:xMode val="edge"/>
              <c:yMode val="edge"/>
              <c:x val="9.6618357487922701E-3"/>
              <c:y val="0.24951788466926997"/>
            </c:manualLayout>
          </c:layout>
          <c:overlay val="0"/>
        </c:title>
        <c:numFmt formatCode="0" sourceLinked="1"/>
        <c:majorTickMark val="out"/>
        <c:minorTickMark val="none"/>
        <c:tickLblPos val="nextTo"/>
        <c:crossAx val="112965504"/>
        <c:crosses val="autoZero"/>
        <c:crossBetween val="between"/>
        <c:majorUnit val="20"/>
        <c:minorUnit val="10"/>
      </c:valAx>
    </c:plotArea>
    <c:legend>
      <c:legendPos val="b"/>
      <c:layout>
        <c:manualLayout>
          <c:xMode val="edge"/>
          <c:yMode val="edge"/>
          <c:x val="0.18035033664270228"/>
          <c:y val="0.8944343672934183"/>
          <c:w val="0.63929932671459544"/>
          <c:h val="0.10101496542093673"/>
        </c:manualLayout>
      </c:layout>
      <c:overlay val="0"/>
    </c:legend>
    <c:plotVisOnly val="1"/>
    <c:dispBlanksAs val="gap"/>
    <c:showDLblsOverMax val="0"/>
  </c:chart>
  <c:spPr>
    <a:ln>
      <a:noFill/>
    </a:ln>
  </c:spPr>
  <c:txPr>
    <a:bodyPr/>
    <a:lstStyle/>
    <a:p>
      <a:pPr>
        <a:defRPr sz="900">
          <a:latin typeface="Arial" panose="020B0604020202020204" pitchFamily="34" charset="0"/>
          <a:cs typeface="Arial" panose="020B0604020202020204"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104037527223992"/>
          <c:y val="3.1578199783850541E-2"/>
          <c:w val="0.7758195119227117"/>
          <c:h val="0.70151088466882816"/>
        </c:manualLayout>
      </c:layout>
      <c:barChart>
        <c:barDir val="col"/>
        <c:grouping val="stacked"/>
        <c:varyColors val="0"/>
        <c:ser>
          <c:idx val="0"/>
          <c:order val="0"/>
          <c:tx>
            <c:strRef>
              <c:f>'Figure 5.1'!$B$14</c:f>
              <c:strCache>
                <c:ptCount val="1"/>
                <c:pt idx="0">
                  <c:v>Chapter (2 digit)</c:v>
                </c:pt>
              </c:strCache>
            </c:strRef>
          </c:tx>
          <c:spPr>
            <a:solidFill>
              <a:srgbClr val="344893"/>
            </a:solidFill>
          </c:spPr>
          <c:invertIfNegative val="0"/>
          <c:cat>
            <c:strRef>
              <c:f>'Figure 5.1'!$C$13:$I$13</c:f>
              <c:strCache>
                <c:ptCount val="7"/>
                <c:pt idx="0">
                  <c:v>New Zealand</c:v>
                </c:pt>
                <c:pt idx="1">
                  <c:v>Thailand</c:v>
                </c:pt>
                <c:pt idx="2">
                  <c:v>USA</c:v>
                </c:pt>
                <c:pt idx="3">
                  <c:v>Chile</c:v>
                </c:pt>
                <c:pt idx="4">
                  <c:v>ASEAN</c:v>
                </c:pt>
                <c:pt idx="5">
                  <c:v>Malaysia</c:v>
                </c:pt>
                <c:pt idx="6">
                  <c:v>Korea</c:v>
                </c:pt>
              </c:strCache>
            </c:strRef>
          </c:cat>
          <c:val>
            <c:numRef>
              <c:f>'Figure 5.1'!$C$14:$I$14</c:f>
              <c:numCache>
                <c:formatCode>0</c:formatCode>
                <c:ptCount val="7"/>
                <c:pt idx="0">
                  <c:v>11.926934097421203</c:v>
                </c:pt>
                <c:pt idx="1">
                  <c:v>13.143254520166897</c:v>
                </c:pt>
                <c:pt idx="2">
                  <c:v>23.46311475409836</c:v>
                </c:pt>
                <c:pt idx="3">
                  <c:v>14.689063616869191</c:v>
                </c:pt>
                <c:pt idx="4">
                  <c:v>40.534602709630171</c:v>
                </c:pt>
                <c:pt idx="5">
                  <c:v>14.33408577878104</c:v>
                </c:pt>
                <c:pt idx="6">
                  <c:v>19.411032766486937</c:v>
                </c:pt>
              </c:numCache>
            </c:numRef>
          </c:val>
        </c:ser>
        <c:ser>
          <c:idx val="1"/>
          <c:order val="1"/>
          <c:tx>
            <c:strRef>
              <c:f>'Figure 5.1'!$B$15</c:f>
              <c:strCache>
                <c:ptCount val="1"/>
                <c:pt idx="0">
                  <c:v>Heading (4 digit)</c:v>
                </c:pt>
              </c:strCache>
            </c:strRef>
          </c:tx>
          <c:spPr>
            <a:solidFill>
              <a:srgbClr val="78A22F"/>
            </a:solidFill>
          </c:spPr>
          <c:invertIfNegative val="0"/>
          <c:cat>
            <c:strRef>
              <c:f>'Figure 5.1'!$C$13:$I$13</c:f>
              <c:strCache>
                <c:ptCount val="7"/>
                <c:pt idx="0">
                  <c:v>New Zealand</c:v>
                </c:pt>
                <c:pt idx="1">
                  <c:v>Thailand</c:v>
                </c:pt>
                <c:pt idx="2">
                  <c:v>USA</c:v>
                </c:pt>
                <c:pt idx="3">
                  <c:v>Chile</c:v>
                </c:pt>
                <c:pt idx="4">
                  <c:v>ASEAN</c:v>
                </c:pt>
                <c:pt idx="5">
                  <c:v>Malaysia</c:v>
                </c:pt>
                <c:pt idx="6">
                  <c:v>Korea</c:v>
                </c:pt>
              </c:strCache>
            </c:strRef>
          </c:cat>
          <c:val>
            <c:numRef>
              <c:f>'Figure 5.1'!$C$15:$I$15</c:f>
              <c:numCache>
                <c:formatCode>0</c:formatCode>
                <c:ptCount val="7"/>
                <c:pt idx="0">
                  <c:v>34.849570200573069</c:v>
                </c:pt>
                <c:pt idx="1">
                  <c:v>35.083449235048683</c:v>
                </c:pt>
                <c:pt idx="2">
                  <c:v>42.520491803278688</c:v>
                </c:pt>
                <c:pt idx="3">
                  <c:v>32.416011436740526</c:v>
                </c:pt>
                <c:pt idx="4">
                  <c:v>21.567191504943246</c:v>
                </c:pt>
                <c:pt idx="5">
                  <c:v>33.860045146726861</c:v>
                </c:pt>
                <c:pt idx="6">
                  <c:v>56.802156781418503</c:v>
                </c:pt>
              </c:numCache>
            </c:numRef>
          </c:val>
        </c:ser>
        <c:ser>
          <c:idx val="2"/>
          <c:order val="2"/>
          <c:tx>
            <c:strRef>
              <c:f>'Figure 5.1'!$B$16</c:f>
              <c:strCache>
                <c:ptCount val="1"/>
                <c:pt idx="0">
                  <c:v>Subheading (6 digit)</c:v>
                </c:pt>
              </c:strCache>
            </c:strRef>
          </c:tx>
          <c:spPr>
            <a:solidFill>
              <a:srgbClr val="B4C98B"/>
            </a:solidFill>
            <a:ln>
              <a:noFill/>
            </a:ln>
          </c:spPr>
          <c:invertIfNegative val="0"/>
          <c:cat>
            <c:strRef>
              <c:f>'Figure 5.1'!$C$13:$I$13</c:f>
              <c:strCache>
                <c:ptCount val="7"/>
                <c:pt idx="0">
                  <c:v>New Zealand</c:v>
                </c:pt>
                <c:pt idx="1">
                  <c:v>Thailand</c:v>
                </c:pt>
                <c:pt idx="2">
                  <c:v>USA</c:v>
                </c:pt>
                <c:pt idx="3">
                  <c:v>Chile</c:v>
                </c:pt>
                <c:pt idx="4">
                  <c:v>ASEAN</c:v>
                </c:pt>
                <c:pt idx="5">
                  <c:v>Malaysia</c:v>
                </c:pt>
                <c:pt idx="6">
                  <c:v>Korea</c:v>
                </c:pt>
              </c:strCache>
            </c:strRef>
          </c:cat>
          <c:val>
            <c:numRef>
              <c:f>'Figure 5.1'!$C$16:$I$16</c:f>
              <c:numCache>
                <c:formatCode>0</c:formatCode>
                <c:ptCount val="7"/>
                <c:pt idx="0">
                  <c:v>53.223495702005728</c:v>
                </c:pt>
                <c:pt idx="1">
                  <c:v>51.773296244784426</c:v>
                </c:pt>
                <c:pt idx="2">
                  <c:v>34.016393442622949</c:v>
                </c:pt>
                <c:pt idx="3">
                  <c:v>52.894924946390276</c:v>
                </c:pt>
                <c:pt idx="4">
                  <c:v>37.898205785426583</c:v>
                </c:pt>
                <c:pt idx="5">
                  <c:v>51.805869074492094</c:v>
                </c:pt>
                <c:pt idx="6">
                  <c:v>23.786810452094567</c:v>
                </c:pt>
              </c:numCache>
            </c:numRef>
          </c:val>
        </c:ser>
        <c:dLbls>
          <c:showLegendKey val="0"/>
          <c:showVal val="0"/>
          <c:showCatName val="0"/>
          <c:showSerName val="0"/>
          <c:showPercent val="0"/>
          <c:showBubbleSize val="0"/>
        </c:dLbls>
        <c:gapWidth val="75"/>
        <c:overlap val="100"/>
        <c:axId val="90199168"/>
        <c:axId val="90200704"/>
      </c:barChart>
      <c:catAx>
        <c:axId val="90199168"/>
        <c:scaling>
          <c:orientation val="minMax"/>
        </c:scaling>
        <c:delete val="0"/>
        <c:axPos val="b"/>
        <c:numFmt formatCode="General" sourceLinked="1"/>
        <c:majorTickMark val="out"/>
        <c:minorTickMark val="none"/>
        <c:tickLblPos val="nextTo"/>
        <c:crossAx val="90200704"/>
        <c:crosses val="autoZero"/>
        <c:auto val="1"/>
        <c:lblAlgn val="ctr"/>
        <c:lblOffset val="100"/>
        <c:noMultiLvlLbl val="0"/>
      </c:catAx>
      <c:valAx>
        <c:axId val="90200704"/>
        <c:scaling>
          <c:orientation val="minMax"/>
          <c:max val="100"/>
        </c:scaling>
        <c:delete val="0"/>
        <c:axPos val="l"/>
        <c:majorGridlines>
          <c:spPr>
            <a:ln>
              <a:solidFill>
                <a:schemeClr val="bg1">
                  <a:lumMod val="85000"/>
                </a:schemeClr>
              </a:solidFill>
            </a:ln>
          </c:spPr>
        </c:majorGridlines>
        <c:title>
          <c:tx>
            <c:rich>
              <a:bodyPr rot="-5400000" vert="horz"/>
              <a:lstStyle/>
              <a:p>
                <a:pPr>
                  <a:defRPr/>
                </a:pPr>
                <a:r>
                  <a:rPr lang="en-AU"/>
                  <a:t>per cent</a:t>
                </a:r>
              </a:p>
            </c:rich>
          </c:tx>
          <c:layout>
            <c:manualLayout>
              <c:xMode val="edge"/>
              <c:yMode val="edge"/>
              <c:x val="0"/>
              <c:y val="0.2668448639765727"/>
            </c:manualLayout>
          </c:layout>
          <c:overlay val="0"/>
        </c:title>
        <c:numFmt formatCode="0" sourceLinked="1"/>
        <c:majorTickMark val="out"/>
        <c:minorTickMark val="none"/>
        <c:tickLblPos val="nextTo"/>
        <c:crossAx val="90199168"/>
        <c:crosses val="autoZero"/>
        <c:crossBetween val="between"/>
        <c:majorUnit val="20"/>
        <c:minorUnit val="10"/>
      </c:valAx>
    </c:plotArea>
    <c:legend>
      <c:legendPos val="b"/>
      <c:layout>
        <c:manualLayout>
          <c:xMode val="edge"/>
          <c:yMode val="edge"/>
          <c:x val="0.1325701308613019"/>
          <c:y val="0.89307974485385178"/>
          <c:w val="0.86601403547960765"/>
          <c:h val="0.10692025514614828"/>
        </c:manualLayout>
      </c:layout>
      <c:overlay val="0"/>
    </c:legend>
    <c:plotVisOnly val="1"/>
    <c:dispBlanksAs val="gap"/>
    <c:showDLblsOverMax val="0"/>
  </c:chart>
  <c:spPr>
    <a:ln>
      <a:noFill/>
    </a:ln>
  </c:spPr>
  <c:txPr>
    <a:bodyPr/>
    <a:lstStyle/>
    <a:p>
      <a:pPr>
        <a:defRPr sz="9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7847F-9D97-46EB-9693-304EE2906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212</TotalTime>
  <Pages>4</Pages>
  <Words>1185</Words>
  <Characters>6197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Rules of Origin methodology</vt:lpstr>
    </vt:vector>
  </TitlesOfParts>
  <Company>Productivity Commission</Company>
  <LinksUpToDate>false</LinksUpToDate>
  <CharactersWithSpaces>7368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Rules of Origin methodology</dc:title>
  <dc:subject>Trade &amp; Assistance Review 2012-13 Methodological Annex</dc:subject>
  <dc:creator>Productivity Commission</dc:creator>
  <cp:keywords/>
  <dc:description>5.</dc:description>
  <cp:lastModifiedBy>Mark Pimperl</cp:lastModifiedBy>
  <cp:revision>21</cp:revision>
  <cp:lastPrinted>2014-10-20T04:22:00Z</cp:lastPrinted>
  <dcterms:created xsi:type="dcterms:W3CDTF">2014-09-25T14:39:00Z</dcterms:created>
  <dcterms:modified xsi:type="dcterms:W3CDTF">2014-10-23T00:54:00Z</dcterms:modified>
</cp:coreProperties>
</file>