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07357A" w:rsidP="0007357A">
      <w:pPr>
        <w:pStyle w:val="Heading1"/>
        <w:spacing w:before="0"/>
      </w:pPr>
      <w:bookmarkStart w:id="0" w:name="ChapterNumber"/>
      <w:bookmarkStart w:id="1" w:name="_GoBack"/>
      <w:bookmarkEnd w:id="1"/>
      <w:r>
        <w:t>3</w:t>
      </w:r>
      <w:bookmarkEnd w:id="0"/>
      <w:r>
        <w:tab/>
      </w:r>
      <w:bookmarkStart w:id="2" w:name="ChapterTitle"/>
      <w:r>
        <w:t>Programs with zero funding</w:t>
      </w:r>
      <w:bookmarkEnd w:id="2"/>
    </w:p>
    <w:p w:rsidR="004A4FB0" w:rsidRDefault="00BA3EBA" w:rsidP="00120072">
      <w:pPr>
        <w:pStyle w:val="BodyText"/>
      </w:pPr>
      <w:bookmarkStart w:id="3" w:name="begin"/>
      <w:bookmarkEnd w:id="3"/>
      <w:r w:rsidRPr="00BA3EBA">
        <w:t>This chapter presents information on programs currently included in the Commission’s assistance estimates but whose funding was zero in 2012</w:t>
      </w:r>
      <w:r>
        <w:noBreakHyphen/>
      </w:r>
      <w:r w:rsidRPr="00BA3EBA">
        <w:t>13. In total, there were</w:t>
      </w:r>
      <w:r w:rsidR="00FC133E">
        <w:t xml:space="preserve"> 25 </w:t>
      </w:r>
      <w:r w:rsidRPr="00BA3EBA">
        <w:t>programs with funding in 2011</w:t>
      </w:r>
      <w:r>
        <w:noBreakHyphen/>
      </w:r>
      <w:r w:rsidRPr="00BA3EBA">
        <w:t xml:space="preserve">12 </w:t>
      </w:r>
      <w:r w:rsidR="00735C1D">
        <w:t xml:space="preserve">that </w:t>
      </w:r>
      <w:r w:rsidRPr="00BA3EBA">
        <w:t>fell to zero, or ended, in 2012</w:t>
      </w:r>
      <w:r>
        <w:noBreakHyphen/>
      </w:r>
      <w:r w:rsidRPr="00BA3EBA">
        <w:t>13. While most of these programs also had funding in prior years, the table below presents funding for 2011</w:t>
      </w:r>
      <w:r>
        <w:noBreakHyphen/>
      </w:r>
      <w:r w:rsidRPr="00BA3EBA">
        <w:t>12, the year prior to program funding cessation (table</w:t>
      </w:r>
      <w:r w:rsidR="00911823">
        <w:t> </w:t>
      </w:r>
      <w:r w:rsidRPr="00BA3EBA">
        <w:t>3.1).</w:t>
      </w:r>
      <w:r>
        <w:t xml:space="preserve"> </w:t>
      </w:r>
    </w:p>
    <w:p w:rsidR="004A4FB0" w:rsidRDefault="004A4FB0" w:rsidP="004267DB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86"/>
      </w:tblGrid>
      <w:tr w:rsidR="004A4FB0" w:rsidTr="002C6CDE">
        <w:tc>
          <w:tcPr>
            <w:tcW w:w="8785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  <w:shd w:val="clear" w:color="auto" w:fill="auto"/>
          </w:tcPr>
          <w:p w:rsidR="004A4FB0" w:rsidRPr="00784A05" w:rsidRDefault="004A4FB0" w:rsidP="001E3E6F">
            <w:pPr>
              <w:pStyle w:val="TableTitle"/>
            </w:pPr>
            <w:r>
              <w:rPr>
                <w:b w:val="0"/>
              </w:rPr>
              <w:t xml:space="preserve">Table </w:t>
            </w:r>
            <w:r w:rsidR="0007357A">
              <w:rPr>
                <w:b w:val="0"/>
              </w:rPr>
              <w:t>3.</w:t>
            </w:r>
            <w:r w:rsidR="00D635FC">
              <w:rPr>
                <w:b w:val="0"/>
                <w:noProof/>
              </w:rPr>
              <w:t>1</w:t>
            </w:r>
            <w:r>
              <w:tab/>
              <w:t>Program funding in 2011</w:t>
            </w:r>
            <w:r>
              <w:noBreakHyphen/>
              <w:t>12 for programs with zero funding in 2012</w:t>
            </w:r>
            <w:r>
              <w:noBreakHyphen/>
              <w:t>13</w:t>
            </w:r>
          </w:p>
        </w:tc>
      </w:tr>
      <w:tr w:rsidR="004A4FB0" w:rsidTr="002C6CDE">
        <w:trPr>
          <w:cantSplit/>
        </w:trPr>
        <w:tc>
          <w:tcPr>
            <w:tcW w:w="8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8502" w:type="dxa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18"/>
              <w:gridCol w:w="796"/>
              <w:gridCol w:w="3797"/>
              <w:gridCol w:w="791"/>
            </w:tblGrid>
            <w:tr w:rsidR="00F52BE1" w:rsidTr="001E3E6F">
              <w:tc>
                <w:tcPr>
                  <w:tcW w:w="1834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7C13DE">
                  <w:pPr>
                    <w:pStyle w:val="TableColumnHeading"/>
                    <w:jc w:val="left"/>
                  </w:pPr>
                  <w:r>
                    <w:t>Program</w:t>
                  </w:r>
                </w:p>
              </w:tc>
              <w:tc>
                <w:tcPr>
                  <w:tcW w:w="468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vAlign w:val="bottom"/>
                </w:tcPr>
                <w:p w:rsidR="00F52BE1" w:rsidRDefault="001F7D97" w:rsidP="00B45761">
                  <w:pPr>
                    <w:pStyle w:val="TableColumnHeading"/>
                    <w:jc w:val="center"/>
                  </w:pPr>
                  <w:r>
                    <w:t>Form</w:t>
                  </w:r>
                  <w:r w:rsidRPr="00711DFE">
                    <w:rPr>
                      <w:rStyle w:val="NoteLabel"/>
                    </w:rPr>
                    <w:t>a</w:t>
                  </w:r>
                </w:p>
              </w:tc>
              <w:tc>
                <w:tcPr>
                  <w:tcW w:w="2233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7C13DE">
                  <w:pPr>
                    <w:pStyle w:val="TableColumnHeading"/>
                    <w:jc w:val="left"/>
                  </w:pPr>
                  <w:r>
                    <w:t>Initial benefiting industry</w:t>
                  </w:r>
                </w:p>
              </w:tc>
              <w:tc>
                <w:tcPr>
                  <w:tcW w:w="466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DE281E">
                  <w:pPr>
                    <w:pStyle w:val="TableColumnHeading"/>
                    <w:ind w:right="28"/>
                  </w:pPr>
                  <w:r>
                    <w:t>Funding 2011</w:t>
                  </w:r>
                  <w:r>
                    <w:noBreakHyphen/>
                    <w:t>12</w:t>
                  </w:r>
                  <w:r w:rsidR="001E3E6F">
                    <w:t xml:space="preserve"> </w:t>
                  </w:r>
                </w:p>
              </w:tc>
            </w:tr>
            <w:tr w:rsidR="00DE281E" w:rsidTr="001E3E6F">
              <w:tc>
                <w:tcPr>
                  <w:tcW w:w="1834" w:type="pct"/>
                </w:tcPr>
                <w:p w:rsidR="00DE281E" w:rsidRDefault="00DE281E" w:rsidP="00DE281E">
                  <w:pPr>
                    <w:pStyle w:val="TableUnitsRow"/>
                  </w:pPr>
                </w:p>
              </w:tc>
              <w:tc>
                <w:tcPr>
                  <w:tcW w:w="468" w:type="pct"/>
                </w:tcPr>
                <w:p w:rsidR="00DE281E" w:rsidRDefault="00DE281E" w:rsidP="00DE281E">
                  <w:pPr>
                    <w:pStyle w:val="TableUnitsRow"/>
                  </w:pPr>
                </w:p>
              </w:tc>
              <w:tc>
                <w:tcPr>
                  <w:tcW w:w="2233" w:type="pct"/>
                </w:tcPr>
                <w:p w:rsidR="00DE281E" w:rsidRPr="00A7667D" w:rsidRDefault="00DE281E" w:rsidP="00DE281E">
                  <w:pPr>
                    <w:pStyle w:val="TableUnitsRow"/>
                  </w:pPr>
                </w:p>
              </w:tc>
              <w:tc>
                <w:tcPr>
                  <w:tcW w:w="466" w:type="pct"/>
                </w:tcPr>
                <w:p w:rsidR="00DE281E" w:rsidRPr="00DE281E" w:rsidRDefault="00DE281E" w:rsidP="00DE281E">
                  <w:pPr>
                    <w:pStyle w:val="TableUnitsRow"/>
                    <w:rPr>
                      <w:i/>
                    </w:rPr>
                  </w:pPr>
                  <w:r w:rsidRPr="00DE281E">
                    <w:rPr>
                      <w:i/>
                    </w:rPr>
                    <w:t>$m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Default="00F52BE1" w:rsidP="001C0426">
                  <w:pPr>
                    <w:pStyle w:val="TableBodyText"/>
                    <w:spacing w:before="80"/>
                    <w:jc w:val="left"/>
                  </w:pPr>
                  <w:r>
                    <w:t xml:space="preserve">Energy Security Fund – </w:t>
                  </w:r>
                  <w:r w:rsidRPr="00B33DE1">
                    <w:t>transitional assistance</w:t>
                  </w:r>
                </w:p>
              </w:tc>
              <w:tc>
                <w:tcPr>
                  <w:tcW w:w="468" w:type="pct"/>
                </w:tcPr>
                <w:p w:rsidR="00F52BE1" w:rsidRPr="00A7667D" w:rsidRDefault="00B45761" w:rsidP="00B45761">
                  <w:pPr>
                    <w:pStyle w:val="TableBodyText"/>
                    <w:spacing w:before="80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1C0426">
                  <w:pPr>
                    <w:pStyle w:val="TableBodyText"/>
                    <w:spacing w:before="80"/>
                    <w:jc w:val="left"/>
                  </w:pPr>
                  <w:r w:rsidRPr="00A7667D">
                    <w:t>Electricity, gas, water and waste services</w:t>
                  </w:r>
                </w:p>
              </w:tc>
              <w:tc>
                <w:tcPr>
                  <w:tcW w:w="466" w:type="pct"/>
                </w:tcPr>
                <w:p w:rsidR="00F52BE1" w:rsidRDefault="00F52BE1" w:rsidP="001C0426">
                  <w:pPr>
                    <w:pStyle w:val="TableBodyText"/>
                    <w:spacing w:before="80"/>
                    <w:ind w:right="28"/>
                  </w:pPr>
                  <w:r>
                    <w:t>1000.0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Default="00F52BE1" w:rsidP="00846637">
                  <w:pPr>
                    <w:pStyle w:val="TableBodyText"/>
                    <w:jc w:val="left"/>
                  </w:pPr>
                  <w:r w:rsidRPr="00B33DE1">
                    <w:t>Coal Sector Jobs Package</w:t>
                  </w:r>
                </w:p>
              </w:tc>
              <w:tc>
                <w:tcPr>
                  <w:tcW w:w="468" w:type="pct"/>
                </w:tcPr>
                <w:p w:rsidR="00F52BE1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7C13DE">
                  <w:pPr>
                    <w:pStyle w:val="TableBodyText"/>
                    <w:jc w:val="left"/>
                  </w:pPr>
                  <w:r>
                    <w:t>Mining</w:t>
                  </w:r>
                </w:p>
              </w:tc>
              <w:tc>
                <w:tcPr>
                  <w:tcW w:w="466" w:type="pct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218.0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Default="00F52BE1" w:rsidP="00846637">
                  <w:pPr>
                    <w:pStyle w:val="TableBodyText"/>
                    <w:jc w:val="left"/>
                  </w:pPr>
                  <w:r w:rsidRPr="00B33DE1">
                    <w:t>Steel Transformation Plan</w:t>
                  </w:r>
                </w:p>
              </w:tc>
              <w:tc>
                <w:tcPr>
                  <w:tcW w:w="468" w:type="pct"/>
                </w:tcPr>
                <w:p w:rsidR="00F52BE1" w:rsidRPr="00704889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7C13DE">
                  <w:pPr>
                    <w:pStyle w:val="TableBodyText"/>
                    <w:jc w:val="left"/>
                  </w:pPr>
                  <w:r w:rsidRPr="00704889">
                    <w:t>Metal and fabricated metal products</w:t>
                  </w:r>
                </w:p>
              </w:tc>
              <w:tc>
                <w:tcPr>
                  <w:tcW w:w="466" w:type="pct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164.0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Default="00F52BE1" w:rsidP="00846637">
                  <w:pPr>
                    <w:pStyle w:val="TableBodyText"/>
                    <w:jc w:val="left"/>
                  </w:pPr>
                  <w:r w:rsidRPr="00B33DE1">
                    <w:t>Ford Australia Assistance</w:t>
                  </w:r>
                </w:p>
              </w:tc>
              <w:tc>
                <w:tcPr>
                  <w:tcW w:w="468" w:type="pct"/>
                </w:tcPr>
                <w:p w:rsidR="00F52BE1" w:rsidRPr="00704889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7C13DE">
                  <w:pPr>
                    <w:pStyle w:val="TableBodyText"/>
                    <w:jc w:val="left"/>
                  </w:pPr>
                  <w:r w:rsidRPr="00704889">
                    <w:t>Motor vehicle and parts</w:t>
                  </w:r>
                </w:p>
              </w:tc>
              <w:tc>
                <w:tcPr>
                  <w:tcW w:w="466" w:type="pct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34.0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Default="00F52BE1" w:rsidP="00846637">
                  <w:pPr>
                    <w:pStyle w:val="TableBodyText"/>
                    <w:jc w:val="left"/>
                  </w:pPr>
                  <w:r w:rsidRPr="00B33DE1">
                    <w:t>Energy Innovation Fund</w:t>
                  </w:r>
                </w:p>
              </w:tc>
              <w:tc>
                <w:tcPr>
                  <w:tcW w:w="468" w:type="pct"/>
                </w:tcPr>
                <w:p w:rsidR="00F52BE1" w:rsidRPr="00704889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7C13DE">
                  <w:pPr>
                    <w:pStyle w:val="TableBodyText"/>
                    <w:jc w:val="left"/>
                  </w:pPr>
                  <w:r w:rsidRPr="00704889">
                    <w:t>Unallocated manufacturing</w:t>
                  </w:r>
                </w:p>
              </w:tc>
              <w:tc>
                <w:tcPr>
                  <w:tcW w:w="466" w:type="pct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32.7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Default="00F52BE1" w:rsidP="00B33DE1">
                  <w:pPr>
                    <w:pStyle w:val="TableBodyText"/>
                    <w:jc w:val="left"/>
                  </w:pPr>
                  <w:r w:rsidRPr="00B33DE1">
                    <w:t xml:space="preserve">Exceptional Circumstances </w:t>
                  </w:r>
                  <w:r>
                    <w:t>–</w:t>
                  </w:r>
                  <w:r w:rsidRPr="00B33DE1">
                    <w:t xml:space="preserve"> interest rate subsidies</w:t>
                  </w:r>
                </w:p>
              </w:tc>
              <w:tc>
                <w:tcPr>
                  <w:tcW w:w="468" w:type="pct"/>
                </w:tcPr>
                <w:p w:rsidR="00F52BE1" w:rsidRPr="00704889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704889">
                  <w:pPr>
                    <w:pStyle w:val="TableBodyText"/>
                    <w:jc w:val="left"/>
                  </w:pPr>
                  <w:r w:rsidRPr="00704889">
                    <w:t>Horticulture and fruit growing; Sheep, beef cattle and grain farming; Other crop growing; Dairy cattle farming; Other livestock farming; Aquaculture and fishing; Forestry and logging; Primary production support services; Unallocated primary production;</w:t>
                  </w:r>
                  <w:r>
                    <w:t xml:space="preserve"> and</w:t>
                  </w:r>
                  <w:r w:rsidRPr="00704889">
                    <w:t xml:space="preserve"> Transport, postal and warehousing</w:t>
                  </w:r>
                </w:p>
              </w:tc>
              <w:tc>
                <w:tcPr>
                  <w:tcW w:w="466" w:type="pct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32.0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Default="00F52BE1" w:rsidP="00846637">
                  <w:pPr>
                    <w:pStyle w:val="TableBodyText"/>
                    <w:jc w:val="left"/>
                  </w:pPr>
                  <w:r w:rsidRPr="007C13DE">
                    <w:t>Temporary Assistance for Tasmanian Exporters</w:t>
                  </w:r>
                </w:p>
              </w:tc>
              <w:tc>
                <w:tcPr>
                  <w:tcW w:w="468" w:type="pct"/>
                </w:tcPr>
                <w:p w:rsidR="00F52BE1" w:rsidRPr="0028366F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7C13DE">
                  <w:pPr>
                    <w:pStyle w:val="TableBodyText"/>
                    <w:jc w:val="left"/>
                  </w:pPr>
                  <w:r w:rsidRPr="0028366F">
                    <w:t xml:space="preserve">Sheep, beef cattle and grain farming; Aquaculture and fishing; Forestry and logging; Unallocated primary production; Mining; Unallocated manufacturing; Transport, postal and warehousing; Education and training; Arts and recreation services; </w:t>
                  </w:r>
                  <w:r>
                    <w:t xml:space="preserve">and </w:t>
                  </w:r>
                  <w:r w:rsidRPr="0028366F">
                    <w:t>Unallocated other</w:t>
                  </w:r>
                </w:p>
              </w:tc>
              <w:tc>
                <w:tcPr>
                  <w:tcW w:w="466" w:type="pct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20.0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Default="00F52BE1" w:rsidP="00846637">
                  <w:pPr>
                    <w:pStyle w:val="TableBodyText"/>
                    <w:jc w:val="left"/>
                  </w:pPr>
                  <w:r w:rsidRPr="007C13DE">
                    <w:t>Automotive Industry Structural Adjustment Program</w:t>
                  </w:r>
                </w:p>
              </w:tc>
              <w:tc>
                <w:tcPr>
                  <w:tcW w:w="468" w:type="pct"/>
                </w:tcPr>
                <w:p w:rsidR="00F52BE1" w:rsidRPr="004B11B0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7C13DE">
                  <w:pPr>
                    <w:pStyle w:val="TableBodyText"/>
                    <w:jc w:val="left"/>
                  </w:pPr>
                  <w:r w:rsidRPr="004B11B0">
                    <w:t>Motor vehicle and parts</w:t>
                  </w:r>
                </w:p>
              </w:tc>
              <w:tc>
                <w:tcPr>
                  <w:tcW w:w="466" w:type="pct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16.8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Default="00F52BE1" w:rsidP="00846637">
                  <w:pPr>
                    <w:pStyle w:val="TableBodyText"/>
                    <w:jc w:val="left"/>
                  </w:pPr>
                  <w:r w:rsidRPr="007C13DE">
                    <w:t>Climate Change Adaption Partnerships Program</w:t>
                  </w:r>
                </w:p>
              </w:tc>
              <w:tc>
                <w:tcPr>
                  <w:tcW w:w="468" w:type="pct"/>
                </w:tcPr>
                <w:p w:rsidR="00F52BE1" w:rsidRPr="004B11B0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7C13DE">
                  <w:pPr>
                    <w:pStyle w:val="TableBodyText"/>
                    <w:jc w:val="left"/>
                  </w:pPr>
                  <w:r w:rsidRPr="004B11B0">
                    <w:t>Unallocated primary production</w:t>
                  </w:r>
                </w:p>
              </w:tc>
              <w:tc>
                <w:tcPr>
                  <w:tcW w:w="466" w:type="pct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8.5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Default="00F52BE1" w:rsidP="00735C1D">
                  <w:pPr>
                    <w:pStyle w:val="TableBodyText"/>
                    <w:jc w:val="left"/>
                  </w:pPr>
                  <w:r w:rsidRPr="007C13DE">
                    <w:t xml:space="preserve">Procurement </w:t>
                  </w:r>
                  <w:r w:rsidR="00735C1D">
                    <w:t>S</w:t>
                  </w:r>
                  <w:r w:rsidRPr="007C13DE">
                    <w:t>trategy</w:t>
                  </w:r>
                </w:p>
              </w:tc>
              <w:tc>
                <w:tcPr>
                  <w:tcW w:w="468" w:type="pct"/>
                </w:tcPr>
                <w:p w:rsidR="00F52BE1" w:rsidRPr="00E12790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7C13DE">
                  <w:pPr>
                    <w:pStyle w:val="TableBodyText"/>
                    <w:jc w:val="left"/>
                  </w:pPr>
                  <w:r w:rsidRPr="00E12790">
                    <w:t>Unallocated other</w:t>
                  </w:r>
                </w:p>
              </w:tc>
              <w:tc>
                <w:tcPr>
                  <w:tcW w:w="466" w:type="pct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6.4</w:t>
                  </w:r>
                </w:p>
              </w:tc>
            </w:tr>
            <w:tr w:rsidR="00F52BE1" w:rsidTr="001E3E6F">
              <w:tc>
                <w:tcPr>
                  <w:tcW w:w="1834" w:type="pct"/>
                </w:tcPr>
                <w:p w:rsidR="00F52BE1" w:rsidRPr="00EA7F0D" w:rsidRDefault="00F52BE1" w:rsidP="007C13DE">
                  <w:pPr>
                    <w:pStyle w:val="TableBodyText"/>
                    <w:jc w:val="left"/>
                  </w:pPr>
                  <w:r w:rsidRPr="00EA7F0D">
                    <w:t>Climate Change and Productivity Research Program</w:t>
                  </w:r>
                </w:p>
              </w:tc>
              <w:tc>
                <w:tcPr>
                  <w:tcW w:w="468" w:type="pct"/>
                </w:tcPr>
                <w:p w:rsidR="00F52BE1" w:rsidRPr="00E12790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7C13DE">
                  <w:pPr>
                    <w:pStyle w:val="TableBodyText"/>
                    <w:jc w:val="left"/>
                  </w:pPr>
                  <w:r w:rsidRPr="00E12790">
                    <w:t>Unallocated primary production</w:t>
                  </w:r>
                </w:p>
              </w:tc>
              <w:tc>
                <w:tcPr>
                  <w:tcW w:w="466" w:type="pct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6.2</w:t>
                  </w:r>
                </w:p>
              </w:tc>
            </w:tr>
            <w:tr w:rsidR="00F52BE1" w:rsidTr="001E3E6F">
              <w:tc>
                <w:tcPr>
                  <w:tcW w:w="1834" w:type="pct"/>
                  <w:tcBorders>
                    <w:bottom w:val="single" w:sz="6" w:space="0" w:color="C8C8C8"/>
                  </w:tcBorders>
                  <w:shd w:val="clear" w:color="auto" w:fill="auto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EA7F0D">
                    <w:t>Clean Energy Trade and Investment Strategy</w:t>
                  </w:r>
                </w:p>
              </w:tc>
              <w:tc>
                <w:tcPr>
                  <w:tcW w:w="468" w:type="pct"/>
                  <w:tcBorders>
                    <w:bottom w:val="single" w:sz="6" w:space="0" w:color="C8C8C8"/>
                  </w:tcBorders>
                </w:tcPr>
                <w:p w:rsidR="00F52BE1" w:rsidRPr="00E12790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  <w:tcBorders>
                    <w:bottom w:val="single" w:sz="6" w:space="0" w:color="C8C8C8"/>
                  </w:tcBorders>
                  <w:shd w:val="clear" w:color="auto" w:fill="auto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E12790">
                    <w:t>Unallocated other</w:t>
                  </w:r>
                </w:p>
              </w:tc>
              <w:tc>
                <w:tcPr>
                  <w:tcW w:w="466" w:type="pct"/>
                  <w:tcBorders>
                    <w:bottom w:val="single" w:sz="6" w:space="0" w:color="C8C8C8"/>
                  </w:tcBorders>
                  <w:shd w:val="clear" w:color="auto" w:fill="auto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4.9</w:t>
                  </w:r>
                </w:p>
              </w:tc>
            </w:tr>
          </w:tbl>
          <w:p w:rsidR="004A4FB0" w:rsidRDefault="004A4FB0" w:rsidP="00846637">
            <w:pPr>
              <w:pStyle w:val="Box"/>
            </w:pPr>
          </w:p>
        </w:tc>
      </w:tr>
      <w:tr w:rsidR="004A4FB0" w:rsidRPr="00DE281E" w:rsidTr="002C6CDE">
        <w:trPr>
          <w:cantSplit/>
        </w:trPr>
        <w:tc>
          <w:tcPr>
            <w:tcW w:w="8785" w:type="dxa"/>
            <w:tcBorders>
              <w:top w:val="nil"/>
              <w:left w:val="nil"/>
              <w:bottom w:val="single" w:sz="6" w:space="0" w:color="78A22F" w:themeColor="accent1"/>
              <w:right w:val="nil"/>
            </w:tcBorders>
            <w:shd w:val="clear" w:color="auto" w:fill="auto"/>
          </w:tcPr>
          <w:p w:rsidR="004A4FB0" w:rsidRPr="00DE281E" w:rsidRDefault="00DE281E" w:rsidP="00DE281E">
            <w:pPr>
              <w:pStyle w:val="Box"/>
              <w:spacing w:before="180" w:after="80" w:line="120" w:lineRule="exact"/>
              <w:jc w:val="right"/>
              <w:rPr>
                <w:sz w:val="18"/>
                <w:szCs w:val="18"/>
              </w:rPr>
            </w:pPr>
            <w:r w:rsidRPr="00DE281E">
              <w:rPr>
                <w:sz w:val="18"/>
                <w:szCs w:val="18"/>
              </w:rPr>
              <w:t>(continued next page)</w:t>
            </w:r>
          </w:p>
        </w:tc>
      </w:tr>
      <w:tr w:rsidR="004A4FB0" w:rsidRPr="000863A5" w:rsidTr="002C6CDE">
        <w:tc>
          <w:tcPr>
            <w:tcW w:w="8785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</w:tcPr>
          <w:p w:rsidR="004A4FB0" w:rsidRPr="00626D32" w:rsidRDefault="004A4FB0" w:rsidP="00784A05">
            <w:pPr>
              <w:pStyle w:val="BoxSpaceBelow"/>
            </w:pPr>
          </w:p>
        </w:tc>
      </w:tr>
    </w:tbl>
    <w:p w:rsidR="00E35E32" w:rsidRDefault="00E35E32" w:rsidP="004267DB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94"/>
      </w:tblGrid>
      <w:tr w:rsidR="00E35E32" w:rsidTr="00603D44">
        <w:tc>
          <w:tcPr>
            <w:tcW w:w="8794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  <w:shd w:val="clear" w:color="auto" w:fill="auto"/>
          </w:tcPr>
          <w:p w:rsidR="00E35E32" w:rsidRPr="00784A05" w:rsidRDefault="00E35E32" w:rsidP="00E35E32">
            <w:pPr>
              <w:pStyle w:val="TableTitle"/>
            </w:pPr>
            <w:r>
              <w:rPr>
                <w:b w:val="0"/>
              </w:rPr>
              <w:t>Table 3.1</w:t>
            </w:r>
            <w:r>
              <w:tab/>
              <w:t>(continued)</w:t>
            </w:r>
          </w:p>
        </w:tc>
      </w:tr>
      <w:tr w:rsidR="00E35E32" w:rsidTr="00603D44">
        <w:trPr>
          <w:cantSplit/>
        </w:trPr>
        <w:tc>
          <w:tcPr>
            <w:tcW w:w="8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8504" w:type="dxa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18"/>
              <w:gridCol w:w="794"/>
              <w:gridCol w:w="3798"/>
              <w:gridCol w:w="794"/>
            </w:tblGrid>
            <w:tr w:rsidR="00F52BE1" w:rsidTr="001E3E6F">
              <w:tc>
                <w:tcPr>
                  <w:tcW w:w="1833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83208C">
                  <w:pPr>
                    <w:pStyle w:val="TableColumnHeading"/>
                    <w:jc w:val="left"/>
                  </w:pPr>
                  <w:r>
                    <w:t>Program</w:t>
                  </w:r>
                </w:p>
              </w:tc>
              <w:tc>
                <w:tcPr>
                  <w:tcW w:w="467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vAlign w:val="bottom"/>
                </w:tcPr>
                <w:p w:rsidR="00F52BE1" w:rsidRDefault="001F7D97" w:rsidP="00B45761">
                  <w:pPr>
                    <w:pStyle w:val="TableColumnHeading"/>
                    <w:jc w:val="center"/>
                  </w:pPr>
                  <w:r>
                    <w:t>Form</w:t>
                  </w:r>
                  <w:r w:rsidRPr="00711DFE">
                    <w:rPr>
                      <w:rStyle w:val="NoteLabel"/>
                    </w:rPr>
                    <w:t>a</w:t>
                  </w:r>
                </w:p>
              </w:tc>
              <w:tc>
                <w:tcPr>
                  <w:tcW w:w="2233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83208C">
                  <w:pPr>
                    <w:pStyle w:val="TableColumnHeading"/>
                    <w:jc w:val="left"/>
                  </w:pPr>
                  <w:r>
                    <w:t>Initial benefiting industry</w:t>
                  </w:r>
                </w:p>
              </w:tc>
              <w:tc>
                <w:tcPr>
                  <w:tcW w:w="467" w:type="pct"/>
                  <w:tcBorders>
                    <w:top w:val="single" w:sz="6" w:space="0" w:color="BFBFBF" w:themeColor="background2"/>
                    <w:bottom w:val="single" w:sz="6" w:space="0" w:color="BFBFBF" w:themeColor="background2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F52BE1" w:rsidRDefault="00F52BE1" w:rsidP="0044774E">
                  <w:pPr>
                    <w:pStyle w:val="TableColumnHeading"/>
                    <w:ind w:right="28"/>
                  </w:pPr>
                  <w:r>
                    <w:t>Funding 2011</w:t>
                  </w:r>
                  <w:r>
                    <w:noBreakHyphen/>
                    <w:t>12</w:t>
                  </w:r>
                </w:p>
              </w:tc>
            </w:tr>
            <w:tr w:rsidR="0044774E" w:rsidTr="001E3E6F">
              <w:tc>
                <w:tcPr>
                  <w:tcW w:w="1833" w:type="pct"/>
                </w:tcPr>
                <w:p w:rsidR="0044774E" w:rsidRPr="00EA7F0D" w:rsidRDefault="0044774E" w:rsidP="0044774E">
                  <w:pPr>
                    <w:pStyle w:val="TableUnitsRow"/>
                  </w:pPr>
                </w:p>
              </w:tc>
              <w:tc>
                <w:tcPr>
                  <w:tcW w:w="467" w:type="pct"/>
                </w:tcPr>
                <w:p w:rsidR="0044774E" w:rsidRDefault="0044774E" w:rsidP="0044774E">
                  <w:pPr>
                    <w:pStyle w:val="TableUnitsRow"/>
                  </w:pPr>
                </w:p>
              </w:tc>
              <w:tc>
                <w:tcPr>
                  <w:tcW w:w="2233" w:type="pct"/>
                </w:tcPr>
                <w:p w:rsidR="0044774E" w:rsidRPr="00E12790" w:rsidRDefault="0044774E" w:rsidP="0044774E">
                  <w:pPr>
                    <w:pStyle w:val="TableUnitsRow"/>
                  </w:pPr>
                </w:p>
              </w:tc>
              <w:tc>
                <w:tcPr>
                  <w:tcW w:w="467" w:type="pct"/>
                </w:tcPr>
                <w:p w:rsidR="0044774E" w:rsidRDefault="0044774E" w:rsidP="0044774E">
                  <w:pPr>
                    <w:pStyle w:val="TableUnitsRow"/>
                  </w:pPr>
                  <w:r w:rsidRPr="00DE281E">
                    <w:rPr>
                      <w:i/>
                    </w:rPr>
                    <w:t>$m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Pr="00EA7F0D" w:rsidRDefault="00F52BE1" w:rsidP="00911823">
                  <w:pPr>
                    <w:pStyle w:val="TableBodyText"/>
                    <w:spacing w:before="80"/>
                    <w:jc w:val="left"/>
                  </w:pPr>
                  <w:r w:rsidRPr="00EA7F0D">
                    <w:t xml:space="preserve">Clean Business Australia </w:t>
                  </w:r>
                  <w:r>
                    <w:t>–</w:t>
                  </w:r>
                  <w:r w:rsidRPr="00EA7F0D">
                    <w:t xml:space="preserve"> Climate Ready Program</w:t>
                  </w:r>
                </w:p>
              </w:tc>
              <w:tc>
                <w:tcPr>
                  <w:tcW w:w="467" w:type="pct"/>
                </w:tcPr>
                <w:p w:rsidR="00F52BE1" w:rsidRPr="00E12790" w:rsidRDefault="00B45761" w:rsidP="00B45761">
                  <w:pPr>
                    <w:pStyle w:val="TableBodyText"/>
                    <w:spacing w:before="80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911823">
                  <w:pPr>
                    <w:pStyle w:val="TableBodyText"/>
                    <w:spacing w:before="80"/>
                    <w:jc w:val="left"/>
                  </w:pPr>
                  <w:r w:rsidRPr="00E12790">
                    <w:t>Other crop growing; Primary production support services; Mining; Food, beverages and tobacco; Petroleum, coal, chemical and rubber products; Motor vehicle and parts; Machinery and equipment manufacturing; Electricity, gas, water and waste services; Construction; Wholesale trade; and</w:t>
                  </w:r>
                  <w:r>
                    <w:t xml:space="preserve"> </w:t>
                  </w:r>
                  <w:r w:rsidRPr="00E12790">
                    <w:t>Property, professional and administrative services</w:t>
                  </w:r>
                </w:p>
              </w:tc>
              <w:tc>
                <w:tcPr>
                  <w:tcW w:w="467" w:type="pct"/>
                </w:tcPr>
                <w:p w:rsidR="00F52BE1" w:rsidRDefault="00F52BE1" w:rsidP="00911823">
                  <w:pPr>
                    <w:pStyle w:val="TableBodyText"/>
                    <w:spacing w:before="80"/>
                    <w:ind w:right="28"/>
                  </w:pPr>
                  <w:r>
                    <w:t>4.7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Pr="00EA7F0D" w:rsidRDefault="00F52BE1" w:rsidP="0083208C">
                  <w:pPr>
                    <w:pStyle w:val="TableBodyText"/>
                    <w:jc w:val="left"/>
                  </w:pPr>
                  <w:r w:rsidRPr="00EA7F0D">
                    <w:t xml:space="preserve">Clean Business Australia </w:t>
                  </w:r>
                  <w:r>
                    <w:t>–</w:t>
                  </w:r>
                  <w:r w:rsidRPr="00EA7F0D">
                    <w:t xml:space="preserve"> Re</w:t>
                  </w:r>
                  <w:r>
                    <w:noBreakHyphen/>
                  </w:r>
                  <w:r w:rsidRPr="00EA7F0D">
                    <w:t>tooling for Climate Change</w:t>
                  </w:r>
                </w:p>
              </w:tc>
              <w:tc>
                <w:tcPr>
                  <w:tcW w:w="467" w:type="pct"/>
                </w:tcPr>
                <w:p w:rsidR="00F52BE1" w:rsidRPr="00E12790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E12790">
                    <w:t>Unallocated manufacturing</w:t>
                  </w:r>
                </w:p>
              </w:tc>
              <w:tc>
                <w:tcPr>
                  <w:tcW w:w="467" w:type="pct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4.2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Pr="00EA7F0D" w:rsidRDefault="00F52BE1" w:rsidP="0083208C">
                  <w:pPr>
                    <w:pStyle w:val="TableBodyText"/>
                    <w:jc w:val="left"/>
                  </w:pPr>
                  <w:r w:rsidRPr="00EA7F0D">
                    <w:t>National Weeds and Productivity Research Program</w:t>
                  </w:r>
                </w:p>
              </w:tc>
              <w:tc>
                <w:tcPr>
                  <w:tcW w:w="467" w:type="pct"/>
                </w:tcPr>
                <w:p w:rsidR="00F52BE1" w:rsidRPr="00E12790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E12790">
                    <w:t>Unallocated primary production</w:t>
                  </w:r>
                </w:p>
              </w:tc>
              <w:tc>
                <w:tcPr>
                  <w:tcW w:w="467" w:type="pct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4.0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Pr="00EA7F0D" w:rsidRDefault="00F52BE1" w:rsidP="0083208C">
                  <w:pPr>
                    <w:pStyle w:val="TableBodyText"/>
                    <w:jc w:val="left"/>
                  </w:pPr>
                  <w:r w:rsidRPr="00EA7F0D">
                    <w:t>Solar Flagships Program</w:t>
                  </w:r>
                </w:p>
              </w:tc>
              <w:tc>
                <w:tcPr>
                  <w:tcW w:w="467" w:type="pct"/>
                </w:tcPr>
                <w:p w:rsidR="00F52BE1" w:rsidRPr="0020268E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20268E">
                    <w:t>Electricity, gas, water and waste services</w:t>
                  </w:r>
                </w:p>
              </w:tc>
              <w:tc>
                <w:tcPr>
                  <w:tcW w:w="467" w:type="pct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3.8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Pr="00EA7F0D" w:rsidRDefault="00F52BE1" w:rsidP="0083208C">
                  <w:pPr>
                    <w:pStyle w:val="TableBodyText"/>
                    <w:jc w:val="left"/>
                  </w:pPr>
                  <w:r w:rsidRPr="00EA7F0D">
                    <w:t>Assistance for upgrade of Simplot Processing Plant (Tasmania)</w:t>
                  </w:r>
                </w:p>
              </w:tc>
              <w:tc>
                <w:tcPr>
                  <w:tcW w:w="467" w:type="pct"/>
                </w:tcPr>
                <w:p w:rsidR="00F52BE1" w:rsidRPr="0020268E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20268E">
                    <w:t>Food, beverages and tobacco</w:t>
                  </w:r>
                </w:p>
              </w:tc>
              <w:tc>
                <w:tcPr>
                  <w:tcW w:w="467" w:type="pct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1.0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Pr="00EA7F0D" w:rsidRDefault="00F52BE1" w:rsidP="0083208C">
                  <w:pPr>
                    <w:pStyle w:val="TableBodyText"/>
                    <w:jc w:val="left"/>
                  </w:pPr>
                  <w:r w:rsidRPr="00EA7F0D">
                    <w:t>Commercial Ready Program</w:t>
                  </w:r>
                </w:p>
              </w:tc>
              <w:tc>
                <w:tcPr>
                  <w:tcW w:w="467" w:type="pct"/>
                </w:tcPr>
                <w:p w:rsidR="00F52BE1" w:rsidRPr="0020268E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20268E">
                    <w:t xml:space="preserve">Aquaculture and fishing; Petroleum, coal, chemical and rubber products; Machinery and equipment manufacturing; Construction; Property, professional and administrative services; </w:t>
                  </w:r>
                  <w:r>
                    <w:t xml:space="preserve">and </w:t>
                  </w:r>
                  <w:r w:rsidRPr="0020268E">
                    <w:t>Education and training</w:t>
                  </w:r>
                </w:p>
              </w:tc>
              <w:tc>
                <w:tcPr>
                  <w:tcW w:w="467" w:type="pct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0.8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Pr="00EA7F0D" w:rsidRDefault="00F52BE1" w:rsidP="0083208C">
                  <w:pPr>
                    <w:pStyle w:val="TableBodyText"/>
                    <w:jc w:val="left"/>
                  </w:pPr>
                  <w:r w:rsidRPr="00EA7F0D">
                    <w:t>Northern Australia Beef Industry Strategy Indigenous Pastoral Project</w:t>
                  </w:r>
                </w:p>
              </w:tc>
              <w:tc>
                <w:tcPr>
                  <w:tcW w:w="467" w:type="pct"/>
                </w:tcPr>
                <w:p w:rsidR="00F52BE1" w:rsidRPr="00874716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874716">
                    <w:t>Sheep, beef cattle and grain farming</w:t>
                  </w:r>
                </w:p>
              </w:tc>
              <w:tc>
                <w:tcPr>
                  <w:tcW w:w="467" w:type="pct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0.5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EA7F0D">
                    <w:t>Automotive Market Access Program</w:t>
                  </w:r>
                </w:p>
              </w:tc>
              <w:tc>
                <w:tcPr>
                  <w:tcW w:w="467" w:type="pct"/>
                </w:tcPr>
                <w:p w:rsidR="00F52BE1" w:rsidRPr="00874716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874716">
                    <w:t>Motor vehicle and parts</w:t>
                  </w:r>
                </w:p>
              </w:tc>
              <w:tc>
                <w:tcPr>
                  <w:tcW w:w="467" w:type="pct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0.5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Pr="00984682" w:rsidRDefault="00F52BE1" w:rsidP="00735C1D">
                  <w:pPr>
                    <w:pStyle w:val="TableBodyText"/>
                    <w:jc w:val="left"/>
                  </w:pPr>
                  <w:r w:rsidRPr="00984682">
                    <w:t>Infrastructure bonds scheme</w:t>
                  </w:r>
                </w:p>
              </w:tc>
              <w:tc>
                <w:tcPr>
                  <w:tcW w:w="467" w:type="pct"/>
                </w:tcPr>
                <w:p w:rsidR="00F52BE1" w:rsidRPr="001C0426" w:rsidRDefault="00B45761" w:rsidP="00B45761">
                  <w:pPr>
                    <w:pStyle w:val="TableBodyText"/>
                    <w:jc w:val="center"/>
                  </w:pPr>
                  <w:r>
                    <w:t>TE</w:t>
                  </w:r>
                </w:p>
              </w:tc>
              <w:tc>
                <w:tcPr>
                  <w:tcW w:w="22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1C0426">
                    <w:t xml:space="preserve">Electricity, gas, water and waste services; </w:t>
                  </w:r>
                  <w:r>
                    <w:t xml:space="preserve">and </w:t>
                  </w:r>
                  <w:r w:rsidRPr="001C0426">
                    <w:t>Transport, postal and warehousing</w:t>
                  </w:r>
                </w:p>
              </w:tc>
              <w:tc>
                <w:tcPr>
                  <w:tcW w:w="467" w:type="pct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0.5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Pr="00984682" w:rsidRDefault="00F52BE1" w:rsidP="0083208C">
                  <w:pPr>
                    <w:pStyle w:val="TableBodyText"/>
                    <w:jc w:val="left"/>
                  </w:pPr>
                  <w:r w:rsidRPr="00984682">
                    <w:t>Regional Food Producers' Innovation and Productivity Program</w:t>
                  </w:r>
                </w:p>
              </w:tc>
              <w:tc>
                <w:tcPr>
                  <w:tcW w:w="467" w:type="pct"/>
                </w:tcPr>
                <w:p w:rsidR="00F52BE1" w:rsidRPr="001C0426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1C0426">
                    <w:t>Food, beverages and tobacco</w:t>
                  </w:r>
                </w:p>
              </w:tc>
              <w:tc>
                <w:tcPr>
                  <w:tcW w:w="467" w:type="pct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0.4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Pr="00984682" w:rsidRDefault="00F52BE1" w:rsidP="00911823">
                  <w:pPr>
                    <w:pStyle w:val="TableBodyText"/>
                    <w:jc w:val="left"/>
                  </w:pPr>
                  <w:r w:rsidRPr="00984682">
                    <w:t>COMET Program</w:t>
                  </w:r>
                </w:p>
              </w:tc>
              <w:tc>
                <w:tcPr>
                  <w:tcW w:w="467" w:type="pct"/>
                </w:tcPr>
                <w:p w:rsidR="00F52BE1" w:rsidRPr="001C0426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911823">
                  <w:pPr>
                    <w:pStyle w:val="TableBodyText"/>
                    <w:jc w:val="left"/>
                  </w:pPr>
                  <w:r w:rsidRPr="001C0426">
                    <w:t>Primary production support services; Mining; Petroleum, coal, chemical and rubber products; Motor vehicle and parts; Machinery and equipment manufacturing; Furniture and other manufacturing; Transport, postal and warehousing; Information, media and telecommunications; Property, professional and administrative services; Education and training; and Health care and social assistance</w:t>
                  </w:r>
                </w:p>
              </w:tc>
              <w:tc>
                <w:tcPr>
                  <w:tcW w:w="467" w:type="pct"/>
                </w:tcPr>
                <w:p w:rsidR="00F52BE1" w:rsidRDefault="00F52BE1" w:rsidP="00911823">
                  <w:pPr>
                    <w:pStyle w:val="TableBodyText"/>
                    <w:ind w:right="28"/>
                  </w:pPr>
                  <w:r>
                    <w:t>0.2</w:t>
                  </w:r>
                </w:p>
              </w:tc>
            </w:tr>
            <w:tr w:rsidR="00F52BE1" w:rsidTr="001E3E6F">
              <w:tc>
                <w:tcPr>
                  <w:tcW w:w="18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984682">
                    <w:t>Farm Help</w:t>
                  </w:r>
                </w:p>
              </w:tc>
              <w:tc>
                <w:tcPr>
                  <w:tcW w:w="467" w:type="pct"/>
                </w:tcPr>
                <w:p w:rsidR="00F52BE1" w:rsidRPr="00603D44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</w:tcPr>
                <w:p w:rsidR="00F52BE1" w:rsidRDefault="00F52BE1" w:rsidP="0083208C">
                  <w:pPr>
                    <w:pStyle w:val="TableBodyText"/>
                    <w:jc w:val="left"/>
                  </w:pPr>
                  <w:r w:rsidRPr="00603D44">
                    <w:t>Horticulture and fruit growing; and Unallocated other</w:t>
                  </w:r>
                </w:p>
              </w:tc>
              <w:tc>
                <w:tcPr>
                  <w:tcW w:w="467" w:type="pct"/>
                </w:tcPr>
                <w:p w:rsidR="00F52BE1" w:rsidRDefault="00F52BE1" w:rsidP="0083208C">
                  <w:pPr>
                    <w:pStyle w:val="TableBodyText"/>
                    <w:ind w:right="28"/>
                  </w:pPr>
                  <w:r>
                    <w:t>0.1</w:t>
                  </w:r>
                </w:p>
              </w:tc>
            </w:tr>
            <w:tr w:rsidR="00F52BE1" w:rsidTr="001E3E6F">
              <w:tc>
                <w:tcPr>
                  <w:tcW w:w="1833" w:type="pct"/>
                  <w:tcBorders>
                    <w:bottom w:val="single" w:sz="6" w:space="0" w:color="C8C8C8"/>
                  </w:tcBorders>
                  <w:shd w:val="clear" w:color="auto" w:fill="auto"/>
                </w:tcPr>
                <w:p w:rsidR="00F52BE1" w:rsidRDefault="00F52BE1" w:rsidP="00846637">
                  <w:pPr>
                    <w:pStyle w:val="TableBodyText"/>
                    <w:jc w:val="left"/>
                  </w:pPr>
                  <w:r>
                    <w:t>Interim Income Support</w:t>
                  </w:r>
                </w:p>
              </w:tc>
              <w:tc>
                <w:tcPr>
                  <w:tcW w:w="467" w:type="pct"/>
                  <w:tcBorders>
                    <w:bottom w:val="single" w:sz="6" w:space="0" w:color="C8C8C8"/>
                  </w:tcBorders>
                </w:tcPr>
                <w:p w:rsidR="00F52BE1" w:rsidRPr="00603D44" w:rsidRDefault="00B45761" w:rsidP="00B45761">
                  <w:pPr>
                    <w:pStyle w:val="TableBodyText"/>
                    <w:jc w:val="center"/>
                  </w:pPr>
                  <w:r>
                    <w:t>BO</w:t>
                  </w:r>
                </w:p>
              </w:tc>
              <w:tc>
                <w:tcPr>
                  <w:tcW w:w="2233" w:type="pct"/>
                  <w:tcBorders>
                    <w:bottom w:val="single" w:sz="6" w:space="0" w:color="C8C8C8"/>
                  </w:tcBorders>
                  <w:shd w:val="clear" w:color="auto" w:fill="auto"/>
                </w:tcPr>
                <w:p w:rsidR="00F52BE1" w:rsidRDefault="00F52BE1" w:rsidP="00603D44">
                  <w:pPr>
                    <w:pStyle w:val="TableBodyText"/>
                    <w:jc w:val="left"/>
                  </w:pPr>
                  <w:r w:rsidRPr="00603D44">
                    <w:t>Horticulture and fruit growing; Sheep, beef cattle and grain farming; Other crop growing; Dairy cattle farming; Other livestock farming; Aquaculture and fishing; Primary production support services; Unallocated primary production; and Transport, postal and warehousing</w:t>
                  </w:r>
                </w:p>
              </w:tc>
              <w:tc>
                <w:tcPr>
                  <w:tcW w:w="467" w:type="pct"/>
                  <w:tcBorders>
                    <w:bottom w:val="single" w:sz="6" w:space="0" w:color="C8C8C8"/>
                  </w:tcBorders>
                  <w:shd w:val="clear" w:color="auto" w:fill="auto"/>
                </w:tcPr>
                <w:p w:rsidR="00F52BE1" w:rsidRDefault="00F52BE1" w:rsidP="00846637">
                  <w:pPr>
                    <w:pStyle w:val="TableBodyText"/>
                    <w:ind w:right="28"/>
                  </w:pPr>
                  <w:r>
                    <w:t>&lt;0.1</w:t>
                  </w:r>
                </w:p>
              </w:tc>
            </w:tr>
          </w:tbl>
          <w:p w:rsidR="00E35E32" w:rsidRDefault="00E35E32" w:rsidP="00846637">
            <w:pPr>
              <w:pStyle w:val="Box"/>
            </w:pPr>
          </w:p>
        </w:tc>
      </w:tr>
      <w:tr w:rsidR="001F7D97" w:rsidRPr="001F7D97" w:rsidTr="00603D44">
        <w:trPr>
          <w:cantSplit/>
        </w:trPr>
        <w:tc>
          <w:tcPr>
            <w:tcW w:w="8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7D97" w:rsidRDefault="001F7D97" w:rsidP="003174CF">
            <w:pPr>
              <w:pStyle w:val="Note"/>
              <w:rPr>
                <w:i/>
              </w:rPr>
            </w:pPr>
            <w:proofErr w:type="gramStart"/>
            <w:r w:rsidRPr="008E77FE">
              <w:rPr>
                <w:rStyle w:val="NoteLabel"/>
              </w:rPr>
              <w:t>a</w:t>
            </w:r>
            <w:proofErr w:type="gramEnd"/>
            <w:r>
              <w:t> BO: budgetary assistance. TE: tax expenditures.</w:t>
            </w:r>
          </w:p>
        </w:tc>
      </w:tr>
      <w:tr w:rsidR="00E35E32" w:rsidTr="00603D44">
        <w:trPr>
          <w:cantSplit/>
        </w:trPr>
        <w:tc>
          <w:tcPr>
            <w:tcW w:w="8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E32" w:rsidRDefault="00E35E32" w:rsidP="00603D44">
            <w:pPr>
              <w:pStyle w:val="Source"/>
            </w:pPr>
            <w:r>
              <w:rPr>
                <w:i/>
              </w:rPr>
              <w:t>Source</w:t>
            </w:r>
            <w:r w:rsidRPr="00167F06">
              <w:t xml:space="preserve">: </w:t>
            </w:r>
            <w:r w:rsidR="00603D44">
              <w:t>Commission estimates</w:t>
            </w:r>
            <w:r>
              <w:t>.</w:t>
            </w:r>
          </w:p>
        </w:tc>
      </w:tr>
      <w:tr w:rsidR="00E35E32" w:rsidTr="00603D44">
        <w:trPr>
          <w:cantSplit/>
        </w:trPr>
        <w:tc>
          <w:tcPr>
            <w:tcW w:w="8794" w:type="dxa"/>
            <w:tcBorders>
              <w:top w:val="nil"/>
              <w:left w:val="nil"/>
              <w:bottom w:val="single" w:sz="6" w:space="0" w:color="78A22F" w:themeColor="accent1"/>
              <w:right w:val="nil"/>
            </w:tcBorders>
            <w:shd w:val="clear" w:color="auto" w:fill="auto"/>
          </w:tcPr>
          <w:p w:rsidR="00E35E32" w:rsidRDefault="00E35E32" w:rsidP="00846637">
            <w:pPr>
              <w:pStyle w:val="Box"/>
              <w:spacing w:before="0" w:line="120" w:lineRule="exact"/>
            </w:pPr>
          </w:p>
        </w:tc>
      </w:tr>
      <w:tr w:rsidR="00E35E32" w:rsidRPr="000863A5" w:rsidTr="00603D44">
        <w:tc>
          <w:tcPr>
            <w:tcW w:w="8794" w:type="dxa"/>
            <w:tcBorders>
              <w:top w:val="single" w:sz="6" w:space="0" w:color="78A22F" w:themeColor="accent1"/>
              <w:left w:val="nil"/>
              <w:bottom w:val="nil"/>
              <w:right w:val="nil"/>
            </w:tcBorders>
          </w:tcPr>
          <w:p w:rsidR="00E35E32" w:rsidRPr="00626D32" w:rsidRDefault="00E35E32" w:rsidP="00784A05">
            <w:pPr>
              <w:pStyle w:val="BoxSpaceBelow"/>
            </w:pPr>
          </w:p>
        </w:tc>
      </w:tr>
    </w:tbl>
    <w:p w:rsidR="00666E02" w:rsidRDefault="00666E02" w:rsidP="001E3E6F">
      <w:pPr>
        <w:pStyle w:val="BodyText"/>
      </w:pPr>
    </w:p>
    <w:sectPr w:rsidR="00666E02" w:rsidSect="0007357A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13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9F8" w:rsidRDefault="00F679F8">
      <w:r>
        <w:separator/>
      </w:r>
    </w:p>
  </w:endnote>
  <w:endnote w:type="continuationSeparator" w:id="0">
    <w:p w:rsidR="00F679F8" w:rsidRDefault="00F6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772909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345249">
            <w:rPr>
              <w:rStyle w:val="PageNumber"/>
              <w:caps w:val="0"/>
              <w:noProof/>
            </w:rPr>
            <w:t>14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72909" w:rsidRPr="0013739A" w:rsidRDefault="00772909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0F110D">
            <w:rPr>
              <w:rFonts w:cs="Arial"/>
            </w:rPr>
            <w:t>Trade &amp; Assistance Review 2012-13 Methodological Annex</w:t>
          </w:r>
          <w:r w:rsidRPr="00BA5B14">
            <w:rPr>
              <w:rFonts w:cs="Arial"/>
            </w:rPr>
            <w:fldChar w:fldCharType="end"/>
          </w:r>
          <w:bookmarkStart w:id="4" w:name="DraftReportEven"/>
          <w:bookmarkEnd w:id="4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772909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0F110D">
            <w:rPr>
              <w:rFonts w:cs="Arial"/>
            </w:rPr>
            <w:t>Programs with zero funding</w:t>
          </w:r>
          <w:r w:rsidRPr="00BA5B14">
            <w:rPr>
              <w:rFonts w:cs="Arial"/>
            </w:rPr>
            <w:fldChar w:fldCharType="end"/>
          </w:r>
          <w:bookmarkStart w:id="5" w:name="DraftReportOdd"/>
          <w:bookmarkEnd w:id="5"/>
        </w:p>
      </w:tc>
      <w:tc>
        <w:tcPr>
          <w:tcW w:w="510" w:type="dxa"/>
        </w:tcPr>
        <w:p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345249">
            <w:rPr>
              <w:rStyle w:val="PageNumber"/>
              <w:caps w:val="0"/>
              <w:noProof/>
            </w:rPr>
            <w:t>13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9F8" w:rsidRDefault="00F679F8">
      <w:r>
        <w:separator/>
      </w:r>
    </w:p>
  </w:footnote>
  <w:footnote w:type="continuationSeparator" w:id="0">
    <w:p w:rsidR="00F679F8" w:rsidRDefault="00F67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772909" w:rsidRDefault="00772909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15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6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7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mirrorMargin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Programs with zero funding"/>
    <w:docVar w:name="ShortReportTitle" w:val="Trade &amp; Assistance Review 2012-13 Methodological Annex"/>
  </w:docVars>
  <w:rsids>
    <w:rsidRoot w:val="00F679F8"/>
    <w:rsid w:val="000227D5"/>
    <w:rsid w:val="000245AA"/>
    <w:rsid w:val="0003664B"/>
    <w:rsid w:val="0004111F"/>
    <w:rsid w:val="00055077"/>
    <w:rsid w:val="000565B3"/>
    <w:rsid w:val="0007150B"/>
    <w:rsid w:val="0007357A"/>
    <w:rsid w:val="000938F5"/>
    <w:rsid w:val="00095663"/>
    <w:rsid w:val="00096E55"/>
    <w:rsid w:val="0009783E"/>
    <w:rsid w:val="000B1022"/>
    <w:rsid w:val="000B5E0C"/>
    <w:rsid w:val="000B601B"/>
    <w:rsid w:val="000C207E"/>
    <w:rsid w:val="000D41E9"/>
    <w:rsid w:val="000F0035"/>
    <w:rsid w:val="000F04E7"/>
    <w:rsid w:val="000F060A"/>
    <w:rsid w:val="000F110D"/>
    <w:rsid w:val="000F420B"/>
    <w:rsid w:val="00110116"/>
    <w:rsid w:val="00120072"/>
    <w:rsid w:val="00126EB8"/>
    <w:rsid w:val="001274D4"/>
    <w:rsid w:val="001363AA"/>
    <w:rsid w:val="0013739A"/>
    <w:rsid w:val="00142165"/>
    <w:rsid w:val="00162434"/>
    <w:rsid w:val="00183E82"/>
    <w:rsid w:val="001878BB"/>
    <w:rsid w:val="00191AE0"/>
    <w:rsid w:val="0019293B"/>
    <w:rsid w:val="0019426B"/>
    <w:rsid w:val="001A6A4B"/>
    <w:rsid w:val="001C0426"/>
    <w:rsid w:val="001C0865"/>
    <w:rsid w:val="001C0AED"/>
    <w:rsid w:val="001C3ABA"/>
    <w:rsid w:val="001C5111"/>
    <w:rsid w:val="001E3E6F"/>
    <w:rsid w:val="001E7BE8"/>
    <w:rsid w:val="001F0248"/>
    <w:rsid w:val="001F3EB3"/>
    <w:rsid w:val="001F4F86"/>
    <w:rsid w:val="001F7D97"/>
    <w:rsid w:val="0020268E"/>
    <w:rsid w:val="00202C2C"/>
    <w:rsid w:val="00203050"/>
    <w:rsid w:val="002135AB"/>
    <w:rsid w:val="002144BE"/>
    <w:rsid w:val="00242279"/>
    <w:rsid w:val="00243997"/>
    <w:rsid w:val="0024516C"/>
    <w:rsid w:val="00245C82"/>
    <w:rsid w:val="002724BA"/>
    <w:rsid w:val="0028366F"/>
    <w:rsid w:val="00291B40"/>
    <w:rsid w:val="002B4008"/>
    <w:rsid w:val="002C03CE"/>
    <w:rsid w:val="002C439F"/>
    <w:rsid w:val="002C6CDE"/>
    <w:rsid w:val="002D0C42"/>
    <w:rsid w:val="002D0E8E"/>
    <w:rsid w:val="00301189"/>
    <w:rsid w:val="00301E4A"/>
    <w:rsid w:val="00303284"/>
    <w:rsid w:val="003168B8"/>
    <w:rsid w:val="00322D64"/>
    <w:rsid w:val="00323E09"/>
    <w:rsid w:val="00333932"/>
    <w:rsid w:val="00345249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77EC1"/>
    <w:rsid w:val="00380340"/>
    <w:rsid w:val="003919F9"/>
    <w:rsid w:val="003920CF"/>
    <w:rsid w:val="003B23C2"/>
    <w:rsid w:val="003C38B5"/>
    <w:rsid w:val="003C5D99"/>
    <w:rsid w:val="003D1087"/>
    <w:rsid w:val="003E2F59"/>
    <w:rsid w:val="003E746B"/>
    <w:rsid w:val="003F0789"/>
    <w:rsid w:val="00401882"/>
    <w:rsid w:val="004100C8"/>
    <w:rsid w:val="00411DBD"/>
    <w:rsid w:val="00412ACE"/>
    <w:rsid w:val="004145D2"/>
    <w:rsid w:val="00426CB4"/>
    <w:rsid w:val="00431249"/>
    <w:rsid w:val="00434C19"/>
    <w:rsid w:val="0044774E"/>
    <w:rsid w:val="00447C5E"/>
    <w:rsid w:val="00450810"/>
    <w:rsid w:val="00453DB9"/>
    <w:rsid w:val="00462C59"/>
    <w:rsid w:val="00470737"/>
    <w:rsid w:val="00477144"/>
    <w:rsid w:val="00491380"/>
    <w:rsid w:val="0049459F"/>
    <w:rsid w:val="004A38DD"/>
    <w:rsid w:val="004A4FB0"/>
    <w:rsid w:val="004B11B0"/>
    <w:rsid w:val="004B43AE"/>
    <w:rsid w:val="004C30ED"/>
    <w:rsid w:val="004D5675"/>
    <w:rsid w:val="00517795"/>
    <w:rsid w:val="00523639"/>
    <w:rsid w:val="00531FE5"/>
    <w:rsid w:val="005402FA"/>
    <w:rsid w:val="005729BD"/>
    <w:rsid w:val="00580154"/>
    <w:rsid w:val="00583C39"/>
    <w:rsid w:val="00586A90"/>
    <w:rsid w:val="00587F28"/>
    <w:rsid w:val="005909CF"/>
    <w:rsid w:val="00591E71"/>
    <w:rsid w:val="005A0D41"/>
    <w:rsid w:val="005D329F"/>
    <w:rsid w:val="005D6E69"/>
    <w:rsid w:val="005F48ED"/>
    <w:rsid w:val="00603D44"/>
    <w:rsid w:val="00606E78"/>
    <w:rsid w:val="00607BF1"/>
    <w:rsid w:val="00630D4D"/>
    <w:rsid w:val="00631544"/>
    <w:rsid w:val="00632A74"/>
    <w:rsid w:val="00654D42"/>
    <w:rsid w:val="00666E02"/>
    <w:rsid w:val="006A4655"/>
    <w:rsid w:val="006B2B3C"/>
    <w:rsid w:val="006C1D81"/>
    <w:rsid w:val="006C7038"/>
    <w:rsid w:val="006E73EF"/>
    <w:rsid w:val="00704889"/>
    <w:rsid w:val="007079C9"/>
    <w:rsid w:val="00714D4D"/>
    <w:rsid w:val="007266D3"/>
    <w:rsid w:val="00732029"/>
    <w:rsid w:val="00734C1F"/>
    <w:rsid w:val="00735C1D"/>
    <w:rsid w:val="007604BB"/>
    <w:rsid w:val="00772909"/>
    <w:rsid w:val="00785232"/>
    <w:rsid w:val="0079701E"/>
    <w:rsid w:val="007A21EB"/>
    <w:rsid w:val="007B1A93"/>
    <w:rsid w:val="007C13DE"/>
    <w:rsid w:val="007C36C9"/>
    <w:rsid w:val="007D6401"/>
    <w:rsid w:val="007E01E4"/>
    <w:rsid w:val="007E7A12"/>
    <w:rsid w:val="007F7107"/>
    <w:rsid w:val="00800D4C"/>
    <w:rsid w:val="0080595C"/>
    <w:rsid w:val="0081030F"/>
    <w:rsid w:val="00812F4A"/>
    <w:rsid w:val="00813ABF"/>
    <w:rsid w:val="0082087D"/>
    <w:rsid w:val="00835771"/>
    <w:rsid w:val="00842933"/>
    <w:rsid w:val="0086082C"/>
    <w:rsid w:val="00864ADC"/>
    <w:rsid w:val="00874716"/>
    <w:rsid w:val="00880153"/>
    <w:rsid w:val="00880F97"/>
    <w:rsid w:val="0088133A"/>
    <w:rsid w:val="0089285E"/>
    <w:rsid w:val="0089436C"/>
    <w:rsid w:val="008D365C"/>
    <w:rsid w:val="008D7622"/>
    <w:rsid w:val="009021A6"/>
    <w:rsid w:val="009030BF"/>
    <w:rsid w:val="00903B52"/>
    <w:rsid w:val="0091032F"/>
    <w:rsid w:val="00911823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CD3"/>
    <w:rsid w:val="00980BF7"/>
    <w:rsid w:val="00990C2C"/>
    <w:rsid w:val="009A5171"/>
    <w:rsid w:val="009E1844"/>
    <w:rsid w:val="009F0D1B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7781"/>
    <w:rsid w:val="00A761F9"/>
    <w:rsid w:val="00A7667D"/>
    <w:rsid w:val="00A92B53"/>
    <w:rsid w:val="00A94FA6"/>
    <w:rsid w:val="00AA49A0"/>
    <w:rsid w:val="00AA6710"/>
    <w:rsid w:val="00AB0681"/>
    <w:rsid w:val="00AC3A15"/>
    <w:rsid w:val="00AD520B"/>
    <w:rsid w:val="00AE3BCC"/>
    <w:rsid w:val="00B162CF"/>
    <w:rsid w:val="00B33DE1"/>
    <w:rsid w:val="00B425C3"/>
    <w:rsid w:val="00B440AD"/>
    <w:rsid w:val="00B451AA"/>
    <w:rsid w:val="00B45761"/>
    <w:rsid w:val="00B479BB"/>
    <w:rsid w:val="00B53E7E"/>
    <w:rsid w:val="00B6342E"/>
    <w:rsid w:val="00B7113F"/>
    <w:rsid w:val="00B773B5"/>
    <w:rsid w:val="00BA2BCF"/>
    <w:rsid w:val="00BA3EBA"/>
    <w:rsid w:val="00BA5B14"/>
    <w:rsid w:val="00BA73B6"/>
    <w:rsid w:val="00BA7E27"/>
    <w:rsid w:val="00BB2603"/>
    <w:rsid w:val="00BB4FCD"/>
    <w:rsid w:val="00BC04E9"/>
    <w:rsid w:val="00BD13EA"/>
    <w:rsid w:val="00BE3808"/>
    <w:rsid w:val="00C03B88"/>
    <w:rsid w:val="00C062E9"/>
    <w:rsid w:val="00C07B64"/>
    <w:rsid w:val="00C13721"/>
    <w:rsid w:val="00C14FE4"/>
    <w:rsid w:val="00C3066D"/>
    <w:rsid w:val="00C3100C"/>
    <w:rsid w:val="00C52416"/>
    <w:rsid w:val="00C543F4"/>
    <w:rsid w:val="00C6291C"/>
    <w:rsid w:val="00C633CB"/>
    <w:rsid w:val="00C664CD"/>
    <w:rsid w:val="00C736B7"/>
    <w:rsid w:val="00C81D4A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F3B11"/>
    <w:rsid w:val="00D270A4"/>
    <w:rsid w:val="00D31FE9"/>
    <w:rsid w:val="00D34E1B"/>
    <w:rsid w:val="00D376BA"/>
    <w:rsid w:val="00D434A0"/>
    <w:rsid w:val="00D45634"/>
    <w:rsid w:val="00D5568A"/>
    <w:rsid w:val="00D635FC"/>
    <w:rsid w:val="00D63D73"/>
    <w:rsid w:val="00D64452"/>
    <w:rsid w:val="00D66E1E"/>
    <w:rsid w:val="00D70696"/>
    <w:rsid w:val="00D75722"/>
    <w:rsid w:val="00D80CF5"/>
    <w:rsid w:val="00DA5BBA"/>
    <w:rsid w:val="00DB26D2"/>
    <w:rsid w:val="00DB67C9"/>
    <w:rsid w:val="00DC0C95"/>
    <w:rsid w:val="00DC4F0B"/>
    <w:rsid w:val="00DD6580"/>
    <w:rsid w:val="00DE281E"/>
    <w:rsid w:val="00E01D7F"/>
    <w:rsid w:val="00E05C03"/>
    <w:rsid w:val="00E12790"/>
    <w:rsid w:val="00E17C72"/>
    <w:rsid w:val="00E21FC6"/>
    <w:rsid w:val="00E35E32"/>
    <w:rsid w:val="00E431A9"/>
    <w:rsid w:val="00E66449"/>
    <w:rsid w:val="00E669E2"/>
    <w:rsid w:val="00E7605E"/>
    <w:rsid w:val="00E76135"/>
    <w:rsid w:val="00E765DA"/>
    <w:rsid w:val="00E82F4F"/>
    <w:rsid w:val="00E864DF"/>
    <w:rsid w:val="00EB2CC3"/>
    <w:rsid w:val="00EC2844"/>
    <w:rsid w:val="00EC5500"/>
    <w:rsid w:val="00ED18F8"/>
    <w:rsid w:val="00EE6EDA"/>
    <w:rsid w:val="00EE778E"/>
    <w:rsid w:val="00EF6719"/>
    <w:rsid w:val="00EF6C6C"/>
    <w:rsid w:val="00F056FC"/>
    <w:rsid w:val="00F0632F"/>
    <w:rsid w:val="00F069AE"/>
    <w:rsid w:val="00F10476"/>
    <w:rsid w:val="00F135D8"/>
    <w:rsid w:val="00F31299"/>
    <w:rsid w:val="00F3534A"/>
    <w:rsid w:val="00F35BFB"/>
    <w:rsid w:val="00F36ACC"/>
    <w:rsid w:val="00F51609"/>
    <w:rsid w:val="00F52BE1"/>
    <w:rsid w:val="00F55C25"/>
    <w:rsid w:val="00F679F8"/>
    <w:rsid w:val="00F73727"/>
    <w:rsid w:val="00F766A7"/>
    <w:rsid w:val="00F81006"/>
    <w:rsid w:val="00F85325"/>
    <w:rsid w:val="00FC133E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11823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911823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885D8-8C5C-4D8C-AD3B-71E4EAEB9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308</TotalTime>
  <Pages>2</Pages>
  <Words>570</Words>
  <Characters>3748</Characters>
  <Application>Microsoft Office Word</Application>
  <DocSecurity>0</DocSecurity>
  <Lines>93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Programs with zero funding</vt:lpstr>
    </vt:vector>
  </TitlesOfParts>
  <Company>Productivity Commission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Programs with zero funding</dc:title>
  <dc:subject>Trade &amp; Assistance Review 2012-13 Methodological Annex</dc:subject>
  <dc:creator>Productivity Commission</dc:creator>
  <cp:keywords/>
  <dc:description>3.</dc:description>
  <cp:lastModifiedBy>Mark Pimperl</cp:lastModifiedBy>
  <cp:revision>45</cp:revision>
  <cp:lastPrinted>2014-10-20T04:18:00Z</cp:lastPrinted>
  <dcterms:created xsi:type="dcterms:W3CDTF">2014-08-19T02:44:00Z</dcterms:created>
  <dcterms:modified xsi:type="dcterms:W3CDTF">2014-10-22T23:49:00Z</dcterms:modified>
</cp:coreProperties>
</file>