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781C96" w:rsidP="00781C96">
      <w:pPr>
        <w:pStyle w:val="Heading1"/>
        <w:spacing w:before="0"/>
      </w:pPr>
      <w:bookmarkStart w:id="0" w:name="ChapterNumber"/>
      <w:bookmarkStart w:id="1" w:name="_GoBack"/>
      <w:bookmarkEnd w:id="1"/>
      <w:r>
        <w:t>2</w:t>
      </w:r>
      <w:bookmarkEnd w:id="0"/>
      <w:r>
        <w:tab/>
      </w:r>
      <w:bookmarkStart w:id="2" w:name="ChapterTitle"/>
      <w:r>
        <w:t>New programs</w:t>
      </w:r>
      <w:bookmarkEnd w:id="2"/>
    </w:p>
    <w:p w:rsidR="00666E02" w:rsidRDefault="00781C96" w:rsidP="00120072">
      <w:pPr>
        <w:pStyle w:val="BodyText"/>
      </w:pPr>
      <w:bookmarkStart w:id="3" w:name="begin"/>
      <w:bookmarkEnd w:id="3"/>
      <w:r w:rsidRPr="00781C96">
        <w:t xml:space="preserve">This chapter presents an overview of the new programs added to the Commission’s </w:t>
      </w:r>
      <w:r w:rsidRPr="00781C96">
        <w:rPr>
          <w:i/>
        </w:rPr>
        <w:t>Trade &amp; Assistance Review 2012</w:t>
      </w:r>
      <w:r>
        <w:rPr>
          <w:i/>
        </w:rPr>
        <w:noBreakHyphen/>
      </w:r>
      <w:r w:rsidRPr="00781C96">
        <w:rPr>
          <w:i/>
        </w:rPr>
        <w:t>13</w:t>
      </w:r>
      <w:r w:rsidRPr="00781C96">
        <w:t xml:space="preserve">. These programs are ordered according to the department responsible for each program. </w:t>
      </w:r>
      <w:r w:rsidR="0031486E" w:rsidRPr="00781C96">
        <w:t>Table</w:t>
      </w:r>
      <w:r w:rsidR="0031486E">
        <w:t> 2.1</w:t>
      </w:r>
      <w:r w:rsidRPr="00781C96">
        <w:t xml:space="preserve"> sets out the newly included measures in th</w:t>
      </w:r>
      <w:r w:rsidR="00002192">
        <w:t>e</w:t>
      </w:r>
      <w:r w:rsidRPr="00781C96">
        <w:t xml:space="preserve"> Review.</w:t>
      </w:r>
      <w:r>
        <w:t xml:space="preserve"> </w:t>
      </w:r>
    </w:p>
    <w:p w:rsidR="00781C96" w:rsidRDefault="00781C96" w:rsidP="00781C96">
      <w:pPr>
        <w:pStyle w:val="Heading3"/>
      </w:pPr>
      <w:r>
        <w:t>Australian wine industry support</w:t>
      </w:r>
    </w:p>
    <w:p w:rsidR="00781C96" w:rsidRDefault="00781C96" w:rsidP="00781C96">
      <w:pPr>
        <w:pStyle w:val="BodyText"/>
      </w:pPr>
      <w:r>
        <w:t>In the 2012</w:t>
      </w:r>
      <w:r>
        <w:noBreakHyphen/>
        <w:t xml:space="preserve">13 </w:t>
      </w:r>
      <w:r w:rsidR="00E12D29">
        <w:t>federal b</w:t>
      </w:r>
      <w:r>
        <w:t xml:space="preserve">udget, the Australian Government announced it would provide Wine Australia with new funding of $2.1 million over two years to assist with marketing Australian wine (DAFF 2013, p. 56). </w:t>
      </w:r>
    </w:p>
    <w:p w:rsidR="00781C96" w:rsidRDefault="00781C96" w:rsidP="00781C96">
      <w:pPr>
        <w:pStyle w:val="BodyText"/>
      </w:pPr>
      <w:r>
        <w:t>The value of administered expenses for 2012</w:t>
      </w:r>
      <w:r>
        <w:noBreakHyphen/>
        <w:t xml:space="preserve">13 is $1.1 million (DAFF 2013, p. 152). </w:t>
      </w:r>
    </w:p>
    <w:p w:rsidR="00781C96" w:rsidRDefault="00781C96" w:rsidP="00781C96">
      <w:pPr>
        <w:pStyle w:val="BodyText"/>
      </w:pPr>
      <w:r>
        <w:t xml:space="preserve">The program is assessed as initially benefiting firms engaged in grape growing and wine producing and has been allocated </w:t>
      </w:r>
      <w:r w:rsidR="00682A2F">
        <w:t xml:space="preserve">equally </w:t>
      </w:r>
      <w:r>
        <w:t xml:space="preserve">to the </w:t>
      </w:r>
      <w:r w:rsidRPr="00781C96">
        <w:rPr>
          <w:i/>
        </w:rPr>
        <w:t>horticulture and fruit growing</w:t>
      </w:r>
      <w:r>
        <w:t xml:space="preserve"> and </w:t>
      </w:r>
      <w:r w:rsidRPr="00781C96">
        <w:rPr>
          <w:i/>
        </w:rPr>
        <w:t>food, beverages and tobacco</w:t>
      </w:r>
      <w:r>
        <w:t xml:space="preserve"> industry groups. </w:t>
      </w:r>
    </w:p>
    <w:p w:rsidR="00781C96" w:rsidRDefault="00BB1962" w:rsidP="00BB1962">
      <w:pPr>
        <w:pStyle w:val="Heading3"/>
      </w:pPr>
      <w:r>
        <w:t>Wine Australia Corporation</w:t>
      </w:r>
    </w:p>
    <w:p w:rsidR="00B31EA7" w:rsidRDefault="008B4EF0" w:rsidP="00B31EA7">
      <w:pPr>
        <w:pStyle w:val="BodyText"/>
      </w:pPr>
      <w:r>
        <w:t xml:space="preserve">The Wine Australia Corporation is the peak body representing the interests of the Australian wine industry. The Corporation’s stated primary objective is to enhance the operating environment for the benefit of the Australian wine </w:t>
      </w:r>
      <w:r w:rsidR="00B31EA7">
        <w:t xml:space="preserve">and grape </w:t>
      </w:r>
      <w:r>
        <w:t>industry by providing the leading role in: market development; knowledge development; compliance; and trade</w:t>
      </w:r>
      <w:r w:rsidR="00B31EA7">
        <w:t xml:space="preserve"> of grape products</w:t>
      </w:r>
      <w:r>
        <w:t xml:space="preserve"> (DAFF</w:t>
      </w:r>
      <w:r w:rsidR="00FD23C1">
        <w:t> </w:t>
      </w:r>
      <w:r>
        <w:t xml:space="preserve">2013). </w:t>
      </w:r>
      <w:r w:rsidR="00B31EA7" w:rsidRPr="008B4EF0">
        <w:t>On 1</w:t>
      </w:r>
      <w:r w:rsidR="00B31EA7">
        <w:t> </w:t>
      </w:r>
      <w:r w:rsidR="00B31EA7" w:rsidRPr="008B4EF0">
        <w:t>July 2014, Wine Australia Corporation and the Grape and Wine Research and Development Corporation were merged to form the Australian Grape and Wine Authority.</w:t>
      </w:r>
      <w:r w:rsidR="00B31EA7">
        <w:t xml:space="preserve"> </w:t>
      </w:r>
    </w:p>
    <w:p w:rsidR="008B4EF0" w:rsidRDefault="008B4EF0" w:rsidP="008B4EF0">
      <w:pPr>
        <w:pStyle w:val="BodyText"/>
      </w:pPr>
      <w:r>
        <w:t>The value of administered expenses for 2012</w:t>
      </w:r>
      <w:r w:rsidR="00682A2F">
        <w:noBreakHyphen/>
      </w:r>
      <w:r>
        <w:t>13 is $5.4</w:t>
      </w:r>
      <w:r w:rsidR="00682A2F">
        <w:t> </w:t>
      </w:r>
      <w:r>
        <w:t>million (DAFF</w:t>
      </w:r>
      <w:r w:rsidR="00682A2F">
        <w:t> </w:t>
      </w:r>
      <w:r>
        <w:t>2013, p.</w:t>
      </w:r>
      <w:r w:rsidR="00682A2F">
        <w:t> </w:t>
      </w:r>
      <w:r>
        <w:t xml:space="preserve">146). </w:t>
      </w:r>
    </w:p>
    <w:p w:rsidR="00781C96" w:rsidRDefault="008B4EF0" w:rsidP="008B4EF0">
      <w:pPr>
        <w:pStyle w:val="BodyText"/>
      </w:pPr>
      <w:r>
        <w:t xml:space="preserve">The program is assessed as initially benefiting firms engaged in </w:t>
      </w:r>
      <w:r w:rsidR="00B31EA7">
        <w:t xml:space="preserve">wine producing and </w:t>
      </w:r>
      <w:r>
        <w:t>grape growing and has been allocated equal</w:t>
      </w:r>
      <w:r w:rsidR="00682A2F">
        <w:t>ly</w:t>
      </w:r>
      <w:r>
        <w:t xml:space="preserve"> to the </w:t>
      </w:r>
      <w:r w:rsidRPr="00682A2F">
        <w:rPr>
          <w:i/>
        </w:rPr>
        <w:t>horticulture and fruit growing</w:t>
      </w:r>
      <w:r>
        <w:t xml:space="preserve"> and </w:t>
      </w:r>
      <w:r w:rsidRPr="00682A2F">
        <w:rPr>
          <w:i/>
        </w:rPr>
        <w:t>food, beverages and tobacco</w:t>
      </w:r>
      <w:r>
        <w:t xml:space="preserve"> industry groups. </w:t>
      </w:r>
    </w:p>
    <w:p w:rsidR="00BB1962" w:rsidRDefault="00BB1962"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91"/>
      </w:tblGrid>
      <w:tr w:rsidR="00BB1962" w:rsidTr="00F95957">
        <w:tc>
          <w:tcPr>
            <w:tcW w:w="8771" w:type="dxa"/>
            <w:tcBorders>
              <w:top w:val="single" w:sz="6" w:space="0" w:color="78A22F" w:themeColor="accent1"/>
              <w:left w:val="nil"/>
              <w:bottom w:val="nil"/>
              <w:right w:val="nil"/>
            </w:tcBorders>
            <w:shd w:val="clear" w:color="auto" w:fill="auto"/>
          </w:tcPr>
          <w:p w:rsidR="00BB1962" w:rsidRPr="00784A05" w:rsidRDefault="00BB1962" w:rsidP="00BB1962">
            <w:pPr>
              <w:pStyle w:val="TableTitle"/>
            </w:pPr>
            <w:r>
              <w:rPr>
                <w:b w:val="0"/>
              </w:rPr>
              <w:t xml:space="preserve">Table </w:t>
            </w:r>
            <w:bookmarkStart w:id="4" w:name="OLE_LINK1"/>
            <w:r w:rsidR="00131E7F">
              <w:rPr>
                <w:b w:val="0"/>
              </w:rPr>
              <w:t>2.</w:t>
            </w:r>
            <w:r w:rsidR="00FA47F0">
              <w:rPr>
                <w:b w:val="0"/>
                <w:noProof/>
              </w:rPr>
              <w:t>1</w:t>
            </w:r>
            <w:bookmarkEnd w:id="4"/>
            <w:r>
              <w:tab/>
              <w:t xml:space="preserve">New budgetary assistance measures for </w:t>
            </w:r>
            <w:r>
              <w:br/>
            </w:r>
            <w:r w:rsidRPr="00BB1962">
              <w:rPr>
                <w:i/>
              </w:rPr>
              <w:t>Trade &amp; Assistance Review 2012</w:t>
            </w:r>
            <w:r w:rsidRPr="00BB1962">
              <w:rPr>
                <w:i/>
              </w:rPr>
              <w:noBreakHyphen/>
              <w:t>13</w:t>
            </w:r>
          </w:p>
        </w:tc>
      </w:tr>
      <w:tr w:rsidR="00BB1962" w:rsidTr="00F95957">
        <w:trPr>
          <w:cantSplit/>
        </w:trPr>
        <w:tc>
          <w:tcPr>
            <w:tcW w:w="8771" w:type="dxa"/>
            <w:tcBorders>
              <w:top w:val="nil"/>
              <w:left w:val="nil"/>
              <w:bottom w:val="nil"/>
              <w:right w:val="nil"/>
            </w:tcBorders>
            <w:shd w:val="clear" w:color="auto" w:fill="auto"/>
          </w:tcPr>
          <w:tbl>
            <w:tblPr>
              <w:tblW w:w="8507" w:type="dxa"/>
              <w:tblCellMar>
                <w:top w:w="28" w:type="dxa"/>
                <w:left w:w="0" w:type="dxa"/>
                <w:right w:w="0" w:type="dxa"/>
              </w:tblCellMar>
              <w:tblLook w:val="0000" w:firstRow="0" w:lastRow="0" w:firstColumn="0" w:lastColumn="0" w:noHBand="0" w:noVBand="0"/>
            </w:tblPr>
            <w:tblGrid>
              <w:gridCol w:w="3403"/>
              <w:gridCol w:w="852"/>
              <w:gridCol w:w="3401"/>
              <w:gridCol w:w="851"/>
            </w:tblGrid>
            <w:tr w:rsidR="005F6624" w:rsidTr="005F6624">
              <w:tc>
                <w:tcPr>
                  <w:tcW w:w="2000" w:type="pct"/>
                  <w:tcBorders>
                    <w:top w:val="single" w:sz="6" w:space="0" w:color="BFBFBF" w:themeColor="background2"/>
                    <w:bottom w:val="single" w:sz="6" w:space="0" w:color="BFBFBF" w:themeColor="background2"/>
                  </w:tcBorders>
                  <w:shd w:val="clear" w:color="auto" w:fill="auto"/>
                  <w:tcMar>
                    <w:top w:w="28" w:type="dxa"/>
                  </w:tcMar>
                  <w:vAlign w:val="bottom"/>
                </w:tcPr>
                <w:p w:rsidR="00711DFE" w:rsidRDefault="00711DFE" w:rsidP="00711DFE">
                  <w:pPr>
                    <w:pStyle w:val="TableColumnHeading"/>
                    <w:jc w:val="left"/>
                  </w:pPr>
                  <w:r>
                    <w:t>Program</w:t>
                  </w:r>
                </w:p>
              </w:tc>
              <w:tc>
                <w:tcPr>
                  <w:tcW w:w="501" w:type="pct"/>
                  <w:tcBorders>
                    <w:top w:val="single" w:sz="6" w:space="0" w:color="BFBFBF" w:themeColor="background2"/>
                    <w:bottom w:val="single" w:sz="6" w:space="0" w:color="BFBFBF" w:themeColor="background2"/>
                  </w:tcBorders>
                  <w:vAlign w:val="bottom"/>
                </w:tcPr>
                <w:p w:rsidR="00711DFE" w:rsidRDefault="00711DFE" w:rsidP="004266EE">
                  <w:pPr>
                    <w:pStyle w:val="TableColumnHeading"/>
                    <w:jc w:val="center"/>
                  </w:pPr>
                  <w:r>
                    <w:t>Form</w:t>
                  </w:r>
                  <w:r w:rsidRPr="00711DFE">
                    <w:rPr>
                      <w:rStyle w:val="NoteLabel"/>
                    </w:rPr>
                    <w:t>a</w:t>
                  </w:r>
                </w:p>
              </w:tc>
              <w:tc>
                <w:tcPr>
                  <w:tcW w:w="1999" w:type="pct"/>
                  <w:tcBorders>
                    <w:top w:val="single" w:sz="6" w:space="0" w:color="BFBFBF" w:themeColor="background2"/>
                    <w:bottom w:val="single" w:sz="6" w:space="0" w:color="BFBFBF" w:themeColor="background2"/>
                  </w:tcBorders>
                  <w:vAlign w:val="bottom"/>
                </w:tcPr>
                <w:p w:rsidR="00711DFE" w:rsidRDefault="00711DFE" w:rsidP="00711DFE">
                  <w:pPr>
                    <w:pStyle w:val="TableColumnHeading"/>
                    <w:jc w:val="left"/>
                  </w:pPr>
                  <w:r>
                    <w:t>Industry allocation</w:t>
                  </w:r>
                </w:p>
              </w:tc>
              <w:tc>
                <w:tcPr>
                  <w:tcW w:w="501" w:type="pct"/>
                  <w:tcBorders>
                    <w:top w:val="single" w:sz="6" w:space="0" w:color="BFBFBF" w:themeColor="background2"/>
                    <w:bottom w:val="single" w:sz="6" w:space="0" w:color="BFBFBF" w:themeColor="background2"/>
                  </w:tcBorders>
                  <w:shd w:val="clear" w:color="auto" w:fill="auto"/>
                  <w:tcMar>
                    <w:top w:w="28" w:type="dxa"/>
                  </w:tcMar>
                  <w:vAlign w:val="bottom"/>
                </w:tcPr>
                <w:p w:rsidR="00711DFE" w:rsidRDefault="00711DFE" w:rsidP="00207E7D">
                  <w:pPr>
                    <w:pStyle w:val="TableColumnHeading"/>
                    <w:ind w:right="28"/>
                  </w:pPr>
                  <w:r>
                    <w:t>Funding 2012</w:t>
                  </w:r>
                  <w:r>
                    <w:noBreakHyphen/>
                    <w:t>13</w:t>
                  </w:r>
                </w:p>
              </w:tc>
            </w:tr>
            <w:tr w:rsidR="00207E7D" w:rsidTr="005F6624">
              <w:tc>
                <w:tcPr>
                  <w:tcW w:w="2000" w:type="pct"/>
                </w:tcPr>
                <w:p w:rsidR="00207E7D" w:rsidRDefault="00207E7D" w:rsidP="00207E7D">
                  <w:pPr>
                    <w:pStyle w:val="TableUnitsRow"/>
                  </w:pPr>
                </w:p>
              </w:tc>
              <w:tc>
                <w:tcPr>
                  <w:tcW w:w="501" w:type="pct"/>
                </w:tcPr>
                <w:p w:rsidR="00207E7D" w:rsidRDefault="00207E7D" w:rsidP="00207E7D">
                  <w:pPr>
                    <w:pStyle w:val="TableUnitsRow"/>
                  </w:pPr>
                </w:p>
              </w:tc>
              <w:tc>
                <w:tcPr>
                  <w:tcW w:w="1999" w:type="pct"/>
                </w:tcPr>
                <w:p w:rsidR="00207E7D" w:rsidRDefault="00207E7D" w:rsidP="00207E7D">
                  <w:pPr>
                    <w:pStyle w:val="TableUnitsRow"/>
                  </w:pPr>
                </w:p>
              </w:tc>
              <w:tc>
                <w:tcPr>
                  <w:tcW w:w="501" w:type="pct"/>
                </w:tcPr>
                <w:p w:rsidR="00207E7D" w:rsidRPr="00207E7D" w:rsidRDefault="00207E7D" w:rsidP="00207E7D">
                  <w:pPr>
                    <w:pStyle w:val="TableUnitsRow"/>
                    <w:rPr>
                      <w:i/>
                    </w:rPr>
                  </w:pPr>
                  <w:r w:rsidRPr="00207E7D">
                    <w:rPr>
                      <w:i/>
                    </w:rPr>
                    <w:t>$m</w:t>
                  </w:r>
                </w:p>
              </w:tc>
            </w:tr>
            <w:tr w:rsidR="005F6624" w:rsidTr="005F6624">
              <w:tc>
                <w:tcPr>
                  <w:tcW w:w="2000" w:type="pct"/>
                </w:tcPr>
                <w:p w:rsidR="00711DFE" w:rsidRDefault="00711DFE" w:rsidP="005F6624">
                  <w:pPr>
                    <w:pStyle w:val="TableBodyText"/>
                    <w:spacing w:before="80"/>
                    <w:jc w:val="left"/>
                  </w:pPr>
                  <w:r>
                    <w:t>Australian Wine Industry support</w:t>
                  </w:r>
                </w:p>
              </w:tc>
              <w:tc>
                <w:tcPr>
                  <w:tcW w:w="501" w:type="pct"/>
                </w:tcPr>
                <w:p w:rsidR="00711DFE" w:rsidRDefault="00711DFE" w:rsidP="005F6624">
                  <w:pPr>
                    <w:pStyle w:val="TableBodyText"/>
                    <w:spacing w:before="80"/>
                    <w:jc w:val="center"/>
                  </w:pPr>
                  <w:r>
                    <w:t>BO</w:t>
                  </w:r>
                </w:p>
              </w:tc>
              <w:tc>
                <w:tcPr>
                  <w:tcW w:w="1999" w:type="pct"/>
                </w:tcPr>
                <w:p w:rsidR="00711DFE" w:rsidRDefault="00711DFE" w:rsidP="005F6624">
                  <w:pPr>
                    <w:pStyle w:val="TableBodyText"/>
                    <w:spacing w:before="80"/>
                    <w:jc w:val="left"/>
                  </w:pPr>
                  <w:r>
                    <w:t>Horticulture and fruit growing; and Food, beverages and tobacco</w:t>
                  </w:r>
                </w:p>
              </w:tc>
              <w:tc>
                <w:tcPr>
                  <w:tcW w:w="501" w:type="pct"/>
                </w:tcPr>
                <w:p w:rsidR="00711DFE" w:rsidRDefault="0011158B" w:rsidP="005F6624">
                  <w:pPr>
                    <w:pStyle w:val="TableBodyText"/>
                    <w:spacing w:before="80"/>
                    <w:ind w:right="28"/>
                  </w:pPr>
                  <w:r>
                    <w:t>1.1</w:t>
                  </w:r>
                </w:p>
              </w:tc>
            </w:tr>
            <w:tr w:rsidR="00AD6743" w:rsidTr="005F6624">
              <w:tc>
                <w:tcPr>
                  <w:tcW w:w="2000" w:type="pct"/>
                </w:tcPr>
                <w:p w:rsidR="00AD6743" w:rsidRPr="00CF653A" w:rsidRDefault="00AD6743" w:rsidP="004266EE">
                  <w:pPr>
                    <w:pStyle w:val="TableBodyText"/>
                    <w:jc w:val="left"/>
                  </w:pPr>
                  <w:r>
                    <w:t>Wine Australia Corporation</w:t>
                  </w:r>
                </w:p>
              </w:tc>
              <w:tc>
                <w:tcPr>
                  <w:tcW w:w="501" w:type="pct"/>
                </w:tcPr>
                <w:p w:rsidR="00AD6743" w:rsidRPr="00CF653A" w:rsidRDefault="00AD6743" w:rsidP="004266EE">
                  <w:pPr>
                    <w:pStyle w:val="TableBodyText"/>
                    <w:jc w:val="center"/>
                  </w:pPr>
                  <w:r>
                    <w:t>BO</w:t>
                  </w:r>
                </w:p>
              </w:tc>
              <w:tc>
                <w:tcPr>
                  <w:tcW w:w="1999" w:type="pct"/>
                </w:tcPr>
                <w:p w:rsidR="00AD6743" w:rsidRPr="00CF653A" w:rsidRDefault="00AD6743" w:rsidP="004266EE">
                  <w:pPr>
                    <w:pStyle w:val="TableBodyText"/>
                    <w:jc w:val="left"/>
                  </w:pPr>
                  <w:r>
                    <w:t>Horticulture and fruit growing; and Food, beverages and tobacco</w:t>
                  </w:r>
                </w:p>
              </w:tc>
              <w:tc>
                <w:tcPr>
                  <w:tcW w:w="501" w:type="pct"/>
                </w:tcPr>
                <w:p w:rsidR="00AD6743" w:rsidRPr="00CF653A" w:rsidRDefault="00AD6743" w:rsidP="004266EE">
                  <w:pPr>
                    <w:pStyle w:val="TableBodyText"/>
                    <w:ind w:right="28"/>
                  </w:pPr>
                  <w:r>
                    <w:t>5.4</w:t>
                  </w:r>
                </w:p>
              </w:tc>
            </w:tr>
            <w:tr w:rsidR="005F6624" w:rsidTr="005F6624">
              <w:tc>
                <w:tcPr>
                  <w:tcW w:w="2000" w:type="pct"/>
                </w:tcPr>
                <w:p w:rsidR="004266EE" w:rsidRPr="00CF653A" w:rsidRDefault="004266EE" w:rsidP="004266EE">
                  <w:pPr>
                    <w:pStyle w:val="TableBodyText"/>
                    <w:jc w:val="left"/>
                  </w:pPr>
                  <w:r w:rsidRPr="00CF653A">
                    <w:t>Tasmania Forests Agreement – Implementation Package</w:t>
                  </w:r>
                </w:p>
              </w:tc>
              <w:tc>
                <w:tcPr>
                  <w:tcW w:w="501" w:type="pct"/>
                </w:tcPr>
                <w:p w:rsidR="004266EE" w:rsidRPr="00CF653A" w:rsidRDefault="004266EE" w:rsidP="004266EE">
                  <w:pPr>
                    <w:pStyle w:val="TableBodyText"/>
                    <w:jc w:val="center"/>
                  </w:pPr>
                  <w:r w:rsidRPr="00CF653A">
                    <w:t>BO</w:t>
                  </w:r>
                </w:p>
              </w:tc>
              <w:tc>
                <w:tcPr>
                  <w:tcW w:w="1999" w:type="pct"/>
                </w:tcPr>
                <w:p w:rsidR="004266EE" w:rsidRPr="00CF653A" w:rsidRDefault="004266EE" w:rsidP="004266EE">
                  <w:pPr>
                    <w:pStyle w:val="TableBodyText"/>
                    <w:jc w:val="left"/>
                  </w:pPr>
                  <w:r w:rsidRPr="00CF653A">
                    <w:t>Forestry and logging</w:t>
                  </w:r>
                </w:p>
              </w:tc>
              <w:tc>
                <w:tcPr>
                  <w:tcW w:w="501" w:type="pct"/>
                </w:tcPr>
                <w:p w:rsidR="004266EE" w:rsidRPr="00CF653A" w:rsidRDefault="004266EE" w:rsidP="004266EE">
                  <w:pPr>
                    <w:pStyle w:val="TableBodyText"/>
                    <w:ind w:right="28"/>
                  </w:pPr>
                  <w:r w:rsidRPr="00CF653A">
                    <w:t>20.3</w:t>
                  </w:r>
                </w:p>
              </w:tc>
            </w:tr>
            <w:tr w:rsidR="005F6624" w:rsidTr="005F6624">
              <w:tc>
                <w:tcPr>
                  <w:tcW w:w="2000" w:type="pct"/>
                </w:tcPr>
                <w:p w:rsidR="004266EE" w:rsidRPr="00CF653A" w:rsidRDefault="004266EE" w:rsidP="004266EE">
                  <w:pPr>
                    <w:pStyle w:val="TableBodyText"/>
                    <w:jc w:val="left"/>
                  </w:pPr>
                  <w:r w:rsidRPr="00CF653A">
                    <w:t>Indigenous Carbon Farming Fund</w:t>
                  </w:r>
                </w:p>
              </w:tc>
              <w:tc>
                <w:tcPr>
                  <w:tcW w:w="501" w:type="pct"/>
                </w:tcPr>
                <w:p w:rsidR="004266EE" w:rsidRPr="00CF653A" w:rsidRDefault="004266EE" w:rsidP="004266EE">
                  <w:pPr>
                    <w:pStyle w:val="TableBodyText"/>
                    <w:jc w:val="center"/>
                  </w:pPr>
                  <w:r w:rsidRPr="00CF653A">
                    <w:t>BO</w:t>
                  </w:r>
                </w:p>
              </w:tc>
              <w:tc>
                <w:tcPr>
                  <w:tcW w:w="1999" w:type="pct"/>
                </w:tcPr>
                <w:p w:rsidR="004266EE" w:rsidRPr="00CF653A" w:rsidRDefault="004266EE" w:rsidP="004266EE">
                  <w:pPr>
                    <w:pStyle w:val="TableBodyText"/>
                    <w:jc w:val="left"/>
                  </w:pPr>
                  <w:r w:rsidRPr="00CF653A">
                    <w:t>Unallocated primary production</w:t>
                  </w:r>
                </w:p>
              </w:tc>
              <w:tc>
                <w:tcPr>
                  <w:tcW w:w="501" w:type="pct"/>
                </w:tcPr>
                <w:p w:rsidR="004266EE" w:rsidRPr="00CF653A" w:rsidRDefault="004266EE" w:rsidP="004266EE">
                  <w:pPr>
                    <w:pStyle w:val="TableBodyText"/>
                    <w:ind w:right="28"/>
                  </w:pPr>
                  <w:r w:rsidRPr="00CF653A">
                    <w:t>0.9</w:t>
                  </w:r>
                </w:p>
              </w:tc>
            </w:tr>
            <w:tr w:rsidR="005F6624" w:rsidTr="005F6624">
              <w:tc>
                <w:tcPr>
                  <w:tcW w:w="2000" w:type="pct"/>
                </w:tcPr>
                <w:p w:rsidR="004266EE" w:rsidRPr="00CF653A" w:rsidRDefault="004266EE" w:rsidP="004266EE">
                  <w:pPr>
                    <w:pStyle w:val="TableBodyText"/>
                    <w:jc w:val="left"/>
                  </w:pPr>
                  <w:r w:rsidRPr="00CF653A">
                    <w:t>Clean Technology Innovation Program</w:t>
                  </w:r>
                </w:p>
              </w:tc>
              <w:tc>
                <w:tcPr>
                  <w:tcW w:w="501" w:type="pct"/>
                </w:tcPr>
                <w:p w:rsidR="004266EE" w:rsidRPr="00CF653A" w:rsidRDefault="004266EE" w:rsidP="004266EE">
                  <w:pPr>
                    <w:pStyle w:val="TableBodyText"/>
                    <w:jc w:val="center"/>
                  </w:pPr>
                  <w:r w:rsidRPr="00CF653A">
                    <w:t>BO</w:t>
                  </w:r>
                </w:p>
              </w:tc>
              <w:tc>
                <w:tcPr>
                  <w:tcW w:w="1999" w:type="pct"/>
                </w:tcPr>
                <w:p w:rsidR="004266EE" w:rsidRPr="00CF653A" w:rsidRDefault="004266EE" w:rsidP="004266EE">
                  <w:pPr>
                    <w:pStyle w:val="TableBodyText"/>
                    <w:jc w:val="left"/>
                  </w:pPr>
                  <w:r w:rsidRPr="00CF653A">
                    <w:t>Non-Metallic mineral products; Metal and fabricated metal products; Machinery and equipment manufacturing; Electricity, gas, water and waste services; Information, media and telecommunications; and Property, professional and administrative services</w:t>
                  </w:r>
                </w:p>
              </w:tc>
              <w:tc>
                <w:tcPr>
                  <w:tcW w:w="501" w:type="pct"/>
                </w:tcPr>
                <w:p w:rsidR="004266EE" w:rsidRPr="00CF653A" w:rsidRDefault="004266EE" w:rsidP="004266EE">
                  <w:pPr>
                    <w:pStyle w:val="TableBodyText"/>
                    <w:ind w:right="28"/>
                  </w:pPr>
                  <w:r w:rsidRPr="00CF653A">
                    <w:t>2.4</w:t>
                  </w:r>
                </w:p>
              </w:tc>
            </w:tr>
            <w:tr w:rsidR="005F6624" w:rsidTr="005F6624">
              <w:tc>
                <w:tcPr>
                  <w:tcW w:w="2000" w:type="pct"/>
                </w:tcPr>
                <w:p w:rsidR="004266EE" w:rsidRPr="00CF653A" w:rsidRDefault="004266EE" w:rsidP="004266EE">
                  <w:pPr>
                    <w:pStyle w:val="TableBodyText"/>
                    <w:jc w:val="left"/>
                  </w:pPr>
                  <w:r w:rsidRPr="00CF653A">
                    <w:t>Tourism Industry Regional Development</w:t>
                  </w:r>
                </w:p>
              </w:tc>
              <w:tc>
                <w:tcPr>
                  <w:tcW w:w="501" w:type="pct"/>
                </w:tcPr>
                <w:p w:rsidR="004266EE" w:rsidRPr="00CF653A" w:rsidRDefault="004266EE" w:rsidP="004266EE">
                  <w:pPr>
                    <w:pStyle w:val="TableBodyText"/>
                    <w:jc w:val="center"/>
                  </w:pPr>
                  <w:r w:rsidRPr="00CF653A">
                    <w:t>BO</w:t>
                  </w:r>
                </w:p>
              </w:tc>
              <w:tc>
                <w:tcPr>
                  <w:tcW w:w="1999" w:type="pct"/>
                </w:tcPr>
                <w:p w:rsidR="004266EE" w:rsidRPr="00CF653A" w:rsidRDefault="004266EE" w:rsidP="004266EE">
                  <w:pPr>
                    <w:pStyle w:val="TableBodyText"/>
                    <w:jc w:val="left"/>
                  </w:pPr>
                  <w:r w:rsidRPr="00CF653A">
                    <w:t>Unallocated services</w:t>
                  </w:r>
                </w:p>
              </w:tc>
              <w:tc>
                <w:tcPr>
                  <w:tcW w:w="501" w:type="pct"/>
                </w:tcPr>
                <w:p w:rsidR="004266EE" w:rsidRPr="00CF653A" w:rsidRDefault="004266EE" w:rsidP="004266EE">
                  <w:pPr>
                    <w:pStyle w:val="TableBodyText"/>
                    <w:ind w:right="28"/>
                  </w:pPr>
                  <w:r w:rsidRPr="00CF653A">
                    <w:t>7.0</w:t>
                  </w:r>
                </w:p>
              </w:tc>
            </w:tr>
            <w:tr w:rsidR="005F6624" w:rsidTr="005F6624">
              <w:tc>
                <w:tcPr>
                  <w:tcW w:w="2000" w:type="pct"/>
                </w:tcPr>
                <w:p w:rsidR="004266EE" w:rsidRPr="00CF653A" w:rsidRDefault="004266EE" w:rsidP="004266EE">
                  <w:pPr>
                    <w:pStyle w:val="TableBodyText"/>
                    <w:jc w:val="left"/>
                  </w:pPr>
                  <w:r w:rsidRPr="00CF653A">
                    <w:t>Asia Marketing Fund</w:t>
                  </w:r>
                </w:p>
              </w:tc>
              <w:tc>
                <w:tcPr>
                  <w:tcW w:w="501" w:type="pct"/>
                </w:tcPr>
                <w:p w:rsidR="004266EE" w:rsidRPr="00CF653A" w:rsidRDefault="004266EE" w:rsidP="004266EE">
                  <w:pPr>
                    <w:pStyle w:val="TableBodyText"/>
                    <w:jc w:val="center"/>
                  </w:pPr>
                  <w:r w:rsidRPr="00CF653A">
                    <w:t>BO</w:t>
                  </w:r>
                </w:p>
              </w:tc>
              <w:tc>
                <w:tcPr>
                  <w:tcW w:w="1999" w:type="pct"/>
                </w:tcPr>
                <w:p w:rsidR="004266EE" w:rsidRPr="00CF653A" w:rsidRDefault="004266EE" w:rsidP="004266EE">
                  <w:pPr>
                    <w:pStyle w:val="TableBodyText"/>
                    <w:jc w:val="left"/>
                  </w:pPr>
                  <w:r w:rsidRPr="00CF653A">
                    <w:t>Unallocated other</w:t>
                  </w:r>
                </w:p>
              </w:tc>
              <w:tc>
                <w:tcPr>
                  <w:tcW w:w="501" w:type="pct"/>
                </w:tcPr>
                <w:p w:rsidR="004266EE" w:rsidRDefault="004266EE" w:rsidP="004266EE">
                  <w:pPr>
                    <w:pStyle w:val="TableBodyText"/>
                    <w:ind w:right="28"/>
                  </w:pPr>
                  <w:r w:rsidRPr="00CF653A">
                    <w:t>8.5</w:t>
                  </w:r>
                </w:p>
              </w:tc>
            </w:tr>
            <w:tr w:rsidR="005F6624" w:rsidTr="005F6624">
              <w:tc>
                <w:tcPr>
                  <w:tcW w:w="2000" w:type="pct"/>
                </w:tcPr>
                <w:p w:rsidR="004266EE" w:rsidRPr="002D4FBA" w:rsidRDefault="004266EE" w:rsidP="004266EE">
                  <w:pPr>
                    <w:pStyle w:val="TableBodyText"/>
                    <w:jc w:val="left"/>
                  </w:pPr>
                  <w:r w:rsidRPr="002D4FBA">
                    <w:t>Energy Efficiency Information Grants</w:t>
                  </w:r>
                </w:p>
              </w:tc>
              <w:tc>
                <w:tcPr>
                  <w:tcW w:w="501" w:type="pct"/>
                </w:tcPr>
                <w:p w:rsidR="004266EE" w:rsidRPr="002D4FBA" w:rsidRDefault="004266EE" w:rsidP="004266EE">
                  <w:pPr>
                    <w:pStyle w:val="TableBodyText"/>
                    <w:jc w:val="center"/>
                  </w:pPr>
                  <w:r w:rsidRPr="002D4FBA">
                    <w:t>BO</w:t>
                  </w:r>
                </w:p>
              </w:tc>
              <w:tc>
                <w:tcPr>
                  <w:tcW w:w="1999" w:type="pct"/>
                </w:tcPr>
                <w:p w:rsidR="004266EE" w:rsidRPr="002D4FBA" w:rsidRDefault="004266EE" w:rsidP="004266EE">
                  <w:pPr>
                    <w:pStyle w:val="TableBodyText"/>
                    <w:jc w:val="left"/>
                  </w:pPr>
                  <w:r w:rsidRPr="002D4FBA">
                    <w:t>Unallocated other</w:t>
                  </w:r>
                </w:p>
              </w:tc>
              <w:tc>
                <w:tcPr>
                  <w:tcW w:w="501" w:type="pct"/>
                </w:tcPr>
                <w:p w:rsidR="004266EE" w:rsidRPr="002D4FBA" w:rsidRDefault="004266EE" w:rsidP="004266EE">
                  <w:pPr>
                    <w:pStyle w:val="TableBodyText"/>
                    <w:ind w:right="28"/>
                  </w:pPr>
                  <w:r w:rsidRPr="002D4FBA">
                    <w:t>4.6</w:t>
                  </w:r>
                </w:p>
              </w:tc>
            </w:tr>
            <w:tr w:rsidR="005F6624" w:rsidTr="005F6624">
              <w:tc>
                <w:tcPr>
                  <w:tcW w:w="2000" w:type="pct"/>
                </w:tcPr>
                <w:p w:rsidR="004266EE" w:rsidRPr="002D4FBA" w:rsidRDefault="004266EE" w:rsidP="004266EE">
                  <w:pPr>
                    <w:pStyle w:val="TableBodyText"/>
                    <w:jc w:val="left"/>
                  </w:pPr>
                  <w:r w:rsidRPr="002D4FBA">
                    <w:t>Coal Mining Abatement Support Package</w:t>
                  </w:r>
                </w:p>
              </w:tc>
              <w:tc>
                <w:tcPr>
                  <w:tcW w:w="501" w:type="pct"/>
                </w:tcPr>
                <w:p w:rsidR="004266EE" w:rsidRPr="002D4FBA" w:rsidRDefault="004266EE" w:rsidP="004266EE">
                  <w:pPr>
                    <w:pStyle w:val="TableBodyText"/>
                    <w:jc w:val="center"/>
                  </w:pPr>
                  <w:r w:rsidRPr="002D4FBA">
                    <w:t>BO</w:t>
                  </w:r>
                </w:p>
              </w:tc>
              <w:tc>
                <w:tcPr>
                  <w:tcW w:w="1999" w:type="pct"/>
                </w:tcPr>
                <w:p w:rsidR="004266EE" w:rsidRPr="002D4FBA" w:rsidRDefault="004266EE" w:rsidP="004266EE">
                  <w:pPr>
                    <w:pStyle w:val="TableBodyText"/>
                    <w:jc w:val="left"/>
                  </w:pPr>
                  <w:r w:rsidRPr="002D4FBA">
                    <w:t>Mining</w:t>
                  </w:r>
                </w:p>
              </w:tc>
              <w:tc>
                <w:tcPr>
                  <w:tcW w:w="501" w:type="pct"/>
                </w:tcPr>
                <w:p w:rsidR="004266EE" w:rsidRPr="002D4FBA" w:rsidRDefault="004266EE" w:rsidP="004266EE">
                  <w:pPr>
                    <w:pStyle w:val="TableBodyText"/>
                    <w:ind w:right="28"/>
                  </w:pPr>
                  <w:r w:rsidRPr="002D4FBA">
                    <w:t>1.0</w:t>
                  </w:r>
                </w:p>
              </w:tc>
            </w:tr>
            <w:tr w:rsidR="005F6624" w:rsidTr="005F6624">
              <w:tc>
                <w:tcPr>
                  <w:tcW w:w="2000" w:type="pct"/>
                </w:tcPr>
                <w:p w:rsidR="004266EE" w:rsidRPr="002D4FBA" w:rsidRDefault="004266EE" w:rsidP="004266EE">
                  <w:pPr>
                    <w:pStyle w:val="TableBodyText"/>
                    <w:jc w:val="left"/>
                  </w:pPr>
                  <w:r w:rsidRPr="002D4FBA">
                    <w:t>Asia Pacific Partnership on Clean Development and Climate</w:t>
                  </w:r>
                </w:p>
              </w:tc>
              <w:tc>
                <w:tcPr>
                  <w:tcW w:w="501" w:type="pct"/>
                </w:tcPr>
                <w:p w:rsidR="004266EE" w:rsidRPr="002D4FBA" w:rsidRDefault="004266EE" w:rsidP="004266EE">
                  <w:pPr>
                    <w:pStyle w:val="TableBodyText"/>
                    <w:jc w:val="center"/>
                  </w:pPr>
                  <w:r w:rsidRPr="002D4FBA">
                    <w:t>BO</w:t>
                  </w:r>
                </w:p>
              </w:tc>
              <w:tc>
                <w:tcPr>
                  <w:tcW w:w="1999" w:type="pct"/>
                </w:tcPr>
                <w:p w:rsidR="004266EE" w:rsidRPr="002D4FBA" w:rsidRDefault="004266EE" w:rsidP="004266EE">
                  <w:pPr>
                    <w:pStyle w:val="TableBodyText"/>
                    <w:jc w:val="left"/>
                  </w:pPr>
                  <w:r w:rsidRPr="002D4FBA">
                    <w:t>Unallocated other</w:t>
                  </w:r>
                </w:p>
              </w:tc>
              <w:tc>
                <w:tcPr>
                  <w:tcW w:w="501" w:type="pct"/>
                </w:tcPr>
                <w:p w:rsidR="004266EE" w:rsidRPr="002D4FBA" w:rsidRDefault="004266EE" w:rsidP="004266EE">
                  <w:pPr>
                    <w:pStyle w:val="TableBodyText"/>
                    <w:ind w:right="28"/>
                  </w:pPr>
                  <w:r w:rsidRPr="002D4FBA">
                    <w:t>0.2</w:t>
                  </w:r>
                </w:p>
              </w:tc>
            </w:tr>
            <w:tr w:rsidR="005F6624" w:rsidTr="005F6624">
              <w:tc>
                <w:tcPr>
                  <w:tcW w:w="2000" w:type="pct"/>
                </w:tcPr>
                <w:p w:rsidR="004266EE" w:rsidRPr="002D4FBA" w:rsidRDefault="004266EE" w:rsidP="004266EE">
                  <w:pPr>
                    <w:pStyle w:val="TableBodyText"/>
                    <w:jc w:val="left"/>
                  </w:pPr>
                  <w:r w:rsidRPr="002D4FBA">
                    <w:t>Automotive New Markets Initiative</w:t>
                  </w:r>
                </w:p>
              </w:tc>
              <w:tc>
                <w:tcPr>
                  <w:tcW w:w="501" w:type="pct"/>
                </w:tcPr>
                <w:p w:rsidR="004266EE" w:rsidRPr="002D4FBA" w:rsidRDefault="004266EE" w:rsidP="004266EE">
                  <w:pPr>
                    <w:pStyle w:val="TableBodyText"/>
                    <w:jc w:val="center"/>
                  </w:pPr>
                  <w:r w:rsidRPr="002D4FBA">
                    <w:t>BO</w:t>
                  </w:r>
                </w:p>
              </w:tc>
              <w:tc>
                <w:tcPr>
                  <w:tcW w:w="1999" w:type="pct"/>
                </w:tcPr>
                <w:p w:rsidR="004266EE" w:rsidRPr="002D4FBA" w:rsidRDefault="004266EE" w:rsidP="004266EE">
                  <w:pPr>
                    <w:pStyle w:val="TableBodyText"/>
                    <w:jc w:val="left"/>
                  </w:pPr>
                  <w:r w:rsidRPr="002D4FBA">
                    <w:t>Motor vehicle and parts</w:t>
                  </w:r>
                </w:p>
              </w:tc>
              <w:tc>
                <w:tcPr>
                  <w:tcW w:w="501" w:type="pct"/>
                </w:tcPr>
                <w:p w:rsidR="004266EE" w:rsidRPr="002D4FBA" w:rsidRDefault="004266EE" w:rsidP="004266EE">
                  <w:pPr>
                    <w:pStyle w:val="TableBodyText"/>
                    <w:ind w:right="28"/>
                  </w:pPr>
                  <w:r w:rsidRPr="002D4FBA">
                    <w:t>2.9</w:t>
                  </w:r>
                </w:p>
              </w:tc>
            </w:tr>
            <w:tr w:rsidR="005F6624" w:rsidTr="005F6624">
              <w:tc>
                <w:tcPr>
                  <w:tcW w:w="2000" w:type="pct"/>
                </w:tcPr>
                <w:p w:rsidR="004266EE" w:rsidRPr="002D4FBA" w:rsidRDefault="004266EE" w:rsidP="004266EE">
                  <w:pPr>
                    <w:pStyle w:val="TableBodyText"/>
                    <w:jc w:val="left"/>
                  </w:pPr>
                  <w:r w:rsidRPr="002D4FBA">
                    <w:t>Energy Brix Australia Corporation</w:t>
                  </w:r>
                </w:p>
              </w:tc>
              <w:tc>
                <w:tcPr>
                  <w:tcW w:w="501" w:type="pct"/>
                </w:tcPr>
                <w:p w:rsidR="004266EE" w:rsidRPr="002D4FBA" w:rsidRDefault="004266EE" w:rsidP="004266EE">
                  <w:pPr>
                    <w:pStyle w:val="TableBodyText"/>
                    <w:jc w:val="center"/>
                  </w:pPr>
                  <w:r w:rsidRPr="002D4FBA">
                    <w:t>BO</w:t>
                  </w:r>
                </w:p>
              </w:tc>
              <w:tc>
                <w:tcPr>
                  <w:tcW w:w="1999" w:type="pct"/>
                </w:tcPr>
                <w:p w:rsidR="004266EE" w:rsidRPr="002D4FBA" w:rsidRDefault="004266EE" w:rsidP="004266EE">
                  <w:pPr>
                    <w:pStyle w:val="TableBodyText"/>
                    <w:jc w:val="left"/>
                  </w:pPr>
                  <w:r w:rsidRPr="002D4FBA">
                    <w:t>Electricity, gas, water and waste services</w:t>
                  </w:r>
                </w:p>
              </w:tc>
              <w:tc>
                <w:tcPr>
                  <w:tcW w:w="501" w:type="pct"/>
                </w:tcPr>
                <w:p w:rsidR="004266EE" w:rsidRPr="002D4FBA" w:rsidRDefault="004266EE" w:rsidP="004266EE">
                  <w:pPr>
                    <w:pStyle w:val="TableBodyText"/>
                    <w:ind w:right="28"/>
                  </w:pPr>
                  <w:r w:rsidRPr="002D4FBA">
                    <w:t>9.1</w:t>
                  </w:r>
                </w:p>
              </w:tc>
            </w:tr>
            <w:tr w:rsidR="005F6624" w:rsidTr="005F6624">
              <w:tc>
                <w:tcPr>
                  <w:tcW w:w="2000" w:type="pct"/>
                </w:tcPr>
                <w:p w:rsidR="004266EE" w:rsidRPr="002D4FBA" w:rsidRDefault="004266EE" w:rsidP="004266EE">
                  <w:pPr>
                    <w:pStyle w:val="TableBodyText"/>
                    <w:jc w:val="left"/>
                  </w:pPr>
                  <w:r w:rsidRPr="002D4FBA">
                    <w:t>Australian Paper's Maryville Pulp &amp; Paper</w:t>
                  </w:r>
                </w:p>
              </w:tc>
              <w:tc>
                <w:tcPr>
                  <w:tcW w:w="501" w:type="pct"/>
                </w:tcPr>
                <w:p w:rsidR="004266EE" w:rsidRPr="002D4FBA" w:rsidRDefault="004266EE" w:rsidP="004266EE">
                  <w:pPr>
                    <w:pStyle w:val="TableBodyText"/>
                    <w:jc w:val="center"/>
                  </w:pPr>
                  <w:r w:rsidRPr="002D4FBA">
                    <w:t>BO</w:t>
                  </w:r>
                </w:p>
              </w:tc>
              <w:tc>
                <w:tcPr>
                  <w:tcW w:w="1999" w:type="pct"/>
                </w:tcPr>
                <w:p w:rsidR="004266EE" w:rsidRPr="002D4FBA" w:rsidRDefault="004266EE" w:rsidP="004266EE">
                  <w:pPr>
                    <w:pStyle w:val="TableBodyText"/>
                    <w:jc w:val="left"/>
                  </w:pPr>
                  <w:r w:rsidRPr="002D4FBA">
                    <w:t>Wood and paper products</w:t>
                  </w:r>
                </w:p>
              </w:tc>
              <w:tc>
                <w:tcPr>
                  <w:tcW w:w="501" w:type="pct"/>
                </w:tcPr>
                <w:p w:rsidR="004266EE" w:rsidRPr="002D4FBA" w:rsidRDefault="004266EE" w:rsidP="004266EE">
                  <w:pPr>
                    <w:pStyle w:val="TableBodyText"/>
                    <w:ind w:right="28"/>
                  </w:pPr>
                  <w:r w:rsidRPr="002D4FBA">
                    <w:t>4.2</w:t>
                  </w:r>
                </w:p>
              </w:tc>
            </w:tr>
            <w:tr w:rsidR="005F6624" w:rsidTr="005F6624">
              <w:tc>
                <w:tcPr>
                  <w:tcW w:w="2000" w:type="pct"/>
                </w:tcPr>
                <w:p w:rsidR="004266EE" w:rsidRPr="002D4FBA" w:rsidRDefault="004266EE" w:rsidP="004266EE">
                  <w:pPr>
                    <w:pStyle w:val="TableBodyText"/>
                    <w:jc w:val="left"/>
                  </w:pPr>
                  <w:r w:rsidRPr="002D4FBA">
                    <w:t>Vodafone Hutchison Australia - Tasmania Call Centre Expansion</w:t>
                  </w:r>
                </w:p>
              </w:tc>
              <w:tc>
                <w:tcPr>
                  <w:tcW w:w="501" w:type="pct"/>
                </w:tcPr>
                <w:p w:rsidR="004266EE" w:rsidRPr="002D4FBA" w:rsidRDefault="004266EE" w:rsidP="004266EE">
                  <w:pPr>
                    <w:pStyle w:val="TableBodyText"/>
                    <w:jc w:val="center"/>
                  </w:pPr>
                  <w:r w:rsidRPr="002D4FBA">
                    <w:t>BO</w:t>
                  </w:r>
                </w:p>
              </w:tc>
              <w:tc>
                <w:tcPr>
                  <w:tcW w:w="1999" w:type="pct"/>
                </w:tcPr>
                <w:p w:rsidR="004266EE" w:rsidRPr="002D4FBA" w:rsidRDefault="004266EE" w:rsidP="004266EE">
                  <w:pPr>
                    <w:pStyle w:val="TableBodyText"/>
                    <w:jc w:val="left"/>
                  </w:pPr>
                  <w:r w:rsidRPr="002D4FBA">
                    <w:t>Information, media and telecommunications</w:t>
                  </w:r>
                </w:p>
              </w:tc>
              <w:tc>
                <w:tcPr>
                  <w:tcW w:w="501" w:type="pct"/>
                </w:tcPr>
                <w:p w:rsidR="004266EE" w:rsidRPr="002D4FBA" w:rsidRDefault="004266EE" w:rsidP="004266EE">
                  <w:pPr>
                    <w:pStyle w:val="TableBodyText"/>
                    <w:ind w:right="28"/>
                  </w:pPr>
                  <w:r w:rsidRPr="002D4FBA">
                    <w:t>4.0</w:t>
                  </w:r>
                </w:p>
              </w:tc>
            </w:tr>
            <w:tr w:rsidR="005F6624" w:rsidTr="005F6624">
              <w:tc>
                <w:tcPr>
                  <w:tcW w:w="2000" w:type="pct"/>
                </w:tcPr>
                <w:p w:rsidR="004266EE" w:rsidRPr="002D4FBA" w:rsidRDefault="004266EE" w:rsidP="004266EE">
                  <w:pPr>
                    <w:pStyle w:val="TableBodyText"/>
                    <w:jc w:val="left"/>
                  </w:pPr>
                  <w:r w:rsidRPr="002D4FBA">
                    <w:t>Manufacturing Technology Innovation Centre</w:t>
                  </w:r>
                </w:p>
              </w:tc>
              <w:tc>
                <w:tcPr>
                  <w:tcW w:w="501" w:type="pct"/>
                </w:tcPr>
                <w:p w:rsidR="004266EE" w:rsidRPr="002D4FBA" w:rsidRDefault="004266EE" w:rsidP="004266EE">
                  <w:pPr>
                    <w:pStyle w:val="TableBodyText"/>
                    <w:jc w:val="center"/>
                  </w:pPr>
                  <w:r w:rsidRPr="002D4FBA">
                    <w:t>BO</w:t>
                  </w:r>
                </w:p>
              </w:tc>
              <w:tc>
                <w:tcPr>
                  <w:tcW w:w="1999" w:type="pct"/>
                </w:tcPr>
                <w:p w:rsidR="004266EE" w:rsidRPr="002D4FBA" w:rsidRDefault="004266EE" w:rsidP="004266EE">
                  <w:pPr>
                    <w:pStyle w:val="TableBodyText"/>
                    <w:jc w:val="left"/>
                  </w:pPr>
                  <w:r w:rsidRPr="002D4FBA">
                    <w:t>Unallocated manufacturing</w:t>
                  </w:r>
                </w:p>
              </w:tc>
              <w:tc>
                <w:tcPr>
                  <w:tcW w:w="501" w:type="pct"/>
                </w:tcPr>
                <w:p w:rsidR="004266EE" w:rsidRPr="002D4FBA" w:rsidRDefault="004266EE" w:rsidP="004266EE">
                  <w:pPr>
                    <w:pStyle w:val="TableBodyText"/>
                    <w:ind w:right="28"/>
                  </w:pPr>
                  <w:r w:rsidRPr="002D4FBA">
                    <w:t>2.9</w:t>
                  </w:r>
                </w:p>
              </w:tc>
            </w:tr>
            <w:tr w:rsidR="005F6624" w:rsidTr="005F6624">
              <w:tc>
                <w:tcPr>
                  <w:tcW w:w="2000" w:type="pct"/>
                </w:tcPr>
                <w:p w:rsidR="004266EE" w:rsidRPr="002D4FBA" w:rsidRDefault="004266EE" w:rsidP="004266EE">
                  <w:pPr>
                    <w:pStyle w:val="TableBodyText"/>
                    <w:jc w:val="left"/>
                  </w:pPr>
                  <w:r w:rsidRPr="002D4FBA">
                    <w:t>Premium Fresh Tasmania</w:t>
                  </w:r>
                </w:p>
              </w:tc>
              <w:tc>
                <w:tcPr>
                  <w:tcW w:w="501" w:type="pct"/>
                </w:tcPr>
                <w:p w:rsidR="004266EE" w:rsidRPr="002D4FBA" w:rsidRDefault="004266EE" w:rsidP="004266EE">
                  <w:pPr>
                    <w:pStyle w:val="TableBodyText"/>
                    <w:jc w:val="center"/>
                  </w:pPr>
                  <w:r w:rsidRPr="002D4FBA">
                    <w:t>BO</w:t>
                  </w:r>
                </w:p>
              </w:tc>
              <w:tc>
                <w:tcPr>
                  <w:tcW w:w="1999" w:type="pct"/>
                </w:tcPr>
                <w:p w:rsidR="004266EE" w:rsidRPr="002D4FBA" w:rsidRDefault="004266EE" w:rsidP="004266EE">
                  <w:pPr>
                    <w:pStyle w:val="TableBodyText"/>
                    <w:jc w:val="left"/>
                  </w:pPr>
                  <w:r w:rsidRPr="002D4FBA">
                    <w:t>Horticulture and fruit growing</w:t>
                  </w:r>
                </w:p>
              </w:tc>
              <w:tc>
                <w:tcPr>
                  <w:tcW w:w="501" w:type="pct"/>
                </w:tcPr>
                <w:p w:rsidR="004266EE" w:rsidRPr="002D4FBA" w:rsidRDefault="004266EE" w:rsidP="004266EE">
                  <w:pPr>
                    <w:pStyle w:val="TableBodyText"/>
                    <w:ind w:right="28"/>
                  </w:pPr>
                  <w:r w:rsidRPr="002D4FBA">
                    <w:t>0.5</w:t>
                  </w:r>
                </w:p>
              </w:tc>
            </w:tr>
            <w:tr w:rsidR="005F6624" w:rsidTr="005F6624">
              <w:tc>
                <w:tcPr>
                  <w:tcW w:w="2000" w:type="pct"/>
                </w:tcPr>
                <w:p w:rsidR="004266EE" w:rsidRPr="002D4FBA" w:rsidRDefault="004266EE" w:rsidP="004266EE">
                  <w:pPr>
                    <w:pStyle w:val="TableBodyText"/>
                    <w:jc w:val="left"/>
                  </w:pPr>
                  <w:r w:rsidRPr="002D4FBA">
                    <w:t>Digital Enterprise Program</w:t>
                  </w:r>
                </w:p>
              </w:tc>
              <w:tc>
                <w:tcPr>
                  <w:tcW w:w="501" w:type="pct"/>
                </w:tcPr>
                <w:p w:rsidR="004266EE" w:rsidRPr="002D4FBA" w:rsidRDefault="004266EE" w:rsidP="004266EE">
                  <w:pPr>
                    <w:pStyle w:val="TableBodyText"/>
                    <w:jc w:val="center"/>
                  </w:pPr>
                  <w:r w:rsidRPr="002D4FBA">
                    <w:t>BO</w:t>
                  </w:r>
                </w:p>
              </w:tc>
              <w:tc>
                <w:tcPr>
                  <w:tcW w:w="1999" w:type="pct"/>
                </w:tcPr>
                <w:p w:rsidR="004266EE" w:rsidRPr="002D4FBA" w:rsidRDefault="004266EE" w:rsidP="004266EE">
                  <w:pPr>
                    <w:pStyle w:val="TableBodyText"/>
                    <w:jc w:val="left"/>
                  </w:pPr>
                  <w:r w:rsidRPr="002D4FBA">
                    <w:t>Unallocated other</w:t>
                  </w:r>
                </w:p>
              </w:tc>
              <w:tc>
                <w:tcPr>
                  <w:tcW w:w="501" w:type="pct"/>
                </w:tcPr>
                <w:p w:rsidR="004266EE" w:rsidRDefault="004266EE" w:rsidP="004266EE">
                  <w:pPr>
                    <w:pStyle w:val="TableBodyText"/>
                    <w:ind w:right="28"/>
                  </w:pPr>
                  <w:r w:rsidRPr="002D4FBA">
                    <w:t>1.9</w:t>
                  </w:r>
                </w:p>
              </w:tc>
            </w:tr>
            <w:tr w:rsidR="005F6624" w:rsidTr="005F6624">
              <w:tc>
                <w:tcPr>
                  <w:tcW w:w="2000" w:type="pct"/>
                </w:tcPr>
                <w:p w:rsidR="004266EE" w:rsidRPr="00AE5FEB" w:rsidRDefault="004266EE" w:rsidP="004266EE">
                  <w:pPr>
                    <w:pStyle w:val="TableBodyText"/>
                    <w:jc w:val="left"/>
                  </w:pPr>
                  <w:r w:rsidRPr="00AE5FEB">
                    <w:t>Rebate for broadcasting licence fees</w:t>
                  </w:r>
                </w:p>
              </w:tc>
              <w:tc>
                <w:tcPr>
                  <w:tcW w:w="501" w:type="pct"/>
                </w:tcPr>
                <w:p w:rsidR="004266EE" w:rsidRPr="00AE5FEB" w:rsidRDefault="004266EE" w:rsidP="004266EE">
                  <w:pPr>
                    <w:pStyle w:val="TableBodyText"/>
                    <w:jc w:val="center"/>
                  </w:pPr>
                  <w:r w:rsidRPr="00AE5FEB">
                    <w:t>TE</w:t>
                  </w:r>
                </w:p>
              </w:tc>
              <w:tc>
                <w:tcPr>
                  <w:tcW w:w="1999" w:type="pct"/>
                </w:tcPr>
                <w:p w:rsidR="004266EE" w:rsidRPr="00AE5FEB" w:rsidRDefault="004266EE" w:rsidP="004266EE">
                  <w:pPr>
                    <w:pStyle w:val="TableBodyText"/>
                    <w:jc w:val="left"/>
                  </w:pPr>
                  <w:r w:rsidRPr="00AE5FEB">
                    <w:t>Information, media and telecommunications</w:t>
                  </w:r>
                </w:p>
              </w:tc>
              <w:tc>
                <w:tcPr>
                  <w:tcW w:w="501" w:type="pct"/>
                </w:tcPr>
                <w:p w:rsidR="004266EE" w:rsidRDefault="004266EE" w:rsidP="004266EE">
                  <w:pPr>
                    <w:pStyle w:val="TableBodyText"/>
                    <w:ind w:right="28"/>
                  </w:pPr>
                  <w:r w:rsidRPr="00AE5FEB">
                    <w:t>155.0</w:t>
                  </w:r>
                </w:p>
              </w:tc>
            </w:tr>
            <w:tr w:rsidR="005F6624" w:rsidTr="005F6624">
              <w:tc>
                <w:tcPr>
                  <w:tcW w:w="2000" w:type="pct"/>
                  <w:tcBorders>
                    <w:bottom w:val="single" w:sz="6" w:space="0" w:color="C8C8C8"/>
                  </w:tcBorders>
                  <w:shd w:val="clear" w:color="auto" w:fill="auto"/>
                </w:tcPr>
                <w:p w:rsidR="00711DFE" w:rsidRDefault="004266EE" w:rsidP="004266EE">
                  <w:pPr>
                    <w:pStyle w:val="TableBodyText"/>
                    <w:jc w:val="left"/>
                  </w:pPr>
                  <w:r>
                    <w:t>Product Stewardship for Oil Program</w:t>
                  </w:r>
                </w:p>
              </w:tc>
              <w:tc>
                <w:tcPr>
                  <w:tcW w:w="501" w:type="pct"/>
                  <w:tcBorders>
                    <w:bottom w:val="single" w:sz="6" w:space="0" w:color="C8C8C8"/>
                  </w:tcBorders>
                </w:tcPr>
                <w:p w:rsidR="00711DFE" w:rsidRDefault="004266EE" w:rsidP="004266EE">
                  <w:pPr>
                    <w:pStyle w:val="TableBodyText"/>
                    <w:jc w:val="center"/>
                  </w:pPr>
                  <w:r>
                    <w:t>BO</w:t>
                  </w:r>
                </w:p>
              </w:tc>
              <w:tc>
                <w:tcPr>
                  <w:tcW w:w="1999" w:type="pct"/>
                  <w:tcBorders>
                    <w:bottom w:val="single" w:sz="6" w:space="0" w:color="C8C8C8"/>
                  </w:tcBorders>
                </w:tcPr>
                <w:p w:rsidR="00711DFE" w:rsidRDefault="004266EE" w:rsidP="004266EE">
                  <w:pPr>
                    <w:pStyle w:val="TableBodyText"/>
                    <w:jc w:val="left"/>
                  </w:pPr>
                  <w:r>
                    <w:t>Petroleum, coal, chemical and rubber products</w:t>
                  </w:r>
                </w:p>
              </w:tc>
              <w:tc>
                <w:tcPr>
                  <w:tcW w:w="501" w:type="pct"/>
                  <w:tcBorders>
                    <w:bottom w:val="single" w:sz="6" w:space="0" w:color="C8C8C8"/>
                  </w:tcBorders>
                  <w:shd w:val="clear" w:color="auto" w:fill="auto"/>
                </w:tcPr>
                <w:p w:rsidR="00711DFE" w:rsidRDefault="004266EE" w:rsidP="004266EE">
                  <w:pPr>
                    <w:pStyle w:val="TableBodyText"/>
                    <w:ind w:right="28"/>
                  </w:pPr>
                  <w:r>
                    <w:t>33.4</w:t>
                  </w:r>
                </w:p>
              </w:tc>
            </w:tr>
          </w:tbl>
          <w:p w:rsidR="00BB1962" w:rsidRDefault="00BB1962" w:rsidP="00846637">
            <w:pPr>
              <w:pStyle w:val="Box"/>
            </w:pPr>
          </w:p>
        </w:tc>
      </w:tr>
      <w:tr w:rsidR="00BB1962" w:rsidTr="00F95957">
        <w:trPr>
          <w:cantSplit/>
        </w:trPr>
        <w:tc>
          <w:tcPr>
            <w:tcW w:w="8771" w:type="dxa"/>
            <w:tcBorders>
              <w:top w:val="nil"/>
              <w:left w:val="nil"/>
              <w:bottom w:val="nil"/>
              <w:right w:val="nil"/>
            </w:tcBorders>
            <w:shd w:val="clear" w:color="auto" w:fill="auto"/>
          </w:tcPr>
          <w:p w:rsidR="00BB1962" w:rsidRDefault="00BB1962" w:rsidP="001433F8">
            <w:pPr>
              <w:pStyle w:val="Note"/>
              <w:rPr>
                <w:i/>
              </w:rPr>
            </w:pPr>
            <w:proofErr w:type="gramStart"/>
            <w:r w:rsidRPr="008E77FE">
              <w:rPr>
                <w:rStyle w:val="NoteLabel"/>
              </w:rPr>
              <w:t>a</w:t>
            </w:r>
            <w:proofErr w:type="gramEnd"/>
            <w:r>
              <w:t> BO: budgetary assistance. TE: tax expenditures.</w:t>
            </w:r>
          </w:p>
        </w:tc>
      </w:tr>
      <w:tr w:rsidR="00BB1962" w:rsidTr="00F95957">
        <w:trPr>
          <w:cantSplit/>
        </w:trPr>
        <w:tc>
          <w:tcPr>
            <w:tcW w:w="8771" w:type="dxa"/>
            <w:tcBorders>
              <w:top w:val="nil"/>
              <w:left w:val="nil"/>
              <w:bottom w:val="nil"/>
              <w:right w:val="nil"/>
            </w:tcBorders>
            <w:shd w:val="clear" w:color="auto" w:fill="auto"/>
          </w:tcPr>
          <w:p w:rsidR="00BB1962" w:rsidRDefault="00BB1962" w:rsidP="00BB1962">
            <w:pPr>
              <w:pStyle w:val="Source"/>
            </w:pPr>
            <w:r>
              <w:rPr>
                <w:i/>
              </w:rPr>
              <w:t>Source</w:t>
            </w:r>
            <w:r w:rsidRPr="00167F06">
              <w:t xml:space="preserve">: </w:t>
            </w:r>
            <w:r>
              <w:t>Commission estimates.</w:t>
            </w:r>
          </w:p>
        </w:tc>
      </w:tr>
      <w:tr w:rsidR="00BB1962" w:rsidTr="00F95957">
        <w:trPr>
          <w:cantSplit/>
        </w:trPr>
        <w:tc>
          <w:tcPr>
            <w:tcW w:w="8771" w:type="dxa"/>
            <w:tcBorders>
              <w:top w:val="nil"/>
              <w:left w:val="nil"/>
              <w:bottom w:val="single" w:sz="6" w:space="0" w:color="78A22F" w:themeColor="accent1"/>
              <w:right w:val="nil"/>
            </w:tcBorders>
            <w:shd w:val="clear" w:color="auto" w:fill="auto"/>
          </w:tcPr>
          <w:p w:rsidR="00BB1962" w:rsidRDefault="00BB1962" w:rsidP="00846637">
            <w:pPr>
              <w:pStyle w:val="Box"/>
              <w:spacing w:before="0" w:line="120" w:lineRule="exact"/>
            </w:pPr>
          </w:p>
        </w:tc>
      </w:tr>
      <w:tr w:rsidR="00BB1962" w:rsidRPr="000863A5" w:rsidTr="002C071C">
        <w:tc>
          <w:tcPr>
            <w:tcW w:w="8771" w:type="dxa"/>
            <w:tcBorders>
              <w:top w:val="single" w:sz="6" w:space="0" w:color="78A22F" w:themeColor="accent1"/>
              <w:left w:val="nil"/>
              <w:bottom w:val="nil"/>
              <w:right w:val="nil"/>
            </w:tcBorders>
          </w:tcPr>
          <w:p w:rsidR="00BB1962" w:rsidRPr="00626D32" w:rsidRDefault="00BB1962" w:rsidP="00784A05">
            <w:pPr>
              <w:pStyle w:val="BoxSpaceBelow"/>
            </w:pPr>
          </w:p>
        </w:tc>
      </w:tr>
    </w:tbl>
    <w:p w:rsidR="00B31EA7" w:rsidRDefault="00B31EA7" w:rsidP="00952260">
      <w:pPr>
        <w:pStyle w:val="BodyText"/>
      </w:pPr>
    </w:p>
    <w:p w:rsidR="00952260" w:rsidRDefault="00952260" w:rsidP="00952260">
      <w:r>
        <w:br w:type="page"/>
      </w:r>
    </w:p>
    <w:p w:rsidR="00E4139C" w:rsidRDefault="00E4139C" w:rsidP="00E4139C">
      <w:pPr>
        <w:pStyle w:val="Heading3"/>
      </w:pPr>
      <w:r>
        <w:lastRenderedPageBreak/>
        <w:t>Tasmania Forests Agreement – Implementation Package</w:t>
      </w:r>
    </w:p>
    <w:p w:rsidR="00AB54AF" w:rsidRDefault="00AB54AF" w:rsidP="00AB54AF">
      <w:pPr>
        <w:pStyle w:val="BodyText"/>
      </w:pPr>
      <w:r>
        <w:t>In May 2013, the Australian and Tasmanian Governments signed a new Tasmanian Forests Intergovernmental Agreement (TFIGA</w:t>
      </w:r>
      <w:r w:rsidR="009A2E39">
        <w:t xml:space="preserve"> 2013</w:t>
      </w:r>
      <w:r>
        <w:t xml:space="preserve">). The </w:t>
      </w:r>
      <w:r w:rsidR="009A2E39">
        <w:t xml:space="preserve">new </w:t>
      </w:r>
      <w:r>
        <w:t xml:space="preserve">agreement sets out in detail the specific </w:t>
      </w:r>
      <w:r w:rsidR="00F80968">
        <w:t xml:space="preserve">support that is </w:t>
      </w:r>
      <w:r>
        <w:t xml:space="preserve">to be </w:t>
      </w:r>
      <w:r w:rsidR="00F80968">
        <w:t xml:space="preserve">provided </w:t>
      </w:r>
      <w:r>
        <w:t>as part of the Tasmanian Forest</w:t>
      </w:r>
      <w:r w:rsidR="009A2E39">
        <w:t>s</w:t>
      </w:r>
      <w:r>
        <w:t xml:space="preserve"> </w:t>
      </w:r>
      <w:r w:rsidR="009A2E39">
        <w:t xml:space="preserve">Intergovernmental </w:t>
      </w:r>
      <w:r>
        <w:t>Agreement signed in 201</w:t>
      </w:r>
      <w:r w:rsidR="009A2E39">
        <w:t>1</w:t>
      </w:r>
      <w:r>
        <w:t>,</w:t>
      </w:r>
      <w:r>
        <w:rPr>
          <w:rStyle w:val="FootnoteReference"/>
        </w:rPr>
        <w:footnoteReference w:id="1"/>
      </w:r>
      <w:r>
        <w:t xml:space="preserve"> and the funding responsibilities of each </w:t>
      </w:r>
      <w:r w:rsidR="00335C29">
        <w:t>g</w:t>
      </w:r>
      <w:r>
        <w:t>overnment (DE</w:t>
      </w:r>
      <w:r w:rsidR="00FD23C1">
        <w:t> </w:t>
      </w:r>
      <w:r>
        <w:t xml:space="preserve">2014). </w:t>
      </w:r>
    </w:p>
    <w:p w:rsidR="009A2E39" w:rsidRDefault="009A2E39" w:rsidP="00AB54AF">
      <w:pPr>
        <w:pStyle w:val="BodyText"/>
      </w:pPr>
      <w:r>
        <w:t>Key funding elements under the TFIGA 2013 include:</w:t>
      </w:r>
    </w:p>
    <w:p w:rsidR="009A2E39" w:rsidRDefault="009A2E39" w:rsidP="00DE7F98">
      <w:pPr>
        <w:pStyle w:val="ListBullet"/>
      </w:pPr>
      <w:r>
        <w:t xml:space="preserve">$25 million toward sawmiller exit and structural adjustment packages; </w:t>
      </w:r>
    </w:p>
    <w:p w:rsidR="00A50299" w:rsidRDefault="00A50299" w:rsidP="00DE7F98">
      <w:pPr>
        <w:pStyle w:val="ListBullet"/>
      </w:pPr>
      <w:r>
        <w:t>$20 million toward support for affected workers and contractors;</w:t>
      </w:r>
    </w:p>
    <w:p w:rsidR="00A50299" w:rsidRDefault="00A50299" w:rsidP="00DE7F98">
      <w:pPr>
        <w:pStyle w:val="ListBullet"/>
      </w:pPr>
      <w:r>
        <w:t>$100 million for an Economic Diversification Package (this funding is now to be provided in the form of the Tasmanian Jobs and Growth Plan (section 5.5));</w:t>
      </w:r>
    </w:p>
    <w:p w:rsidR="00A50299" w:rsidRDefault="00A50299" w:rsidP="00DE7F98">
      <w:pPr>
        <w:pStyle w:val="ListBullet"/>
      </w:pPr>
      <w:r>
        <w:t>$15.8 million toward Plantation Manufacturing Innovation and Investment;</w:t>
      </w:r>
    </w:p>
    <w:p w:rsidR="00A50299" w:rsidRDefault="00A50299" w:rsidP="00DE7F98">
      <w:pPr>
        <w:pStyle w:val="ListBullet"/>
      </w:pPr>
      <w:r>
        <w:t>$13.5 million toward the investigation and implementation of sustainable solutions for forest residues;</w:t>
      </w:r>
    </w:p>
    <w:p w:rsidR="00A50299" w:rsidRDefault="00A50299" w:rsidP="00DE7F98">
      <w:pPr>
        <w:pStyle w:val="ListBullet"/>
      </w:pPr>
      <w:r>
        <w:t>$7 million per annum, increasing to $9 million per annum, indexed, for reserve management; and</w:t>
      </w:r>
    </w:p>
    <w:p w:rsidR="009A2E39" w:rsidRDefault="00A50299" w:rsidP="00DE7F98">
      <w:pPr>
        <w:pStyle w:val="ListBullet"/>
      </w:pPr>
      <w:proofErr w:type="gramStart"/>
      <w:r>
        <w:t>up</w:t>
      </w:r>
      <w:proofErr w:type="gramEnd"/>
      <w:r>
        <w:t xml:space="preserve"> to $15 million to assist Forestry Tasmania with transitioning its operations (Department of the Environment, pers. comm., 30 May 2014; Tasmanian Government 2013).</w:t>
      </w:r>
      <w:r w:rsidR="002F3030">
        <w:t xml:space="preserve"> </w:t>
      </w:r>
    </w:p>
    <w:p w:rsidR="00AB54AF" w:rsidRDefault="00AB54AF" w:rsidP="00AB54AF">
      <w:pPr>
        <w:pStyle w:val="BodyText"/>
      </w:pPr>
      <w:r>
        <w:t>The value of administered expenses for 2012</w:t>
      </w:r>
      <w:r w:rsidR="00FD23C1">
        <w:noBreakHyphen/>
      </w:r>
      <w:r>
        <w:t>13 is $20.3</w:t>
      </w:r>
      <w:r w:rsidR="00FD23C1">
        <w:t> </w:t>
      </w:r>
      <w:r>
        <w:t>million (DSEWPC</w:t>
      </w:r>
      <w:r w:rsidR="00FD23C1">
        <w:t> </w:t>
      </w:r>
      <w:r>
        <w:t>2013, p.</w:t>
      </w:r>
      <w:r w:rsidR="00FD23C1">
        <w:t> </w:t>
      </w:r>
      <w:r>
        <w:t xml:space="preserve">380). </w:t>
      </w:r>
    </w:p>
    <w:p w:rsidR="00E4139C" w:rsidRDefault="00AB54AF" w:rsidP="00AB54AF">
      <w:pPr>
        <w:pStyle w:val="BodyText"/>
      </w:pPr>
      <w:r>
        <w:t xml:space="preserve">The program is assessed as initially benefiting business primarily engaged in forest harvesting, haulage and saw milling and has been allocated to the </w:t>
      </w:r>
      <w:r w:rsidRPr="00FD23C1">
        <w:rPr>
          <w:i/>
        </w:rPr>
        <w:t>forestry and logging</w:t>
      </w:r>
      <w:r>
        <w:t xml:space="preserve"> industry grouping.</w:t>
      </w:r>
    </w:p>
    <w:p w:rsidR="00E4139C" w:rsidRDefault="001E3CBE" w:rsidP="0053433F">
      <w:pPr>
        <w:pStyle w:val="Heading3"/>
      </w:pPr>
      <w:r>
        <w:t>Indigenous Carbon Farming Fund</w:t>
      </w:r>
    </w:p>
    <w:p w:rsidR="00647E53" w:rsidRDefault="00647E53" w:rsidP="00647E53">
      <w:pPr>
        <w:pStyle w:val="BodyText"/>
      </w:pPr>
      <w:r>
        <w:t xml:space="preserve">The Indigenous Carbon Farming Fund is intended to support Indigenous Australians to participate in the Carbon Farming Initiative by assisting </w:t>
      </w:r>
      <w:r w:rsidR="008F7D8E">
        <w:t xml:space="preserve">them </w:t>
      </w:r>
      <w:r>
        <w:t>to access carbon farming specialists, business development expertise and legal advice for their participation in carbon farming projects (DSEWPC</w:t>
      </w:r>
      <w:r w:rsidR="00FC282D">
        <w:t> </w:t>
      </w:r>
      <w:r>
        <w:t xml:space="preserve">2013). </w:t>
      </w:r>
    </w:p>
    <w:p w:rsidR="00647E53" w:rsidRDefault="00647E53" w:rsidP="00647E53">
      <w:pPr>
        <w:pStyle w:val="BodyText"/>
      </w:pPr>
      <w:r>
        <w:t>The value of administered expenses for 2012</w:t>
      </w:r>
      <w:r w:rsidR="00FC282D">
        <w:noBreakHyphen/>
      </w:r>
      <w:r>
        <w:t>13 is $0.9</w:t>
      </w:r>
      <w:r w:rsidR="00FC282D">
        <w:t> </w:t>
      </w:r>
      <w:r>
        <w:t>million (DSEWPC</w:t>
      </w:r>
      <w:r w:rsidR="00FC282D">
        <w:t> </w:t>
      </w:r>
      <w:r>
        <w:t>2013, p.</w:t>
      </w:r>
      <w:r w:rsidR="00FC282D">
        <w:t> </w:t>
      </w:r>
      <w:r>
        <w:t xml:space="preserve">380). </w:t>
      </w:r>
    </w:p>
    <w:p w:rsidR="00E4139C" w:rsidRDefault="00647E53" w:rsidP="00120072">
      <w:pPr>
        <w:pStyle w:val="BodyText"/>
      </w:pPr>
      <w:r>
        <w:lastRenderedPageBreak/>
        <w:t>The program is assessed as initially benefiting primary produc</w:t>
      </w:r>
      <w:r w:rsidR="002C338F">
        <w:t>tion activities. However, information on the specific industry incidence of the program has not been readily available. Accordingly</w:t>
      </w:r>
      <w:r w:rsidR="00BF4F67">
        <w:t>,</w:t>
      </w:r>
      <w:r w:rsidR="002C338F">
        <w:t xml:space="preserve"> the budgetary outlay </w:t>
      </w:r>
      <w:r>
        <w:t xml:space="preserve">has been </w:t>
      </w:r>
      <w:r w:rsidR="002C338F">
        <w:t xml:space="preserve">classified </w:t>
      </w:r>
      <w:r>
        <w:t xml:space="preserve">to the </w:t>
      </w:r>
      <w:r w:rsidRPr="00FC282D">
        <w:rPr>
          <w:i/>
        </w:rPr>
        <w:t>unallocated primary production</w:t>
      </w:r>
      <w:r>
        <w:t xml:space="preserve"> industry grouping. </w:t>
      </w:r>
    </w:p>
    <w:p w:rsidR="00E4139C" w:rsidRDefault="001E3CBE" w:rsidP="0053433F">
      <w:pPr>
        <w:pStyle w:val="Heading3"/>
      </w:pPr>
      <w:r>
        <w:t>Clean Technology Innovation Program</w:t>
      </w:r>
    </w:p>
    <w:p w:rsidR="00647E53" w:rsidRDefault="00647E53" w:rsidP="00647E53">
      <w:pPr>
        <w:pStyle w:val="BodyText"/>
      </w:pPr>
      <w:r>
        <w:t xml:space="preserve">The Clean Technology Innovation </w:t>
      </w:r>
      <w:r w:rsidR="00BB6956">
        <w:t>Program is a competitive, merit-</w:t>
      </w:r>
      <w:r>
        <w:t>based grants program intended to support applied research and development, proof of concept and early stage commercialisation activities that lead to the development of new clean technologies and associated services including low emission and energy efficient solutions</w:t>
      </w:r>
      <w:r w:rsidR="008F7D8E">
        <w:t xml:space="preserve">. </w:t>
      </w:r>
      <w:r>
        <w:t>The program provides grants of between $50</w:t>
      </w:r>
      <w:r w:rsidR="00B27FEA">
        <w:t> </w:t>
      </w:r>
      <w:r>
        <w:t>000 and $5</w:t>
      </w:r>
      <w:r w:rsidR="00B27FEA">
        <w:t> </w:t>
      </w:r>
      <w:r>
        <w:t>million on a co-investment basis of one dollar of government funding for each dollar of the applicant's investment (Australian Government</w:t>
      </w:r>
      <w:r w:rsidR="00B27FEA">
        <w:t> </w:t>
      </w:r>
      <w:r>
        <w:t xml:space="preserve">2014b). </w:t>
      </w:r>
    </w:p>
    <w:p w:rsidR="00647E53" w:rsidRDefault="00647E53" w:rsidP="00647E53">
      <w:pPr>
        <w:pStyle w:val="BodyText"/>
      </w:pPr>
      <w:r>
        <w:t>The value of administered expenses for 2012</w:t>
      </w:r>
      <w:r w:rsidR="00B27FEA">
        <w:noBreakHyphen/>
      </w:r>
      <w:r>
        <w:t>13 is $2.4</w:t>
      </w:r>
      <w:r w:rsidR="00B27FEA">
        <w:t> </w:t>
      </w:r>
      <w:r>
        <w:t>million (DIISR, pers. comm., December</w:t>
      </w:r>
      <w:r w:rsidR="00B27FEA">
        <w:t> </w:t>
      </w:r>
      <w:r>
        <w:t xml:space="preserve">2013). </w:t>
      </w:r>
    </w:p>
    <w:p w:rsidR="001E3CBE" w:rsidRDefault="00647E53" w:rsidP="00120072">
      <w:pPr>
        <w:pStyle w:val="BodyText"/>
      </w:pPr>
      <w:r>
        <w:t xml:space="preserve">Information provided by DIISR has been used to allocate funding across the Commission’s industry groupings. These industry groups include: </w:t>
      </w:r>
      <w:r w:rsidRPr="00B27FEA">
        <w:rPr>
          <w:i/>
        </w:rPr>
        <w:t>non-metallic mineral products</w:t>
      </w:r>
      <w:r>
        <w:t xml:space="preserve">; </w:t>
      </w:r>
      <w:r w:rsidRPr="00B27FEA">
        <w:rPr>
          <w:i/>
        </w:rPr>
        <w:t>metal and fabricated metal products</w:t>
      </w:r>
      <w:r>
        <w:t xml:space="preserve">; </w:t>
      </w:r>
      <w:r w:rsidRPr="00B27FEA">
        <w:rPr>
          <w:i/>
        </w:rPr>
        <w:t>machinery and equipment manufacturing</w:t>
      </w:r>
      <w:r>
        <w:t xml:space="preserve">; </w:t>
      </w:r>
      <w:r w:rsidRPr="00B27FEA">
        <w:rPr>
          <w:i/>
        </w:rPr>
        <w:t>electricity, gas, water and waste services</w:t>
      </w:r>
      <w:r>
        <w:t xml:space="preserve">; </w:t>
      </w:r>
      <w:r w:rsidRPr="00B27FEA">
        <w:rPr>
          <w:i/>
        </w:rPr>
        <w:t>information, media and telecommunications</w:t>
      </w:r>
      <w:r>
        <w:t xml:space="preserve">; and </w:t>
      </w:r>
      <w:r w:rsidRPr="00B27FEA">
        <w:rPr>
          <w:i/>
        </w:rPr>
        <w:t>property, professional and administrative services</w:t>
      </w:r>
      <w:r>
        <w:t xml:space="preserve">. </w:t>
      </w:r>
    </w:p>
    <w:p w:rsidR="00E4139C" w:rsidRDefault="001E3CBE" w:rsidP="0053433F">
      <w:pPr>
        <w:pStyle w:val="Heading3"/>
      </w:pPr>
      <w:r>
        <w:t>Tourism Industry Regional Development</w:t>
      </w:r>
    </w:p>
    <w:p w:rsidR="00647E53" w:rsidRDefault="00647E53" w:rsidP="00647E53">
      <w:pPr>
        <w:pStyle w:val="BodyText"/>
      </w:pPr>
      <w:r>
        <w:t>In June 2012, the Australian Government announced funding of $48.5</w:t>
      </w:r>
      <w:r w:rsidR="00050AEA">
        <w:t> </w:t>
      </w:r>
      <w:r>
        <w:t>million over four years to establish the Tourism Industry Regional Development Fund (TIRF) grants program. The program is intended to increase the quality and range of visitor experiences in regional Australia. A major focus of the program is to improve the quality of accommodation and attractions in regional areas and encourage innovative projects to attract interstate and international visitors and extend their length of stay (DIRD</w:t>
      </w:r>
      <w:r w:rsidR="00050AEA">
        <w:t> </w:t>
      </w:r>
      <w:r>
        <w:t xml:space="preserve">2014). </w:t>
      </w:r>
    </w:p>
    <w:p w:rsidR="00647E53" w:rsidRDefault="00647E53" w:rsidP="00647E53">
      <w:pPr>
        <w:pStyle w:val="BodyText"/>
      </w:pPr>
      <w:r>
        <w:t>The TIRF provides grants of up to $250</w:t>
      </w:r>
      <w:r w:rsidR="00050AEA">
        <w:t> </w:t>
      </w:r>
      <w:r>
        <w:t xml:space="preserve">000 on a dollar-for-dollar matched funding basis to support investment in tourism industry related accommodation, infrastructure, experiences and facilities. </w:t>
      </w:r>
    </w:p>
    <w:p w:rsidR="00647E53" w:rsidRDefault="00647E53" w:rsidP="00647E53">
      <w:pPr>
        <w:pStyle w:val="BodyText"/>
      </w:pPr>
      <w:r>
        <w:t>The value of administered expenses for 2012</w:t>
      </w:r>
      <w:r w:rsidR="00050AEA">
        <w:noBreakHyphen/>
      </w:r>
      <w:r>
        <w:t>13 is $7</w:t>
      </w:r>
      <w:r w:rsidR="00050AEA">
        <w:t> </w:t>
      </w:r>
      <w:r>
        <w:t>million (DRET</w:t>
      </w:r>
      <w:r w:rsidR="00050AEA">
        <w:t> </w:t>
      </w:r>
      <w:r>
        <w:t>2013, p.</w:t>
      </w:r>
      <w:r w:rsidR="00050AEA">
        <w:t> </w:t>
      </w:r>
      <w:r>
        <w:t xml:space="preserve">197). </w:t>
      </w:r>
    </w:p>
    <w:p w:rsidR="00E4139C" w:rsidRDefault="00647E53" w:rsidP="00120072">
      <w:pPr>
        <w:pStyle w:val="BodyText"/>
      </w:pPr>
      <w:r>
        <w:t>The program is assessed as initially benefiting businesses providing tourism services</w:t>
      </w:r>
      <w:r w:rsidR="00587AE4">
        <w:t>. However, information on the specific industry incidence of the program has not been readily available. Accordingly</w:t>
      </w:r>
      <w:r w:rsidR="00BF4F67">
        <w:t>,</w:t>
      </w:r>
      <w:r w:rsidR="00587AE4">
        <w:t xml:space="preserve"> the budgetary outlay</w:t>
      </w:r>
      <w:r>
        <w:t xml:space="preserve"> and has been </w:t>
      </w:r>
      <w:r w:rsidR="00587AE4">
        <w:t>classified</w:t>
      </w:r>
      <w:r>
        <w:t xml:space="preserve"> to the </w:t>
      </w:r>
      <w:r w:rsidRPr="00050AEA">
        <w:rPr>
          <w:i/>
        </w:rPr>
        <w:t>unallocated services</w:t>
      </w:r>
      <w:r>
        <w:t xml:space="preserve"> industry grouping. </w:t>
      </w:r>
    </w:p>
    <w:p w:rsidR="001E3CBE" w:rsidRDefault="001E3CBE" w:rsidP="0053433F">
      <w:pPr>
        <w:pStyle w:val="Heading3"/>
      </w:pPr>
      <w:r>
        <w:lastRenderedPageBreak/>
        <w:t>Asia Marketing Fund</w:t>
      </w:r>
    </w:p>
    <w:p w:rsidR="008E572A" w:rsidRDefault="008E572A" w:rsidP="008E572A">
      <w:pPr>
        <w:pStyle w:val="BodyText"/>
      </w:pPr>
      <w:r>
        <w:t xml:space="preserve">In May 2012, the Australian Government announced it would establish </w:t>
      </w:r>
      <w:r w:rsidR="008F7D8E">
        <w:t xml:space="preserve">the </w:t>
      </w:r>
      <w:r>
        <w:t>Asia Marketing Fund</w:t>
      </w:r>
      <w:r w:rsidR="008F7D8E">
        <w:t>,</w:t>
      </w:r>
      <w:r>
        <w:t xml:space="preserve"> provi</w:t>
      </w:r>
      <w:r w:rsidR="008F7D8E">
        <w:t>ding</w:t>
      </w:r>
      <w:r>
        <w:t xml:space="preserve"> $61</w:t>
      </w:r>
      <w:r w:rsidR="00C967C6">
        <w:t> </w:t>
      </w:r>
      <w:r>
        <w:t>million over four years. The Fund is primarily intended to promote Australia as a tourism destination to growing markets in Asia (DRET</w:t>
      </w:r>
      <w:r w:rsidR="00C967C6">
        <w:t> </w:t>
      </w:r>
      <w:r>
        <w:t>2013, p.</w:t>
      </w:r>
      <w:r w:rsidR="00C967C6">
        <w:t> </w:t>
      </w:r>
      <w:r>
        <w:t xml:space="preserve">65). </w:t>
      </w:r>
    </w:p>
    <w:p w:rsidR="008E572A" w:rsidRDefault="008E572A" w:rsidP="008E572A">
      <w:pPr>
        <w:pStyle w:val="BodyText"/>
      </w:pPr>
      <w:r>
        <w:t>The value of administered expenses for 2012</w:t>
      </w:r>
      <w:r w:rsidR="00C967C6">
        <w:noBreakHyphen/>
      </w:r>
      <w:r>
        <w:t>13 is $8.5</w:t>
      </w:r>
      <w:r w:rsidR="00C967C6">
        <w:t> </w:t>
      </w:r>
      <w:r>
        <w:t>million (DRET</w:t>
      </w:r>
      <w:r w:rsidR="00C967C6">
        <w:t> </w:t>
      </w:r>
      <w:r>
        <w:t>2013, p.</w:t>
      </w:r>
      <w:r w:rsidR="00C967C6">
        <w:t> </w:t>
      </w:r>
      <w:r>
        <w:t xml:space="preserve">197). </w:t>
      </w:r>
    </w:p>
    <w:p w:rsidR="001E3CBE" w:rsidRDefault="002B0031" w:rsidP="00120072">
      <w:pPr>
        <w:pStyle w:val="BodyText"/>
      </w:pPr>
      <w:r>
        <w:t xml:space="preserve">Information on the </w:t>
      </w:r>
      <w:r w:rsidR="008E572A">
        <w:t xml:space="preserve">industry incidence of the program </w:t>
      </w:r>
      <w:r>
        <w:t xml:space="preserve">has not been readily available. Accordingly, the budgetary outlay </w:t>
      </w:r>
      <w:r w:rsidR="008E572A">
        <w:t xml:space="preserve">has been </w:t>
      </w:r>
      <w:r>
        <w:t>classified</w:t>
      </w:r>
      <w:r w:rsidR="008E572A">
        <w:t xml:space="preserve"> to the </w:t>
      </w:r>
      <w:r w:rsidR="008E572A" w:rsidRPr="002B0031">
        <w:rPr>
          <w:i/>
        </w:rPr>
        <w:t>unallocated other</w:t>
      </w:r>
      <w:r w:rsidR="008E572A">
        <w:t xml:space="preserve"> industry grouping in the Commission’s ANZSIC-based industry classification. </w:t>
      </w:r>
    </w:p>
    <w:p w:rsidR="001E3CBE" w:rsidRDefault="001E3CBE" w:rsidP="0053433F">
      <w:pPr>
        <w:pStyle w:val="Heading3"/>
      </w:pPr>
      <w:r>
        <w:t>Energy Efficiency Information Grants</w:t>
      </w:r>
    </w:p>
    <w:p w:rsidR="00DE217F" w:rsidRDefault="00DE217F" w:rsidP="00DE217F">
      <w:pPr>
        <w:pStyle w:val="BodyText"/>
      </w:pPr>
      <w:r>
        <w:t>The Energy Efficiency Information Grants program is a $34</w:t>
      </w:r>
      <w:r w:rsidR="00C372BB">
        <w:t> </w:t>
      </w:r>
      <w:r>
        <w:t>million merit-based, competitive grants program established by the Australian Government</w:t>
      </w:r>
      <w:r w:rsidR="008F7D8E">
        <w:t>. The program is</w:t>
      </w:r>
      <w:r>
        <w:t xml:space="preserve"> intended to assist industry associations and not-for-profit organisations to provide practical, tailored energy efficiency information to small-and-medium </w:t>
      </w:r>
      <w:r w:rsidR="00BB6956">
        <w:t xml:space="preserve">sized </w:t>
      </w:r>
      <w:r>
        <w:t>enterprises and community organisations (DI</w:t>
      </w:r>
      <w:r w:rsidR="00C372BB">
        <w:t> </w:t>
      </w:r>
      <w:r>
        <w:t xml:space="preserve">2014a). </w:t>
      </w:r>
    </w:p>
    <w:p w:rsidR="00DE217F" w:rsidRDefault="00DE217F" w:rsidP="00DE217F">
      <w:pPr>
        <w:pStyle w:val="BodyText"/>
      </w:pPr>
      <w:r>
        <w:t>The value of administered expenses for 2012</w:t>
      </w:r>
      <w:r w:rsidR="00C372BB">
        <w:noBreakHyphen/>
      </w:r>
      <w:r>
        <w:t>13 is $4.6</w:t>
      </w:r>
      <w:r w:rsidR="00C372BB">
        <w:t> </w:t>
      </w:r>
      <w:r>
        <w:t>million (DRET</w:t>
      </w:r>
      <w:r w:rsidR="00C372BB">
        <w:t> </w:t>
      </w:r>
      <w:r>
        <w:t>2013, p.</w:t>
      </w:r>
      <w:r w:rsidR="00C372BB">
        <w:t> </w:t>
      </w:r>
      <w:r>
        <w:t xml:space="preserve">197). </w:t>
      </w:r>
    </w:p>
    <w:p w:rsidR="001E3CBE" w:rsidRDefault="0040509F" w:rsidP="00120072">
      <w:pPr>
        <w:pStyle w:val="BodyText"/>
      </w:pPr>
      <w:r>
        <w:t xml:space="preserve">Information on the </w:t>
      </w:r>
      <w:r w:rsidR="00DE217F">
        <w:t xml:space="preserve">industry incidence of the program </w:t>
      </w:r>
      <w:r>
        <w:t xml:space="preserve">has not been readily available. Accordingly, the budgetary outlay </w:t>
      </w:r>
      <w:r w:rsidR="00DE217F">
        <w:t xml:space="preserve">has been </w:t>
      </w:r>
      <w:r>
        <w:t>classified</w:t>
      </w:r>
      <w:r w:rsidR="00DE217F">
        <w:t xml:space="preserve"> to the </w:t>
      </w:r>
      <w:r w:rsidR="00DE217F" w:rsidRPr="0040509F">
        <w:rPr>
          <w:i/>
        </w:rPr>
        <w:t>unallocated other</w:t>
      </w:r>
      <w:r w:rsidR="00DE217F">
        <w:t xml:space="preserve"> industry grouping in the Commission’s ANZSIC-based industry classification. </w:t>
      </w:r>
    </w:p>
    <w:p w:rsidR="001E3CBE" w:rsidRDefault="001E3CBE" w:rsidP="0053433F">
      <w:pPr>
        <w:pStyle w:val="Heading3"/>
      </w:pPr>
      <w:r>
        <w:t xml:space="preserve">Coal Mining Abatement </w:t>
      </w:r>
      <w:r w:rsidR="008F7D8E">
        <w:t xml:space="preserve">Technology </w:t>
      </w:r>
      <w:r>
        <w:t>Support Package</w:t>
      </w:r>
    </w:p>
    <w:p w:rsidR="004D0AE1" w:rsidRDefault="004D0AE1" w:rsidP="004D0AE1">
      <w:pPr>
        <w:pStyle w:val="BodyText"/>
      </w:pPr>
      <w:r>
        <w:t>The Coal Mining Abatement</w:t>
      </w:r>
      <w:r w:rsidR="008F7D8E">
        <w:t xml:space="preserve"> Technology</w:t>
      </w:r>
      <w:r>
        <w:t xml:space="preserve"> Support Package, providing $70</w:t>
      </w:r>
      <w:r w:rsidR="00C372BB">
        <w:t> </w:t>
      </w:r>
      <w:r>
        <w:t>million over five years from 1</w:t>
      </w:r>
      <w:r w:rsidR="00C372BB">
        <w:t> </w:t>
      </w:r>
      <w:r>
        <w:t>July 2012, was introduced by the Australian Government as part of the Clean Energy Future Plan. The Package is a technology development program intended to help maintain the viability and international competitiveness of the Australian coal mining industry under Australia’s carbon pricing scheme (DRET</w:t>
      </w:r>
      <w:r w:rsidR="00C372BB">
        <w:t> </w:t>
      </w:r>
      <w:r>
        <w:t xml:space="preserve">2014). </w:t>
      </w:r>
    </w:p>
    <w:p w:rsidR="004D0AE1" w:rsidRDefault="004D0AE1" w:rsidP="004D0AE1">
      <w:pPr>
        <w:pStyle w:val="BodyText"/>
      </w:pPr>
      <w:r>
        <w:t>The value of administered expenses for 2012</w:t>
      </w:r>
      <w:r w:rsidR="00C372BB">
        <w:noBreakHyphen/>
      </w:r>
      <w:r>
        <w:t>13 is $1</w:t>
      </w:r>
      <w:r w:rsidR="00C372BB">
        <w:t> </w:t>
      </w:r>
      <w:r>
        <w:t>million (DRET</w:t>
      </w:r>
      <w:r w:rsidR="00C372BB">
        <w:t> </w:t>
      </w:r>
      <w:r>
        <w:t>2013, p.</w:t>
      </w:r>
      <w:r w:rsidR="00C372BB">
        <w:t> </w:t>
      </w:r>
      <w:r>
        <w:t xml:space="preserve">196). </w:t>
      </w:r>
    </w:p>
    <w:p w:rsidR="001E3CBE" w:rsidRDefault="004D0AE1" w:rsidP="00120072">
      <w:pPr>
        <w:pStyle w:val="BodyText"/>
      </w:pPr>
      <w:r>
        <w:t xml:space="preserve">The program is assessed as initially benefiting businesses engaged in mining activities and has been allocated to the </w:t>
      </w:r>
      <w:r w:rsidRPr="00C372BB">
        <w:rPr>
          <w:i/>
        </w:rPr>
        <w:t>mining</w:t>
      </w:r>
      <w:r>
        <w:t xml:space="preserve"> industry grouping. </w:t>
      </w:r>
    </w:p>
    <w:p w:rsidR="001E3CBE" w:rsidRDefault="001E3CBE" w:rsidP="0053433F">
      <w:pPr>
        <w:pStyle w:val="Heading3"/>
      </w:pPr>
      <w:r>
        <w:t>Asia Pacific Partnership on Clean Development and Climate</w:t>
      </w:r>
    </w:p>
    <w:p w:rsidR="00076C6A" w:rsidRDefault="00076C6A" w:rsidP="00076C6A">
      <w:pPr>
        <w:pStyle w:val="BodyText"/>
      </w:pPr>
      <w:r>
        <w:t xml:space="preserve">The Asia Pacific Partnership on Clean Development and Climate is an intergovernmental program intended to enhance partnerships between the public and private sectors, promote best practices and technologies across a range of key sectors, and deepen cooperation </w:t>
      </w:r>
      <w:r>
        <w:lastRenderedPageBreak/>
        <w:t>among its seven partner countries (Australia, Canada, China, India, Japan, South Korea and the United States) (APP</w:t>
      </w:r>
      <w:r w:rsidR="00C131EB">
        <w:t> </w:t>
      </w:r>
      <w:r>
        <w:t xml:space="preserve">2014). </w:t>
      </w:r>
    </w:p>
    <w:p w:rsidR="00076C6A" w:rsidRDefault="00076C6A" w:rsidP="00076C6A">
      <w:pPr>
        <w:pStyle w:val="BodyText"/>
      </w:pPr>
      <w:r>
        <w:t>The value of administered expenses for 2012</w:t>
      </w:r>
      <w:r w:rsidR="00C131EB">
        <w:noBreakHyphen/>
      </w:r>
      <w:r>
        <w:t>13 is $0.2</w:t>
      </w:r>
      <w:r w:rsidR="00C131EB">
        <w:t> </w:t>
      </w:r>
      <w:r>
        <w:t>million (DRET</w:t>
      </w:r>
      <w:r w:rsidR="00C131EB">
        <w:t> </w:t>
      </w:r>
      <w:r>
        <w:t>2013, p.</w:t>
      </w:r>
      <w:r w:rsidR="00C131EB">
        <w:t> </w:t>
      </w:r>
      <w:r>
        <w:t xml:space="preserve">196). </w:t>
      </w:r>
    </w:p>
    <w:p w:rsidR="001E3CBE" w:rsidRDefault="00D9012C" w:rsidP="00120072">
      <w:pPr>
        <w:pStyle w:val="BodyText"/>
      </w:pPr>
      <w:r>
        <w:t xml:space="preserve">Information on the </w:t>
      </w:r>
      <w:r w:rsidR="00076C6A">
        <w:t xml:space="preserve">industry incidence of the program </w:t>
      </w:r>
      <w:r>
        <w:t xml:space="preserve">has not been readily available. Accordingly, the budgetary outlay </w:t>
      </w:r>
      <w:r w:rsidR="00076C6A">
        <w:t xml:space="preserve">has been </w:t>
      </w:r>
      <w:r>
        <w:t xml:space="preserve">classified </w:t>
      </w:r>
      <w:r w:rsidR="00076C6A">
        <w:t xml:space="preserve">to the </w:t>
      </w:r>
      <w:r w:rsidR="00076C6A" w:rsidRPr="00C131EB">
        <w:rPr>
          <w:i/>
        </w:rPr>
        <w:t>unallocated other</w:t>
      </w:r>
      <w:r w:rsidR="00076C6A">
        <w:t xml:space="preserve"> industry grouping in the Commission’s ANZSIC-based industry classification. </w:t>
      </w:r>
    </w:p>
    <w:p w:rsidR="001E3CBE" w:rsidRDefault="001E3CBE" w:rsidP="0053433F">
      <w:pPr>
        <w:pStyle w:val="Heading3"/>
      </w:pPr>
      <w:r>
        <w:t>Automotive New Markets Initiative</w:t>
      </w:r>
    </w:p>
    <w:p w:rsidR="00076C6A" w:rsidRDefault="00076C6A" w:rsidP="00076C6A">
      <w:pPr>
        <w:pStyle w:val="BodyText"/>
      </w:pPr>
      <w:r>
        <w:t>In August 2012, the Australian, Victorian and South Australian Governments announced the introduction of the Automotive New Markets Initiative (ANMI). Commencing in 2012</w:t>
      </w:r>
      <w:r w:rsidR="00D276F1">
        <w:noBreakHyphen/>
      </w:r>
      <w:r>
        <w:t>13 with funding of $47</w:t>
      </w:r>
      <w:r w:rsidR="00D276F1">
        <w:t> </w:t>
      </w:r>
      <w:r>
        <w:t>million over four years, the initiative is intended to assist Australian automotive supply chain companies broaden their customer and product base, both domestically and internationally (DI</w:t>
      </w:r>
      <w:r w:rsidR="00D276F1">
        <w:t> </w:t>
      </w:r>
      <w:r>
        <w:t xml:space="preserve">2014b). </w:t>
      </w:r>
    </w:p>
    <w:p w:rsidR="00076C6A" w:rsidRDefault="00076C6A" w:rsidP="00076C6A">
      <w:pPr>
        <w:pStyle w:val="BodyText"/>
      </w:pPr>
      <w:r>
        <w:t>The value of administered expenses for 2012</w:t>
      </w:r>
      <w:r w:rsidR="00D276F1">
        <w:noBreakHyphen/>
      </w:r>
      <w:r>
        <w:t>13 is $2.9</w:t>
      </w:r>
      <w:r w:rsidR="00D276F1">
        <w:t> </w:t>
      </w:r>
      <w:r>
        <w:t>million (DIISR, pers. comm., December</w:t>
      </w:r>
      <w:r w:rsidR="00D276F1">
        <w:t> </w:t>
      </w:r>
      <w:r>
        <w:t xml:space="preserve">2013). </w:t>
      </w:r>
    </w:p>
    <w:p w:rsidR="001E3CBE" w:rsidRDefault="00076C6A" w:rsidP="00120072">
      <w:pPr>
        <w:pStyle w:val="BodyText"/>
      </w:pPr>
      <w:r>
        <w:t>The program is assessed as initially benefiting firms in the automotive industry</w:t>
      </w:r>
      <w:r w:rsidR="005D32F0">
        <w:t>.</w:t>
      </w:r>
      <w:r>
        <w:t xml:space="preserve"> </w:t>
      </w:r>
      <w:r w:rsidR="00907184">
        <w:t xml:space="preserve">While </w:t>
      </w:r>
      <w:r w:rsidR="00BF4F67">
        <w:t xml:space="preserve">a substantial proportion </w:t>
      </w:r>
      <w:r w:rsidR="00907184">
        <w:t>of these firms are</w:t>
      </w:r>
      <w:r w:rsidR="00BF4F67">
        <w:t xml:space="preserve"> likely to be classified to</w:t>
      </w:r>
      <w:r w:rsidR="00907184">
        <w:t xml:space="preserve"> the </w:t>
      </w:r>
      <w:r w:rsidR="00907184" w:rsidRPr="0053069D">
        <w:rPr>
          <w:i/>
        </w:rPr>
        <w:t>motor vehicles and parts</w:t>
      </w:r>
      <w:r w:rsidR="00907184">
        <w:t xml:space="preserve"> industry</w:t>
      </w:r>
      <w:r w:rsidR="006F5C1A">
        <w:t xml:space="preserve"> grouping</w:t>
      </w:r>
      <w:r w:rsidR="0053069D">
        <w:t xml:space="preserve">, firms </w:t>
      </w:r>
      <w:r w:rsidR="00BF4F67">
        <w:t xml:space="preserve">may also be </w:t>
      </w:r>
      <w:r w:rsidR="0053069D">
        <w:t>en</w:t>
      </w:r>
      <w:r w:rsidR="00BF4F67">
        <w:t>g</w:t>
      </w:r>
      <w:r w:rsidR="0053069D">
        <w:t xml:space="preserve">aged </w:t>
      </w:r>
      <w:r w:rsidR="00BF4F67">
        <w:t xml:space="preserve">in </w:t>
      </w:r>
      <w:r w:rsidR="00907184">
        <w:t>plastics</w:t>
      </w:r>
      <w:r w:rsidR="0053069D">
        <w:t>, g</w:t>
      </w:r>
      <w:r w:rsidR="00907184">
        <w:t xml:space="preserve">lass </w:t>
      </w:r>
      <w:r w:rsidR="0053069D">
        <w:t xml:space="preserve">and fabric </w:t>
      </w:r>
      <w:r w:rsidR="00907184">
        <w:t xml:space="preserve">manufacturing </w:t>
      </w:r>
      <w:r w:rsidR="00BF4F67">
        <w:t>and appropriately classified to</w:t>
      </w:r>
      <w:r w:rsidR="00907184">
        <w:t xml:space="preserve"> </w:t>
      </w:r>
      <w:r w:rsidR="0053069D">
        <w:t xml:space="preserve">other industry groupings. </w:t>
      </w:r>
      <w:r w:rsidR="00907184">
        <w:t xml:space="preserve">In the absence of </w:t>
      </w:r>
      <w:r w:rsidR="0053069D">
        <w:t xml:space="preserve">detailed </w:t>
      </w:r>
      <w:r w:rsidR="00907184">
        <w:t xml:space="preserve">information on the specific industry incidence of the program, the budgetary outlay </w:t>
      </w:r>
      <w:r>
        <w:t xml:space="preserve">has been </w:t>
      </w:r>
      <w:r w:rsidR="00907184">
        <w:t xml:space="preserve">classified </w:t>
      </w:r>
      <w:r>
        <w:t xml:space="preserve">to the </w:t>
      </w:r>
      <w:r w:rsidRPr="00D276F1">
        <w:rPr>
          <w:i/>
        </w:rPr>
        <w:t>motor vehicles and parts</w:t>
      </w:r>
      <w:r>
        <w:t xml:space="preserve"> industry grouping. </w:t>
      </w:r>
    </w:p>
    <w:p w:rsidR="001E3CBE" w:rsidRDefault="001E3CBE" w:rsidP="0053433F">
      <w:pPr>
        <w:pStyle w:val="Heading3"/>
      </w:pPr>
      <w:r>
        <w:t>Energy Brix Australia Corporation</w:t>
      </w:r>
    </w:p>
    <w:p w:rsidR="00076C6A" w:rsidRDefault="002322CF" w:rsidP="00076C6A">
      <w:pPr>
        <w:pStyle w:val="BodyText"/>
      </w:pPr>
      <w:r>
        <w:t xml:space="preserve">In 2012, the Australian Government announced </w:t>
      </w:r>
      <w:r w:rsidR="00670C24">
        <w:t xml:space="preserve">that it would provide </w:t>
      </w:r>
      <w:r>
        <w:t xml:space="preserve">a restructuring package </w:t>
      </w:r>
      <w:r w:rsidR="00F77BF3">
        <w:t xml:space="preserve">for Energy Brix Australia Corporation </w:t>
      </w:r>
      <w:r>
        <w:t xml:space="preserve">intended to enable </w:t>
      </w:r>
      <w:r w:rsidR="00F77BF3">
        <w:t xml:space="preserve">the company </w:t>
      </w:r>
      <w:r>
        <w:t>to maintain briquette production</w:t>
      </w:r>
      <w:r w:rsidR="00670C24">
        <w:t>,</w:t>
      </w:r>
      <w:r>
        <w:t xml:space="preserve"> at its Morwell</w:t>
      </w:r>
      <w:r w:rsidR="00670C24">
        <w:t xml:space="preserve"> </w:t>
      </w:r>
      <w:r>
        <w:t>facility</w:t>
      </w:r>
      <w:r w:rsidR="00670C24">
        <w:t xml:space="preserve"> in Victoria, </w:t>
      </w:r>
      <w:r>
        <w:t xml:space="preserve">for a period of up to two years (Ferguson, Combet and </w:t>
      </w:r>
      <w:r w:rsidR="008B676B">
        <w:t>Crean </w:t>
      </w:r>
      <w:r>
        <w:t xml:space="preserve">2012). </w:t>
      </w:r>
      <w:r w:rsidR="00670C24">
        <w:t xml:space="preserve">The funding was intended to ensure that around 50 downstream businesses nationwide which rely on the briquettes have time to transition to alternative fuels or feedstock. </w:t>
      </w:r>
      <w:r w:rsidR="00076C6A">
        <w:t>Energy Brix Australia Corporation co-generates base-load electricity from its brown coal power station at Morwell in the Latrobe Valley, Victoria</w:t>
      </w:r>
      <w:r w:rsidR="00F77BF3">
        <w:t xml:space="preserve">. </w:t>
      </w:r>
      <w:r w:rsidR="00076C6A">
        <w:t xml:space="preserve">Since the introduction of the carbon tax in July 2012, </w:t>
      </w:r>
      <w:r w:rsidR="00670C24">
        <w:t xml:space="preserve">however, </w:t>
      </w:r>
      <w:r w:rsidR="00076C6A">
        <w:t xml:space="preserve">the plant has operated primarily to supply steam to the </w:t>
      </w:r>
      <w:r w:rsidR="00E12D29">
        <w:t xml:space="preserve">company’s integrated brown coal </w:t>
      </w:r>
      <w:r w:rsidR="00076C6A">
        <w:t xml:space="preserve">briquette </w:t>
      </w:r>
      <w:r w:rsidR="00E12D29">
        <w:t xml:space="preserve">manufacturing </w:t>
      </w:r>
      <w:r w:rsidR="00076C6A">
        <w:t>facility with electricity generated as a by-product</w:t>
      </w:r>
      <w:r w:rsidR="00670C24">
        <w:t xml:space="preserve"> (DIICCSRT</w:t>
      </w:r>
      <w:r w:rsidR="0010517A">
        <w:t>E</w:t>
      </w:r>
      <w:r w:rsidR="00670C24">
        <w:t> 2013)</w:t>
      </w:r>
      <w:r w:rsidR="00076C6A">
        <w:t xml:space="preserve">. </w:t>
      </w:r>
    </w:p>
    <w:p w:rsidR="00076C6A" w:rsidRDefault="00076C6A" w:rsidP="00076C6A">
      <w:pPr>
        <w:pStyle w:val="BodyText"/>
      </w:pPr>
      <w:r>
        <w:t>The value of administered expenses for 2012</w:t>
      </w:r>
      <w:r w:rsidR="00D276F1">
        <w:noBreakHyphen/>
      </w:r>
      <w:r>
        <w:t>13 is $9.1</w:t>
      </w:r>
      <w:r w:rsidR="00D276F1">
        <w:t> </w:t>
      </w:r>
      <w:r>
        <w:t>million (DIISR, pers. comm., December</w:t>
      </w:r>
      <w:r w:rsidR="00D276F1">
        <w:t> </w:t>
      </w:r>
      <w:r>
        <w:t xml:space="preserve">2013). </w:t>
      </w:r>
    </w:p>
    <w:p w:rsidR="00670C24" w:rsidRDefault="00670C24" w:rsidP="00120072">
      <w:pPr>
        <w:pStyle w:val="BodyText"/>
      </w:pPr>
      <w:r>
        <w:lastRenderedPageBreak/>
        <w:t xml:space="preserve">For </w:t>
      </w:r>
      <w:r w:rsidRPr="00670C24">
        <w:rPr>
          <w:i/>
        </w:rPr>
        <w:t>Trade &amp; Assistance Review 2012</w:t>
      </w:r>
      <w:r w:rsidRPr="00670C24">
        <w:rPr>
          <w:i/>
        </w:rPr>
        <w:noBreakHyphen/>
        <w:t>13</w:t>
      </w:r>
      <w:r>
        <w:t xml:space="preserve">, this program was </w:t>
      </w:r>
      <w:r w:rsidR="00D807DB">
        <w:t xml:space="preserve">originally </w:t>
      </w:r>
      <w:r>
        <w:t xml:space="preserve">allocated to the </w:t>
      </w:r>
      <w:r w:rsidRPr="00D276F1">
        <w:rPr>
          <w:i/>
        </w:rPr>
        <w:t>electricity, gas, water and waste services</w:t>
      </w:r>
      <w:r>
        <w:t xml:space="preserve"> industry grouping. On review, </w:t>
      </w:r>
      <w:r w:rsidR="00FA6F1B">
        <w:t xml:space="preserve">the initial benefiting industry was revised to briquette manufacturing which is located in the </w:t>
      </w:r>
      <w:r w:rsidR="00FA6F1B" w:rsidRPr="00701A72">
        <w:rPr>
          <w:i/>
        </w:rPr>
        <w:t>petroleum, coal, chemical and rubber products</w:t>
      </w:r>
      <w:r w:rsidR="00FA6F1B">
        <w:t xml:space="preserve"> industry grouping in the Commission’s ANZSIC-based classification. </w:t>
      </w:r>
      <w:r>
        <w:t>Th</w:t>
      </w:r>
      <w:r w:rsidR="00D807DB">
        <w:t xml:space="preserve">is </w:t>
      </w:r>
      <w:r>
        <w:t>change will be reflected in the upcoming 2013</w:t>
      </w:r>
      <w:r>
        <w:noBreakHyphen/>
        <w:t xml:space="preserve">14 </w:t>
      </w:r>
      <w:r w:rsidRPr="00670C24">
        <w:rPr>
          <w:i/>
        </w:rPr>
        <w:t>Review</w:t>
      </w:r>
      <w:r>
        <w:t xml:space="preserve">. </w:t>
      </w:r>
    </w:p>
    <w:p w:rsidR="001E3CBE" w:rsidRDefault="001E3CBE" w:rsidP="0053433F">
      <w:pPr>
        <w:pStyle w:val="Heading3"/>
      </w:pPr>
      <w:r>
        <w:t>Australian Paper’s Maryv</w:t>
      </w:r>
      <w:r w:rsidR="009E42F0">
        <w:t>ale</w:t>
      </w:r>
      <w:r>
        <w:t xml:space="preserve"> Pulp and Paper</w:t>
      </w:r>
    </w:p>
    <w:p w:rsidR="00351948" w:rsidRDefault="00351948" w:rsidP="00351948">
      <w:pPr>
        <w:pStyle w:val="BodyText"/>
      </w:pPr>
      <w:r>
        <w:t>In 2012, the Australian Government announced it would provide $9.5</w:t>
      </w:r>
      <w:r w:rsidR="001B31A9">
        <w:t> </w:t>
      </w:r>
      <w:r>
        <w:t xml:space="preserve">million over three years to Australian </w:t>
      </w:r>
      <w:r w:rsidR="009E42F0">
        <w:t>P</w:t>
      </w:r>
      <w:r>
        <w:t>aper</w:t>
      </w:r>
      <w:r w:rsidR="009E42F0">
        <w:t>. The assistance is</w:t>
      </w:r>
      <w:r>
        <w:t xml:space="preserve"> intended to establish a de-inked pulp facility at its pulp and paper mill in Maryvale, Victoria. The new facility will enable Australian </w:t>
      </w:r>
      <w:r w:rsidR="009E42F0">
        <w:t>P</w:t>
      </w:r>
      <w:r>
        <w:t>aper to produce its own de-inked pulp for use in the manufacture of printing and communications paper, in</w:t>
      </w:r>
      <w:r w:rsidR="008B676B">
        <w:t xml:space="preserve"> </w:t>
      </w:r>
      <w:r>
        <w:t>turn reducing the company’s reliance on native forest fibre (Australian Government</w:t>
      </w:r>
      <w:r w:rsidR="001B31A9">
        <w:t> </w:t>
      </w:r>
      <w:r>
        <w:t xml:space="preserve">2012). </w:t>
      </w:r>
    </w:p>
    <w:p w:rsidR="00351948" w:rsidRDefault="00351948" w:rsidP="00351948">
      <w:pPr>
        <w:pStyle w:val="BodyText"/>
      </w:pPr>
      <w:r>
        <w:t>The value of administered expenses for 2012</w:t>
      </w:r>
      <w:r w:rsidR="001B31A9">
        <w:noBreakHyphen/>
      </w:r>
      <w:r>
        <w:t>13 is $4.2</w:t>
      </w:r>
      <w:r w:rsidR="001B31A9">
        <w:t> </w:t>
      </w:r>
      <w:r>
        <w:t>million (DIISR, pers. comm., December</w:t>
      </w:r>
      <w:r w:rsidR="001B31A9">
        <w:t> </w:t>
      </w:r>
      <w:r>
        <w:t xml:space="preserve">2013). </w:t>
      </w:r>
    </w:p>
    <w:p w:rsidR="001E3CBE" w:rsidRDefault="00351948" w:rsidP="00120072">
      <w:pPr>
        <w:pStyle w:val="BodyText"/>
      </w:pPr>
      <w:r>
        <w:t>The program is assessed as initially benefiting the manufacture of printing and communication</w:t>
      </w:r>
      <w:r w:rsidR="009E42F0">
        <w:t>s</w:t>
      </w:r>
      <w:r>
        <w:t xml:space="preserve"> paper and has been allocated to the </w:t>
      </w:r>
      <w:r w:rsidRPr="001B31A9">
        <w:rPr>
          <w:i/>
        </w:rPr>
        <w:t>wood and paper products</w:t>
      </w:r>
      <w:r>
        <w:t xml:space="preserve"> industry grouping. </w:t>
      </w:r>
    </w:p>
    <w:p w:rsidR="00E4139C" w:rsidRDefault="001E3CBE" w:rsidP="0053433F">
      <w:pPr>
        <w:pStyle w:val="Heading3"/>
      </w:pPr>
      <w:r>
        <w:t>Vodafone Hutchison Australia – Tasmania Call Centre Expansion</w:t>
      </w:r>
    </w:p>
    <w:p w:rsidR="00294943" w:rsidRDefault="00294943" w:rsidP="00294943">
      <w:pPr>
        <w:pStyle w:val="BodyText"/>
      </w:pPr>
      <w:r>
        <w:t>In 2012, the Australian Government announced that it would provide $4</w:t>
      </w:r>
      <w:r w:rsidR="002D6C4D">
        <w:t> </w:t>
      </w:r>
      <w:r>
        <w:t>million to Vodafone Hutchison Australia intended to help expand its call centre operations at Kingston in Tasmania (Australian Government</w:t>
      </w:r>
      <w:r w:rsidR="002D6C4D">
        <w:t> </w:t>
      </w:r>
      <w:r>
        <w:t xml:space="preserve">2013). </w:t>
      </w:r>
    </w:p>
    <w:p w:rsidR="00294943" w:rsidRDefault="00294943" w:rsidP="00294943">
      <w:pPr>
        <w:pStyle w:val="BodyText"/>
      </w:pPr>
      <w:r>
        <w:t>The value of administered expenses for 2012</w:t>
      </w:r>
      <w:r w:rsidR="002D6C4D">
        <w:noBreakHyphen/>
      </w:r>
      <w:r>
        <w:t>13 is $4</w:t>
      </w:r>
      <w:r w:rsidR="002D6C4D">
        <w:t> </w:t>
      </w:r>
      <w:r>
        <w:t>million (DIISR, pers. comm., December</w:t>
      </w:r>
      <w:r w:rsidR="002D6C4D">
        <w:t> </w:t>
      </w:r>
      <w:r>
        <w:t xml:space="preserve">2013). </w:t>
      </w:r>
    </w:p>
    <w:p w:rsidR="001E3CBE" w:rsidRDefault="00294943" w:rsidP="00120072">
      <w:pPr>
        <w:pStyle w:val="BodyText"/>
      </w:pPr>
      <w:r>
        <w:t>The program is assessed as initially benefiting Vodafone Hutchison Australia</w:t>
      </w:r>
      <w:r w:rsidR="00D200F4">
        <w:t>, a telecommunications company,</w:t>
      </w:r>
      <w:r>
        <w:t xml:space="preserve"> and has been allocated to the </w:t>
      </w:r>
      <w:r w:rsidRPr="002D6C4D">
        <w:rPr>
          <w:i/>
        </w:rPr>
        <w:t>information, media and telecommunications</w:t>
      </w:r>
      <w:r>
        <w:t xml:space="preserve"> industry grouping. </w:t>
      </w:r>
    </w:p>
    <w:p w:rsidR="001E3CBE" w:rsidRDefault="001E3CBE" w:rsidP="0053433F">
      <w:pPr>
        <w:pStyle w:val="Heading3"/>
      </w:pPr>
      <w:r>
        <w:t>Manufacturing Technology Innovation Centre</w:t>
      </w:r>
    </w:p>
    <w:p w:rsidR="00ED4BDC" w:rsidRDefault="00ED4BDC" w:rsidP="00ED4BDC">
      <w:pPr>
        <w:pStyle w:val="BodyText"/>
      </w:pPr>
      <w:r>
        <w:t>In the 2012</w:t>
      </w:r>
      <w:r w:rsidR="00F12A72">
        <w:noBreakHyphen/>
      </w:r>
      <w:r>
        <w:t xml:space="preserve">13 </w:t>
      </w:r>
      <w:r w:rsidR="00E12D29">
        <w:t>federal b</w:t>
      </w:r>
      <w:r>
        <w:t>udget, the Australian Government announced that it would provide $29.9</w:t>
      </w:r>
      <w:r w:rsidR="00F12A72">
        <w:t> </w:t>
      </w:r>
      <w:r>
        <w:t>million to establish the Manufacturing Technology Innovation Centre. The Centre is intended to improve collaboration between academia and industry, and drive the development of innovative products and processes (MTAA</w:t>
      </w:r>
      <w:r w:rsidR="00F12A72">
        <w:t> </w:t>
      </w:r>
      <w:r>
        <w:t xml:space="preserve">2012). </w:t>
      </w:r>
    </w:p>
    <w:p w:rsidR="00ED4BDC" w:rsidRDefault="00ED4BDC" w:rsidP="00ED4BDC">
      <w:pPr>
        <w:pStyle w:val="BodyText"/>
      </w:pPr>
      <w:r>
        <w:lastRenderedPageBreak/>
        <w:t>The value of administered expenses for 2012</w:t>
      </w:r>
      <w:r w:rsidR="00F12A72">
        <w:noBreakHyphen/>
      </w:r>
      <w:r>
        <w:t>13 is $2.9</w:t>
      </w:r>
      <w:r w:rsidR="00F12A72">
        <w:t> </w:t>
      </w:r>
      <w:r>
        <w:t>million (DIISR, pers. comm., December</w:t>
      </w:r>
      <w:r w:rsidR="00F12A72">
        <w:t> </w:t>
      </w:r>
      <w:r>
        <w:t xml:space="preserve">2013). </w:t>
      </w:r>
    </w:p>
    <w:p w:rsidR="001E3CBE" w:rsidRDefault="00ED4BDC" w:rsidP="00120072">
      <w:pPr>
        <w:pStyle w:val="BodyText"/>
      </w:pPr>
      <w:r>
        <w:t>The program is assessed as initially benefiting firms in the manufacturing sector</w:t>
      </w:r>
      <w:r w:rsidR="009124DB">
        <w:t>. However, information on the specific industry incidence of the program has not been readily available. Accordingly the budgetary outlay</w:t>
      </w:r>
      <w:r>
        <w:t xml:space="preserve"> has been </w:t>
      </w:r>
      <w:r w:rsidR="009124DB">
        <w:t xml:space="preserve">classified </w:t>
      </w:r>
      <w:r>
        <w:t xml:space="preserve">to the </w:t>
      </w:r>
      <w:r w:rsidRPr="00F12A72">
        <w:rPr>
          <w:i/>
        </w:rPr>
        <w:t>unallocated manufacturing</w:t>
      </w:r>
      <w:r>
        <w:t xml:space="preserve"> industry grouping. </w:t>
      </w:r>
    </w:p>
    <w:p w:rsidR="001E3CBE" w:rsidRDefault="001E3CBE" w:rsidP="0053433F">
      <w:pPr>
        <w:pStyle w:val="Heading3"/>
      </w:pPr>
      <w:r>
        <w:t>Premium Fresh Tasmania</w:t>
      </w:r>
    </w:p>
    <w:p w:rsidR="00AB2A71" w:rsidRDefault="00AB2A71" w:rsidP="00AB2A71">
      <w:pPr>
        <w:pStyle w:val="BodyText"/>
      </w:pPr>
      <w:r>
        <w:t>In 2012, the Australian Government announced it would provide $0.5</w:t>
      </w:r>
      <w:r w:rsidR="003303D1">
        <w:t> </w:t>
      </w:r>
      <w:r>
        <w:t xml:space="preserve">million to Premium Fresh Tasmania intended to implement structural changes required to ensure its ongoing viability. Premium Fresh partners with over 80 landholders to grow, harvest, pack and ship a variety of vegetables for </w:t>
      </w:r>
      <w:r w:rsidR="00E12D29">
        <w:t xml:space="preserve">the </w:t>
      </w:r>
      <w:r>
        <w:t>Australian and international markets (Australian Government</w:t>
      </w:r>
      <w:r w:rsidR="003303D1">
        <w:t> </w:t>
      </w:r>
      <w:r>
        <w:t xml:space="preserve">2012). </w:t>
      </w:r>
    </w:p>
    <w:p w:rsidR="00AB2A71" w:rsidRDefault="00AB2A71" w:rsidP="00AB2A71">
      <w:pPr>
        <w:pStyle w:val="BodyText"/>
      </w:pPr>
      <w:r>
        <w:t>The value of administered expenses for 2012</w:t>
      </w:r>
      <w:r w:rsidR="003303D1">
        <w:noBreakHyphen/>
      </w:r>
      <w:r>
        <w:t>13 is $0.5</w:t>
      </w:r>
      <w:r w:rsidR="003303D1">
        <w:t> </w:t>
      </w:r>
      <w:r>
        <w:t>million (DIISR, pers. comm., December</w:t>
      </w:r>
      <w:r w:rsidR="003303D1">
        <w:t> </w:t>
      </w:r>
      <w:r>
        <w:t xml:space="preserve">2013). </w:t>
      </w:r>
    </w:p>
    <w:p w:rsidR="001E3CBE" w:rsidRDefault="00AB2A71" w:rsidP="00120072">
      <w:pPr>
        <w:pStyle w:val="BodyText"/>
      </w:pPr>
      <w:r>
        <w:t xml:space="preserve">The program is assessed as initially benefiting firms engaged in vegetable growing and has been allocated to the </w:t>
      </w:r>
      <w:r w:rsidRPr="003303D1">
        <w:rPr>
          <w:i/>
        </w:rPr>
        <w:t>horticulture and fruit growing</w:t>
      </w:r>
      <w:r>
        <w:t xml:space="preserve"> industry grouping. </w:t>
      </w:r>
    </w:p>
    <w:p w:rsidR="001E3CBE" w:rsidRDefault="001E3CBE" w:rsidP="0053433F">
      <w:pPr>
        <w:pStyle w:val="Heading3"/>
      </w:pPr>
      <w:r>
        <w:t>Digital Enterprise Program</w:t>
      </w:r>
    </w:p>
    <w:p w:rsidR="000418FD" w:rsidRDefault="000418FD" w:rsidP="000418FD">
      <w:pPr>
        <w:pStyle w:val="BodyText"/>
      </w:pPr>
      <w:r>
        <w:t>The Digital Enterprise Program is a</w:t>
      </w:r>
      <w:r w:rsidR="000B3126">
        <w:t xml:space="preserve"> </w:t>
      </w:r>
      <w:r w:rsidR="00E12D29">
        <w:t>$16.8</w:t>
      </w:r>
      <w:r w:rsidR="00D86607">
        <w:t> </w:t>
      </w:r>
      <w:r>
        <w:t>million grant program intended to provide free group training and face-to-face support for small-to-medium sized businesses and not-for-profit organisations to help improve the way they do business and deliver services online (DBCDE</w:t>
      </w:r>
      <w:r w:rsidR="00D86607">
        <w:t> </w:t>
      </w:r>
      <w:r>
        <w:t xml:space="preserve">2013). </w:t>
      </w:r>
    </w:p>
    <w:p w:rsidR="000418FD" w:rsidRDefault="000418FD" w:rsidP="000418FD">
      <w:pPr>
        <w:pStyle w:val="BodyText"/>
      </w:pPr>
      <w:r>
        <w:t>The value of administered expenses for 2012</w:t>
      </w:r>
      <w:r w:rsidR="00D86607">
        <w:noBreakHyphen/>
      </w:r>
      <w:r>
        <w:t>13 is $1.9</w:t>
      </w:r>
      <w:r w:rsidR="00D86607">
        <w:t> </w:t>
      </w:r>
      <w:r>
        <w:t>million (DBCDE</w:t>
      </w:r>
      <w:r w:rsidR="00D86607">
        <w:t> </w:t>
      </w:r>
      <w:r>
        <w:t>2013, p.</w:t>
      </w:r>
      <w:r w:rsidR="00D86607">
        <w:t> </w:t>
      </w:r>
      <w:r>
        <w:t xml:space="preserve">24). </w:t>
      </w:r>
    </w:p>
    <w:p w:rsidR="001E3CBE" w:rsidRDefault="00385723" w:rsidP="00120072">
      <w:pPr>
        <w:pStyle w:val="BodyText"/>
      </w:pPr>
      <w:r>
        <w:t xml:space="preserve">Information on the </w:t>
      </w:r>
      <w:r w:rsidR="000418FD">
        <w:t xml:space="preserve">industry incidence of the program </w:t>
      </w:r>
      <w:r>
        <w:t xml:space="preserve">has not been readily available. Accordingly, the budgetary outlay </w:t>
      </w:r>
      <w:r w:rsidR="000418FD">
        <w:t xml:space="preserve">has been </w:t>
      </w:r>
      <w:r w:rsidR="000C57D3">
        <w:t xml:space="preserve">classified </w:t>
      </w:r>
      <w:r w:rsidR="000418FD">
        <w:t xml:space="preserve">to the </w:t>
      </w:r>
      <w:r w:rsidR="000418FD" w:rsidRPr="00D86607">
        <w:rPr>
          <w:i/>
        </w:rPr>
        <w:t>unallocated other</w:t>
      </w:r>
      <w:r w:rsidR="000418FD">
        <w:t xml:space="preserve"> industry grouping in the Commission’s ANZSIC-based industry classification. </w:t>
      </w:r>
    </w:p>
    <w:p w:rsidR="001E3CBE" w:rsidRDefault="001E3CBE" w:rsidP="0053433F">
      <w:pPr>
        <w:pStyle w:val="Heading3"/>
      </w:pPr>
      <w:r>
        <w:t>Rebate for broadcasting licence fees</w:t>
      </w:r>
    </w:p>
    <w:p w:rsidR="001E3CBE" w:rsidRDefault="000418FD" w:rsidP="00120072">
      <w:pPr>
        <w:pStyle w:val="BodyText"/>
      </w:pPr>
      <w:r w:rsidRPr="000418FD">
        <w:t>Free-to-air television broadcasters received licence fee rebates of 33</w:t>
      </w:r>
      <w:r w:rsidR="00DE3937">
        <w:t> </w:t>
      </w:r>
      <w:r w:rsidRPr="000418FD">
        <w:t>per</w:t>
      </w:r>
      <w:r w:rsidR="00DE3937">
        <w:t> </w:t>
      </w:r>
      <w:r w:rsidRPr="000418FD">
        <w:t>cent in 2010 and 50</w:t>
      </w:r>
      <w:r w:rsidR="00DE3937">
        <w:t> </w:t>
      </w:r>
      <w:r w:rsidRPr="000418FD">
        <w:t>per</w:t>
      </w:r>
      <w:r w:rsidR="00DE3937">
        <w:t> </w:t>
      </w:r>
      <w:r w:rsidRPr="000418FD">
        <w:t>cent from 1</w:t>
      </w:r>
      <w:r w:rsidR="00DE3937">
        <w:t> </w:t>
      </w:r>
      <w:r w:rsidRPr="000418FD">
        <w:t>January 2011 to 30</w:t>
      </w:r>
      <w:r w:rsidR="00DE3937">
        <w:t> </w:t>
      </w:r>
      <w:r w:rsidRPr="000418FD">
        <w:t>June 2012 (Australian Government</w:t>
      </w:r>
      <w:r w:rsidR="00DE3937">
        <w:t> </w:t>
      </w:r>
      <w:r w:rsidRPr="000418FD">
        <w:t>2014a)</w:t>
      </w:r>
      <w:r w:rsidR="004E3A0E">
        <w:t>, which were estimated by Treasury to have an impact on revenue forgone estimates from 2010</w:t>
      </w:r>
      <w:r w:rsidR="004E3A0E">
        <w:noBreakHyphen/>
        <w:t>11 to 2012</w:t>
      </w:r>
      <w:r w:rsidR="004E3A0E">
        <w:noBreakHyphen/>
        <w:t>13</w:t>
      </w:r>
      <w:r w:rsidRPr="000418FD">
        <w:t xml:space="preserve">. The Treasury’s estimate of revenue foregone from the rebate is presented in </w:t>
      </w:r>
      <w:r w:rsidR="0031486E" w:rsidRPr="000418FD">
        <w:t>table</w:t>
      </w:r>
      <w:r w:rsidR="0031486E">
        <w:t> </w:t>
      </w:r>
      <w:r w:rsidRPr="000418FD">
        <w:t>2.2.</w:t>
      </w:r>
      <w:r>
        <w:t xml:space="preserve"> </w:t>
      </w:r>
    </w:p>
    <w:p w:rsidR="0048653A" w:rsidRDefault="0048653A"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8"/>
      </w:tblGrid>
      <w:tr w:rsidR="0048653A" w:rsidTr="00F95957">
        <w:tc>
          <w:tcPr>
            <w:tcW w:w="8771" w:type="dxa"/>
            <w:tcBorders>
              <w:top w:val="single" w:sz="6" w:space="0" w:color="78A22F" w:themeColor="accent1"/>
              <w:left w:val="nil"/>
              <w:bottom w:val="nil"/>
              <w:right w:val="nil"/>
            </w:tcBorders>
            <w:shd w:val="clear" w:color="auto" w:fill="auto"/>
          </w:tcPr>
          <w:p w:rsidR="0048653A" w:rsidRDefault="0048653A" w:rsidP="004267DB">
            <w:pPr>
              <w:pStyle w:val="TableTitle"/>
            </w:pPr>
            <w:r>
              <w:rPr>
                <w:b w:val="0"/>
              </w:rPr>
              <w:t xml:space="preserve">Table </w:t>
            </w:r>
            <w:r w:rsidR="00131E7F">
              <w:rPr>
                <w:b w:val="0"/>
              </w:rPr>
              <w:t>2.</w:t>
            </w:r>
            <w:r w:rsidR="00FA47F0">
              <w:rPr>
                <w:b w:val="0"/>
                <w:noProof/>
              </w:rPr>
              <w:t>2</w:t>
            </w:r>
            <w:r>
              <w:tab/>
              <w:t>Rebate for broadcasting licence fees, 2009</w:t>
            </w:r>
            <w:r>
              <w:noBreakHyphen/>
              <w:t>10 to 2013</w:t>
            </w:r>
            <w:r>
              <w:noBreakHyphen/>
              <w:t>14</w:t>
            </w:r>
          </w:p>
          <w:p w:rsidR="0048653A" w:rsidRPr="00784A05" w:rsidRDefault="0048653A" w:rsidP="00784A05">
            <w:pPr>
              <w:pStyle w:val="Subtitle"/>
            </w:pPr>
            <w:r>
              <w:t>$ </w:t>
            </w:r>
            <w:proofErr w:type="gramStart"/>
            <w:r>
              <w:t>million</w:t>
            </w:r>
            <w:proofErr w:type="gramEnd"/>
          </w:p>
        </w:tc>
      </w:tr>
      <w:tr w:rsidR="0048653A" w:rsidTr="00F95957">
        <w:trPr>
          <w:cantSplit/>
        </w:trPr>
        <w:tc>
          <w:tcPr>
            <w:tcW w:w="8771" w:type="dxa"/>
            <w:tcBorders>
              <w:top w:val="nil"/>
              <w:left w:val="nil"/>
              <w:bottom w:val="nil"/>
              <w:right w:val="nil"/>
            </w:tcBorders>
            <w:shd w:val="clear" w:color="auto" w:fill="auto"/>
          </w:tcPr>
          <w:tbl>
            <w:tblPr>
              <w:tblW w:w="8504" w:type="dxa"/>
              <w:tblCellMar>
                <w:top w:w="28" w:type="dxa"/>
                <w:left w:w="0" w:type="dxa"/>
                <w:right w:w="0" w:type="dxa"/>
              </w:tblCellMar>
              <w:tblLook w:val="0000" w:firstRow="0" w:lastRow="0" w:firstColumn="0" w:lastColumn="0" w:noHBand="0" w:noVBand="0"/>
            </w:tblPr>
            <w:tblGrid>
              <w:gridCol w:w="3119"/>
              <w:gridCol w:w="1077"/>
              <w:gridCol w:w="1077"/>
              <w:gridCol w:w="1077"/>
              <w:gridCol w:w="1077"/>
              <w:gridCol w:w="1077"/>
            </w:tblGrid>
            <w:tr w:rsidR="00A80092" w:rsidTr="008314F2">
              <w:tc>
                <w:tcPr>
                  <w:tcW w:w="1834" w:type="pct"/>
                  <w:tcBorders>
                    <w:top w:val="single" w:sz="6" w:space="0" w:color="BFBFBF" w:themeColor="background2"/>
                    <w:bottom w:val="single" w:sz="6" w:space="0" w:color="BFBFBF" w:themeColor="background2"/>
                  </w:tcBorders>
                  <w:shd w:val="clear" w:color="auto" w:fill="auto"/>
                  <w:tcMar>
                    <w:top w:w="28" w:type="dxa"/>
                  </w:tcMar>
                </w:tcPr>
                <w:p w:rsidR="00A80092" w:rsidRDefault="00A80092" w:rsidP="00846637">
                  <w:pPr>
                    <w:pStyle w:val="TableColumnHeading"/>
                    <w:jc w:val="left"/>
                  </w:pPr>
                </w:p>
              </w:tc>
              <w:tc>
                <w:tcPr>
                  <w:tcW w:w="633" w:type="pct"/>
                  <w:tcBorders>
                    <w:top w:val="single" w:sz="6" w:space="0" w:color="BFBFBF" w:themeColor="background2"/>
                    <w:bottom w:val="single" w:sz="6" w:space="0" w:color="BFBFBF" w:themeColor="background2"/>
                  </w:tcBorders>
                </w:tcPr>
                <w:p w:rsidR="00A80092" w:rsidRDefault="00A80092" w:rsidP="00846637">
                  <w:pPr>
                    <w:pStyle w:val="TableColumnHeading"/>
                  </w:pPr>
                  <w:r>
                    <w:t>2009</w:t>
                  </w:r>
                  <w:r>
                    <w:noBreakHyphen/>
                    <w:t>10</w:t>
                  </w:r>
                </w:p>
              </w:tc>
              <w:tc>
                <w:tcPr>
                  <w:tcW w:w="633" w:type="pct"/>
                  <w:tcBorders>
                    <w:top w:val="single" w:sz="6" w:space="0" w:color="BFBFBF" w:themeColor="background2"/>
                    <w:bottom w:val="single" w:sz="6" w:space="0" w:color="BFBFBF" w:themeColor="background2"/>
                  </w:tcBorders>
                </w:tcPr>
                <w:p w:rsidR="00A80092" w:rsidRDefault="00A80092" w:rsidP="00846637">
                  <w:pPr>
                    <w:pStyle w:val="TableColumnHeading"/>
                  </w:pPr>
                  <w:r>
                    <w:t>2010</w:t>
                  </w:r>
                  <w:r>
                    <w:noBreakHyphen/>
                    <w:t>11</w:t>
                  </w:r>
                </w:p>
              </w:tc>
              <w:tc>
                <w:tcPr>
                  <w:tcW w:w="633" w:type="pct"/>
                  <w:tcBorders>
                    <w:top w:val="single" w:sz="6" w:space="0" w:color="BFBFBF" w:themeColor="background2"/>
                    <w:bottom w:val="single" w:sz="6" w:space="0" w:color="BFBFBF" w:themeColor="background2"/>
                  </w:tcBorders>
                </w:tcPr>
                <w:p w:rsidR="00A80092" w:rsidRDefault="00A80092" w:rsidP="00846637">
                  <w:pPr>
                    <w:pStyle w:val="TableColumnHeading"/>
                  </w:pPr>
                  <w:r>
                    <w:t>2011</w:t>
                  </w:r>
                  <w:r>
                    <w:noBreakHyphen/>
                    <w:t>12</w:t>
                  </w:r>
                </w:p>
              </w:tc>
              <w:tc>
                <w:tcPr>
                  <w:tcW w:w="633" w:type="pct"/>
                  <w:tcBorders>
                    <w:top w:val="single" w:sz="6" w:space="0" w:color="BFBFBF" w:themeColor="background2"/>
                    <w:bottom w:val="single" w:sz="6" w:space="0" w:color="BFBFBF" w:themeColor="background2"/>
                  </w:tcBorders>
                  <w:shd w:val="clear" w:color="auto" w:fill="auto"/>
                  <w:tcMar>
                    <w:top w:w="28" w:type="dxa"/>
                  </w:tcMar>
                </w:tcPr>
                <w:p w:rsidR="00A80092" w:rsidRDefault="00A80092" w:rsidP="00846637">
                  <w:pPr>
                    <w:pStyle w:val="TableColumnHeading"/>
                  </w:pPr>
                  <w:r>
                    <w:t>2012</w:t>
                  </w:r>
                  <w:r>
                    <w:noBreakHyphen/>
                    <w:t>13</w:t>
                  </w:r>
                </w:p>
              </w:tc>
              <w:tc>
                <w:tcPr>
                  <w:tcW w:w="633" w:type="pct"/>
                  <w:tcBorders>
                    <w:top w:val="single" w:sz="6" w:space="0" w:color="BFBFBF" w:themeColor="background2"/>
                    <w:bottom w:val="single" w:sz="6" w:space="0" w:color="BFBFBF" w:themeColor="background2"/>
                  </w:tcBorders>
                  <w:shd w:val="clear" w:color="auto" w:fill="auto"/>
                  <w:tcMar>
                    <w:top w:w="28" w:type="dxa"/>
                  </w:tcMar>
                </w:tcPr>
                <w:p w:rsidR="00A80092" w:rsidRDefault="00A80092" w:rsidP="00846637">
                  <w:pPr>
                    <w:pStyle w:val="TableColumnHeading"/>
                    <w:ind w:right="28"/>
                  </w:pPr>
                  <w:r>
                    <w:t>2013</w:t>
                  </w:r>
                  <w:r>
                    <w:noBreakHyphen/>
                    <w:t>14</w:t>
                  </w:r>
                </w:p>
              </w:tc>
            </w:tr>
            <w:tr w:rsidR="00A80092" w:rsidTr="008314F2">
              <w:tc>
                <w:tcPr>
                  <w:tcW w:w="1834" w:type="pct"/>
                  <w:tcBorders>
                    <w:bottom w:val="single" w:sz="6" w:space="0" w:color="C8C8C8"/>
                  </w:tcBorders>
                  <w:shd w:val="clear" w:color="auto" w:fill="auto"/>
                </w:tcPr>
                <w:p w:rsidR="00A80092" w:rsidRDefault="00A80092" w:rsidP="006A1E1C">
                  <w:pPr>
                    <w:pStyle w:val="TableBodyText"/>
                    <w:spacing w:before="80"/>
                    <w:jc w:val="left"/>
                  </w:pPr>
                  <w:r>
                    <w:t>Rebate for broadcasting licence fees</w:t>
                  </w:r>
                </w:p>
              </w:tc>
              <w:tc>
                <w:tcPr>
                  <w:tcW w:w="633" w:type="pct"/>
                  <w:tcBorders>
                    <w:bottom w:val="single" w:sz="6" w:space="0" w:color="C8C8C8"/>
                  </w:tcBorders>
                </w:tcPr>
                <w:p w:rsidR="00A80092" w:rsidRDefault="00A80092" w:rsidP="006A1E1C">
                  <w:pPr>
                    <w:pStyle w:val="TableBodyText"/>
                    <w:spacing w:before="80"/>
                  </w:pPr>
                  <w:r>
                    <w:t>–</w:t>
                  </w:r>
                </w:p>
              </w:tc>
              <w:tc>
                <w:tcPr>
                  <w:tcW w:w="633" w:type="pct"/>
                  <w:tcBorders>
                    <w:bottom w:val="single" w:sz="6" w:space="0" w:color="C8C8C8"/>
                  </w:tcBorders>
                </w:tcPr>
                <w:p w:rsidR="00A80092" w:rsidRDefault="00A80092" w:rsidP="006A1E1C">
                  <w:pPr>
                    <w:pStyle w:val="TableBodyText"/>
                    <w:spacing w:before="80"/>
                  </w:pPr>
                  <w:r>
                    <w:t>45.0</w:t>
                  </w:r>
                </w:p>
              </w:tc>
              <w:tc>
                <w:tcPr>
                  <w:tcW w:w="633" w:type="pct"/>
                  <w:tcBorders>
                    <w:bottom w:val="single" w:sz="6" w:space="0" w:color="C8C8C8"/>
                  </w:tcBorders>
                </w:tcPr>
                <w:p w:rsidR="00A80092" w:rsidRDefault="002927F0" w:rsidP="006A1E1C">
                  <w:pPr>
                    <w:pStyle w:val="TableBodyText"/>
                    <w:spacing w:before="80"/>
                  </w:pPr>
                  <w:r>
                    <w:t>130.0</w:t>
                  </w:r>
                </w:p>
              </w:tc>
              <w:tc>
                <w:tcPr>
                  <w:tcW w:w="633" w:type="pct"/>
                  <w:tcBorders>
                    <w:bottom w:val="single" w:sz="6" w:space="0" w:color="C8C8C8"/>
                  </w:tcBorders>
                  <w:shd w:val="clear" w:color="auto" w:fill="auto"/>
                </w:tcPr>
                <w:p w:rsidR="00A80092" w:rsidRDefault="002927F0" w:rsidP="006A1E1C">
                  <w:pPr>
                    <w:pStyle w:val="TableBodyText"/>
                    <w:spacing w:before="80"/>
                  </w:pPr>
                  <w:r>
                    <w:t>155.0</w:t>
                  </w:r>
                </w:p>
              </w:tc>
              <w:tc>
                <w:tcPr>
                  <w:tcW w:w="633" w:type="pct"/>
                  <w:tcBorders>
                    <w:bottom w:val="single" w:sz="6" w:space="0" w:color="C8C8C8"/>
                  </w:tcBorders>
                  <w:shd w:val="clear" w:color="auto" w:fill="auto"/>
                </w:tcPr>
                <w:p w:rsidR="00A80092" w:rsidRDefault="00A80092" w:rsidP="006A1E1C">
                  <w:pPr>
                    <w:pStyle w:val="TableBodyText"/>
                    <w:spacing w:before="80"/>
                    <w:ind w:right="28"/>
                  </w:pPr>
                  <w:r>
                    <w:t>–</w:t>
                  </w:r>
                </w:p>
              </w:tc>
            </w:tr>
          </w:tbl>
          <w:p w:rsidR="0048653A" w:rsidRDefault="0048653A" w:rsidP="00846637">
            <w:pPr>
              <w:pStyle w:val="Box"/>
            </w:pPr>
          </w:p>
        </w:tc>
      </w:tr>
      <w:tr w:rsidR="0048653A" w:rsidTr="00F95957">
        <w:trPr>
          <w:cantSplit/>
        </w:trPr>
        <w:tc>
          <w:tcPr>
            <w:tcW w:w="8771" w:type="dxa"/>
            <w:tcBorders>
              <w:top w:val="nil"/>
              <w:left w:val="nil"/>
              <w:bottom w:val="nil"/>
              <w:right w:val="nil"/>
            </w:tcBorders>
            <w:shd w:val="clear" w:color="auto" w:fill="auto"/>
          </w:tcPr>
          <w:p w:rsidR="0048653A" w:rsidRDefault="0048653A" w:rsidP="004267DB">
            <w:pPr>
              <w:pStyle w:val="Note"/>
              <w:rPr>
                <w:i/>
              </w:rPr>
            </w:pPr>
            <w:r>
              <w:t>– Nil.</w:t>
            </w:r>
          </w:p>
        </w:tc>
      </w:tr>
      <w:tr w:rsidR="0048653A" w:rsidTr="00F95957">
        <w:trPr>
          <w:cantSplit/>
        </w:trPr>
        <w:tc>
          <w:tcPr>
            <w:tcW w:w="8771" w:type="dxa"/>
            <w:tcBorders>
              <w:top w:val="nil"/>
              <w:left w:val="nil"/>
              <w:bottom w:val="nil"/>
              <w:right w:val="nil"/>
            </w:tcBorders>
            <w:shd w:val="clear" w:color="auto" w:fill="auto"/>
          </w:tcPr>
          <w:p w:rsidR="0048653A" w:rsidRDefault="0048653A" w:rsidP="00247965">
            <w:pPr>
              <w:pStyle w:val="Source"/>
            </w:pPr>
            <w:r>
              <w:rPr>
                <w:i/>
              </w:rPr>
              <w:t>Source</w:t>
            </w:r>
            <w:r w:rsidRPr="00167F06">
              <w:t xml:space="preserve">: </w:t>
            </w:r>
            <w:r>
              <w:t>Australian Government 2014</w:t>
            </w:r>
            <w:r w:rsidR="0061087C">
              <w:t>a.</w:t>
            </w:r>
            <w:r>
              <w:t xml:space="preserve"> </w:t>
            </w:r>
          </w:p>
        </w:tc>
      </w:tr>
      <w:tr w:rsidR="0048653A" w:rsidTr="00F95957">
        <w:trPr>
          <w:cantSplit/>
        </w:trPr>
        <w:tc>
          <w:tcPr>
            <w:tcW w:w="8771" w:type="dxa"/>
            <w:tcBorders>
              <w:top w:val="nil"/>
              <w:left w:val="nil"/>
              <w:bottom w:val="single" w:sz="6" w:space="0" w:color="78A22F" w:themeColor="accent1"/>
              <w:right w:val="nil"/>
            </w:tcBorders>
            <w:shd w:val="clear" w:color="auto" w:fill="auto"/>
          </w:tcPr>
          <w:p w:rsidR="0048653A" w:rsidRDefault="0048653A" w:rsidP="00846637">
            <w:pPr>
              <w:pStyle w:val="Box"/>
              <w:spacing w:before="0" w:line="120" w:lineRule="exact"/>
            </w:pPr>
          </w:p>
        </w:tc>
      </w:tr>
      <w:tr w:rsidR="0048653A" w:rsidRPr="000863A5" w:rsidTr="002C071C">
        <w:tc>
          <w:tcPr>
            <w:tcW w:w="8771" w:type="dxa"/>
            <w:tcBorders>
              <w:top w:val="single" w:sz="6" w:space="0" w:color="78A22F" w:themeColor="accent1"/>
              <w:left w:val="nil"/>
              <w:bottom w:val="nil"/>
              <w:right w:val="nil"/>
            </w:tcBorders>
          </w:tcPr>
          <w:p w:rsidR="0048653A" w:rsidRPr="00626D32" w:rsidRDefault="0048653A" w:rsidP="00784A05">
            <w:pPr>
              <w:pStyle w:val="BoxSpaceBelow"/>
            </w:pPr>
          </w:p>
        </w:tc>
      </w:tr>
    </w:tbl>
    <w:p w:rsidR="000418FD" w:rsidRDefault="000418FD" w:rsidP="000418FD">
      <w:pPr>
        <w:pStyle w:val="BodyText"/>
      </w:pPr>
      <w:r>
        <w:t>The value of administered expenses for 2012</w:t>
      </w:r>
      <w:r w:rsidR="00DE3937">
        <w:noBreakHyphen/>
      </w:r>
      <w:r>
        <w:t>13 is $155</w:t>
      </w:r>
      <w:r w:rsidR="00DE3937">
        <w:t> </w:t>
      </w:r>
      <w:r>
        <w:t>million (Australian Government</w:t>
      </w:r>
      <w:r w:rsidR="00DE3937">
        <w:t> </w:t>
      </w:r>
      <w:r>
        <w:t>2014a, p.</w:t>
      </w:r>
      <w:r w:rsidR="00DE3937">
        <w:t> </w:t>
      </w:r>
      <w:r>
        <w:t xml:space="preserve">152). </w:t>
      </w:r>
    </w:p>
    <w:p w:rsidR="0048653A" w:rsidRDefault="000418FD" w:rsidP="00120072">
      <w:pPr>
        <w:pStyle w:val="BodyText"/>
      </w:pPr>
      <w:r>
        <w:t xml:space="preserve">The program is assessed as initially benefiting firms providing free-to-air television broadcasting services and has been allocated to the </w:t>
      </w:r>
      <w:r w:rsidRPr="00DE3937">
        <w:rPr>
          <w:i/>
        </w:rPr>
        <w:t>information, media and telecommunications</w:t>
      </w:r>
      <w:r>
        <w:t xml:space="preserve"> industry grouping. </w:t>
      </w:r>
    </w:p>
    <w:p w:rsidR="001E3CBE" w:rsidRDefault="001E3CBE" w:rsidP="0053433F">
      <w:pPr>
        <w:pStyle w:val="Heading3"/>
      </w:pPr>
      <w:r>
        <w:t>Product Stewardship for Oil Program</w:t>
      </w:r>
    </w:p>
    <w:p w:rsidR="000418FD" w:rsidRDefault="000418FD" w:rsidP="000418FD">
      <w:pPr>
        <w:pStyle w:val="BodyText"/>
      </w:pPr>
      <w:r>
        <w:t xml:space="preserve">The Product Stewardship for Oil (PSO) Program was introduced by the Australian Government in 2001. The program, administered by the Department of the Environment, is intended to encourage the environmentally sustainable management and re-refining of used oil and its </w:t>
      </w:r>
      <w:r w:rsidR="007403E8">
        <w:t>reuse</w:t>
      </w:r>
      <w:r>
        <w:t>. The program aims to achieve this outcome through the provision of financial incentives to increase the recycling of used oil (DE</w:t>
      </w:r>
      <w:r w:rsidR="00DE3937">
        <w:t> </w:t>
      </w:r>
      <w:r>
        <w:t xml:space="preserve">2014). </w:t>
      </w:r>
    </w:p>
    <w:p w:rsidR="001E3CBE" w:rsidRDefault="000418FD" w:rsidP="00120072">
      <w:pPr>
        <w:pStyle w:val="BodyText"/>
      </w:pPr>
      <w:r>
        <w:t>The Product Stewardship (Oil) Act 2000 establishes the general framework and benefit entitlements of the program’s arrangements. These arrangements comprise a levy-benefit system, where a 5.449</w:t>
      </w:r>
      <w:r w:rsidR="00DE3937">
        <w:t> </w:t>
      </w:r>
      <w:r>
        <w:t>cent per litre levy on manufacturers of relevant new mineral oils and recycled products (both domestic and imported) helps fund payments to used oil recyclers. While the levy is intended to offset the cost of the program, it is not hypothecated to payments</w:t>
      </w:r>
      <w:r w:rsidR="00247965">
        <w:t xml:space="preserve"> made to oil recyclers</w:t>
      </w:r>
      <w:r>
        <w:t xml:space="preserve">. </w:t>
      </w:r>
      <w:r w:rsidR="00247965">
        <w:t>I</w:t>
      </w:r>
      <w:r>
        <w:t>n 2012</w:t>
      </w:r>
      <w:r w:rsidR="00DE3937">
        <w:noBreakHyphen/>
      </w:r>
      <w:r>
        <w:t>13, the dollar value of payments processed was $33.4</w:t>
      </w:r>
      <w:r w:rsidR="00DE3937">
        <w:t> </w:t>
      </w:r>
      <w:r>
        <w:t>million while the dollar value of revenue collected was $21.6</w:t>
      </w:r>
      <w:r w:rsidR="00DE3937">
        <w:t> </w:t>
      </w:r>
      <w:r>
        <w:t>million (</w:t>
      </w:r>
      <w:r w:rsidR="0031486E">
        <w:t>table </w:t>
      </w:r>
      <w:r>
        <w:t xml:space="preserve">2.3). </w:t>
      </w:r>
    </w:p>
    <w:p w:rsidR="001E3CBE" w:rsidRDefault="001E3CBE"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91"/>
      </w:tblGrid>
      <w:tr w:rsidR="001E3CBE" w:rsidTr="00F95957">
        <w:tc>
          <w:tcPr>
            <w:tcW w:w="8771" w:type="dxa"/>
            <w:tcBorders>
              <w:top w:val="single" w:sz="6" w:space="0" w:color="78A22F" w:themeColor="accent1"/>
              <w:left w:val="nil"/>
              <w:bottom w:val="nil"/>
              <w:right w:val="nil"/>
            </w:tcBorders>
            <w:shd w:val="clear" w:color="auto" w:fill="auto"/>
          </w:tcPr>
          <w:p w:rsidR="001E3CBE" w:rsidRDefault="001E3CBE" w:rsidP="004267DB">
            <w:pPr>
              <w:pStyle w:val="TableTitle"/>
            </w:pPr>
            <w:r>
              <w:rPr>
                <w:b w:val="0"/>
              </w:rPr>
              <w:t xml:space="preserve">Table </w:t>
            </w:r>
            <w:r w:rsidR="00131E7F">
              <w:rPr>
                <w:b w:val="0"/>
              </w:rPr>
              <w:t>2.</w:t>
            </w:r>
            <w:r w:rsidR="00FA47F0">
              <w:rPr>
                <w:b w:val="0"/>
                <w:noProof/>
              </w:rPr>
              <w:t>3</w:t>
            </w:r>
            <w:r>
              <w:tab/>
              <w:t>Product stewardship for oil program</w:t>
            </w:r>
            <w:r w:rsidR="00531B3B">
              <w:t>, 2007</w:t>
            </w:r>
            <w:r w:rsidR="00531B3B">
              <w:noBreakHyphen/>
              <w:t>08 to 2012</w:t>
            </w:r>
            <w:r w:rsidR="00531B3B">
              <w:noBreakHyphen/>
              <w:t>13</w:t>
            </w:r>
          </w:p>
          <w:p w:rsidR="001E3CBE" w:rsidRPr="00784A05" w:rsidRDefault="001E3CBE" w:rsidP="00784A05">
            <w:pPr>
              <w:pStyle w:val="Subtitle"/>
            </w:pPr>
            <w:r>
              <w:t>$ </w:t>
            </w:r>
            <w:proofErr w:type="gramStart"/>
            <w:r>
              <w:t>million</w:t>
            </w:r>
            <w:proofErr w:type="gramEnd"/>
          </w:p>
        </w:tc>
      </w:tr>
      <w:tr w:rsidR="001E3CBE" w:rsidTr="00F95957">
        <w:trPr>
          <w:cantSplit/>
        </w:trPr>
        <w:tc>
          <w:tcPr>
            <w:tcW w:w="8771" w:type="dxa"/>
            <w:tcBorders>
              <w:top w:val="nil"/>
              <w:left w:val="nil"/>
              <w:bottom w:val="nil"/>
              <w:right w:val="nil"/>
            </w:tcBorders>
            <w:shd w:val="clear" w:color="auto" w:fill="auto"/>
          </w:tcPr>
          <w:tbl>
            <w:tblPr>
              <w:tblW w:w="8507" w:type="dxa"/>
              <w:tblCellMar>
                <w:top w:w="28" w:type="dxa"/>
                <w:left w:w="0" w:type="dxa"/>
                <w:right w:w="0" w:type="dxa"/>
              </w:tblCellMar>
              <w:tblLook w:val="0000" w:firstRow="0" w:lastRow="0" w:firstColumn="0" w:lastColumn="0" w:noHBand="0" w:noVBand="0"/>
            </w:tblPr>
            <w:tblGrid>
              <w:gridCol w:w="2721"/>
              <w:gridCol w:w="965"/>
              <w:gridCol w:w="965"/>
              <w:gridCol w:w="965"/>
              <w:gridCol w:w="965"/>
              <w:gridCol w:w="965"/>
              <w:gridCol w:w="961"/>
            </w:tblGrid>
            <w:tr w:rsidR="00DD644A" w:rsidTr="00DD644A">
              <w:tc>
                <w:tcPr>
                  <w:tcW w:w="1599" w:type="pct"/>
                  <w:tcBorders>
                    <w:top w:val="single" w:sz="6" w:space="0" w:color="BFBFBF" w:themeColor="background2"/>
                    <w:bottom w:val="single" w:sz="6" w:space="0" w:color="BFBFBF" w:themeColor="background2"/>
                  </w:tcBorders>
                  <w:shd w:val="clear" w:color="auto" w:fill="auto"/>
                  <w:tcMar>
                    <w:top w:w="28" w:type="dxa"/>
                  </w:tcMar>
                </w:tcPr>
                <w:p w:rsidR="00DD644A" w:rsidRDefault="00DD644A" w:rsidP="00846637">
                  <w:pPr>
                    <w:pStyle w:val="TableColumnHeading"/>
                    <w:jc w:val="left"/>
                  </w:pPr>
                </w:p>
              </w:tc>
              <w:tc>
                <w:tcPr>
                  <w:tcW w:w="567" w:type="pct"/>
                  <w:tcBorders>
                    <w:top w:val="single" w:sz="6" w:space="0" w:color="BFBFBF" w:themeColor="background2"/>
                    <w:bottom w:val="single" w:sz="6" w:space="0" w:color="BFBFBF" w:themeColor="background2"/>
                  </w:tcBorders>
                </w:tcPr>
                <w:p w:rsidR="00DD644A" w:rsidRDefault="00FF556E" w:rsidP="00846637">
                  <w:pPr>
                    <w:pStyle w:val="TableColumnHeading"/>
                  </w:pPr>
                  <w:r>
                    <w:t>2007</w:t>
                  </w:r>
                  <w:r>
                    <w:noBreakHyphen/>
                    <w:t>08</w:t>
                  </w:r>
                </w:p>
              </w:tc>
              <w:tc>
                <w:tcPr>
                  <w:tcW w:w="567" w:type="pct"/>
                  <w:tcBorders>
                    <w:top w:val="single" w:sz="6" w:space="0" w:color="BFBFBF" w:themeColor="background2"/>
                    <w:bottom w:val="single" w:sz="6" w:space="0" w:color="BFBFBF" w:themeColor="background2"/>
                  </w:tcBorders>
                </w:tcPr>
                <w:p w:rsidR="00DD644A" w:rsidRDefault="00FF556E" w:rsidP="00846637">
                  <w:pPr>
                    <w:pStyle w:val="TableColumnHeading"/>
                  </w:pPr>
                  <w:r>
                    <w:t>2008</w:t>
                  </w:r>
                  <w:r>
                    <w:noBreakHyphen/>
                    <w:t>09</w:t>
                  </w:r>
                </w:p>
              </w:tc>
              <w:tc>
                <w:tcPr>
                  <w:tcW w:w="567" w:type="pct"/>
                  <w:tcBorders>
                    <w:top w:val="single" w:sz="6" w:space="0" w:color="BFBFBF" w:themeColor="background2"/>
                    <w:bottom w:val="single" w:sz="6" w:space="0" w:color="BFBFBF" w:themeColor="background2"/>
                  </w:tcBorders>
                </w:tcPr>
                <w:p w:rsidR="00DD644A" w:rsidRDefault="00FF556E" w:rsidP="00846637">
                  <w:pPr>
                    <w:pStyle w:val="TableColumnHeading"/>
                  </w:pPr>
                  <w:r>
                    <w:t>2009</w:t>
                  </w:r>
                  <w:r>
                    <w:noBreakHyphen/>
                    <w:t>10</w:t>
                  </w:r>
                </w:p>
              </w:tc>
              <w:tc>
                <w:tcPr>
                  <w:tcW w:w="567" w:type="pct"/>
                  <w:tcBorders>
                    <w:top w:val="single" w:sz="6" w:space="0" w:color="BFBFBF" w:themeColor="background2"/>
                    <w:bottom w:val="single" w:sz="6" w:space="0" w:color="BFBFBF" w:themeColor="background2"/>
                  </w:tcBorders>
                </w:tcPr>
                <w:p w:rsidR="00DD644A" w:rsidRDefault="00FF556E" w:rsidP="00846637">
                  <w:pPr>
                    <w:pStyle w:val="TableColumnHeading"/>
                  </w:pPr>
                  <w:r>
                    <w:t>2010</w:t>
                  </w:r>
                  <w:r>
                    <w:noBreakHyphen/>
                    <w:t>11</w:t>
                  </w:r>
                </w:p>
              </w:tc>
              <w:tc>
                <w:tcPr>
                  <w:tcW w:w="567" w:type="pct"/>
                  <w:tcBorders>
                    <w:top w:val="single" w:sz="6" w:space="0" w:color="BFBFBF" w:themeColor="background2"/>
                    <w:bottom w:val="single" w:sz="6" w:space="0" w:color="BFBFBF" w:themeColor="background2"/>
                  </w:tcBorders>
                  <w:shd w:val="clear" w:color="auto" w:fill="auto"/>
                  <w:tcMar>
                    <w:top w:w="28" w:type="dxa"/>
                  </w:tcMar>
                </w:tcPr>
                <w:p w:rsidR="00DD644A" w:rsidRDefault="00FF556E" w:rsidP="00846637">
                  <w:pPr>
                    <w:pStyle w:val="TableColumnHeading"/>
                  </w:pPr>
                  <w:r>
                    <w:t>2011</w:t>
                  </w:r>
                  <w:r>
                    <w:noBreakHyphen/>
                    <w:t>12</w:t>
                  </w:r>
                </w:p>
              </w:tc>
              <w:tc>
                <w:tcPr>
                  <w:tcW w:w="565" w:type="pct"/>
                  <w:tcBorders>
                    <w:top w:val="single" w:sz="6" w:space="0" w:color="BFBFBF" w:themeColor="background2"/>
                    <w:bottom w:val="single" w:sz="6" w:space="0" w:color="BFBFBF" w:themeColor="background2"/>
                  </w:tcBorders>
                  <w:shd w:val="clear" w:color="auto" w:fill="auto"/>
                  <w:tcMar>
                    <w:top w:w="28" w:type="dxa"/>
                  </w:tcMar>
                </w:tcPr>
                <w:p w:rsidR="00DD644A" w:rsidRDefault="00FF556E" w:rsidP="00846637">
                  <w:pPr>
                    <w:pStyle w:val="TableColumnHeading"/>
                    <w:ind w:right="28"/>
                  </w:pPr>
                  <w:r>
                    <w:t>2012</w:t>
                  </w:r>
                  <w:r>
                    <w:noBreakHyphen/>
                    <w:t>13</w:t>
                  </w:r>
                </w:p>
              </w:tc>
            </w:tr>
            <w:tr w:rsidR="00DD644A" w:rsidTr="00DD644A">
              <w:tc>
                <w:tcPr>
                  <w:tcW w:w="1599" w:type="pct"/>
                </w:tcPr>
                <w:p w:rsidR="00DD644A" w:rsidRDefault="00DD644A" w:rsidP="00A37B9E">
                  <w:pPr>
                    <w:pStyle w:val="TableBodyText"/>
                    <w:spacing w:before="80"/>
                    <w:jc w:val="left"/>
                  </w:pPr>
                  <w:r>
                    <w:t>Payments processed – subsidy</w:t>
                  </w:r>
                </w:p>
              </w:tc>
              <w:tc>
                <w:tcPr>
                  <w:tcW w:w="567" w:type="pct"/>
                </w:tcPr>
                <w:p w:rsidR="00DD644A" w:rsidRDefault="00FF556E" w:rsidP="00A37B9E">
                  <w:pPr>
                    <w:pStyle w:val="TableBodyText"/>
                    <w:spacing w:before="80"/>
                  </w:pPr>
                  <w:r>
                    <w:t>36.0</w:t>
                  </w:r>
                </w:p>
              </w:tc>
              <w:tc>
                <w:tcPr>
                  <w:tcW w:w="567" w:type="pct"/>
                </w:tcPr>
                <w:p w:rsidR="00DD644A" w:rsidRDefault="00FF556E" w:rsidP="00A37B9E">
                  <w:pPr>
                    <w:pStyle w:val="TableBodyText"/>
                    <w:spacing w:before="80"/>
                  </w:pPr>
                  <w:r>
                    <w:t>40.5</w:t>
                  </w:r>
                </w:p>
              </w:tc>
              <w:tc>
                <w:tcPr>
                  <w:tcW w:w="567" w:type="pct"/>
                </w:tcPr>
                <w:p w:rsidR="00DD644A" w:rsidRDefault="00FF556E" w:rsidP="00A37B9E">
                  <w:pPr>
                    <w:pStyle w:val="TableBodyText"/>
                    <w:spacing w:before="80"/>
                  </w:pPr>
                  <w:r>
                    <w:t>33.0</w:t>
                  </w:r>
                </w:p>
              </w:tc>
              <w:tc>
                <w:tcPr>
                  <w:tcW w:w="567" w:type="pct"/>
                </w:tcPr>
                <w:p w:rsidR="00DD644A" w:rsidRDefault="00FF556E" w:rsidP="00A37B9E">
                  <w:pPr>
                    <w:pStyle w:val="TableBodyText"/>
                    <w:spacing w:before="80"/>
                  </w:pPr>
                  <w:r>
                    <w:t>35.0</w:t>
                  </w:r>
                </w:p>
              </w:tc>
              <w:tc>
                <w:tcPr>
                  <w:tcW w:w="567" w:type="pct"/>
                </w:tcPr>
                <w:p w:rsidR="00DD644A" w:rsidRDefault="00FF556E" w:rsidP="00A37B9E">
                  <w:pPr>
                    <w:pStyle w:val="TableBodyText"/>
                    <w:spacing w:before="80"/>
                  </w:pPr>
                  <w:r>
                    <w:t>36.0</w:t>
                  </w:r>
                </w:p>
              </w:tc>
              <w:tc>
                <w:tcPr>
                  <w:tcW w:w="565" w:type="pct"/>
                </w:tcPr>
                <w:p w:rsidR="00DD644A" w:rsidRDefault="00FF556E" w:rsidP="00A37B9E">
                  <w:pPr>
                    <w:pStyle w:val="TableBodyText"/>
                    <w:spacing w:before="80"/>
                    <w:ind w:right="28"/>
                  </w:pPr>
                  <w:r>
                    <w:t>33.4</w:t>
                  </w:r>
                </w:p>
              </w:tc>
            </w:tr>
            <w:tr w:rsidR="00DD644A" w:rsidTr="00DD644A">
              <w:tc>
                <w:tcPr>
                  <w:tcW w:w="1599" w:type="pct"/>
                </w:tcPr>
                <w:p w:rsidR="00DD644A" w:rsidRDefault="00DD644A" w:rsidP="00846637">
                  <w:pPr>
                    <w:pStyle w:val="TableBodyText"/>
                    <w:jc w:val="left"/>
                  </w:pPr>
                  <w:r>
                    <w:t>Revenue collected – levy</w:t>
                  </w:r>
                </w:p>
              </w:tc>
              <w:tc>
                <w:tcPr>
                  <w:tcW w:w="567" w:type="pct"/>
                </w:tcPr>
                <w:p w:rsidR="00DD644A" w:rsidRDefault="00FF556E" w:rsidP="00846637">
                  <w:pPr>
                    <w:pStyle w:val="TableBodyText"/>
                  </w:pPr>
                  <w:r>
                    <w:t>20.8</w:t>
                  </w:r>
                </w:p>
              </w:tc>
              <w:tc>
                <w:tcPr>
                  <w:tcW w:w="567" w:type="pct"/>
                </w:tcPr>
                <w:p w:rsidR="00DD644A" w:rsidRDefault="00FF556E" w:rsidP="00846637">
                  <w:pPr>
                    <w:pStyle w:val="TableBodyText"/>
                  </w:pPr>
                  <w:r>
                    <w:t>20.0</w:t>
                  </w:r>
                </w:p>
              </w:tc>
              <w:tc>
                <w:tcPr>
                  <w:tcW w:w="567" w:type="pct"/>
                </w:tcPr>
                <w:p w:rsidR="00DD644A" w:rsidRDefault="00FF556E" w:rsidP="00846637">
                  <w:pPr>
                    <w:pStyle w:val="TableBodyText"/>
                  </w:pPr>
                  <w:r>
                    <w:t>21.0</w:t>
                  </w:r>
                </w:p>
              </w:tc>
              <w:tc>
                <w:tcPr>
                  <w:tcW w:w="567" w:type="pct"/>
                </w:tcPr>
                <w:p w:rsidR="00DD644A" w:rsidRDefault="00FF556E" w:rsidP="00846637">
                  <w:pPr>
                    <w:pStyle w:val="TableBodyText"/>
                  </w:pPr>
                  <w:r>
                    <w:t>22.0</w:t>
                  </w:r>
                </w:p>
              </w:tc>
              <w:tc>
                <w:tcPr>
                  <w:tcW w:w="567" w:type="pct"/>
                </w:tcPr>
                <w:p w:rsidR="00DD644A" w:rsidRDefault="00FF556E" w:rsidP="00846637">
                  <w:pPr>
                    <w:pStyle w:val="TableBodyText"/>
                  </w:pPr>
                  <w:r>
                    <w:t>22.0</w:t>
                  </w:r>
                </w:p>
              </w:tc>
              <w:tc>
                <w:tcPr>
                  <w:tcW w:w="565" w:type="pct"/>
                </w:tcPr>
                <w:p w:rsidR="00DD644A" w:rsidRDefault="00FF556E" w:rsidP="00846637">
                  <w:pPr>
                    <w:pStyle w:val="TableBodyText"/>
                    <w:ind w:right="28"/>
                  </w:pPr>
                  <w:r>
                    <w:t>21.6</w:t>
                  </w:r>
                </w:p>
              </w:tc>
            </w:tr>
            <w:tr w:rsidR="00DD644A" w:rsidTr="00DD644A">
              <w:tc>
                <w:tcPr>
                  <w:tcW w:w="1599" w:type="pct"/>
                  <w:tcBorders>
                    <w:bottom w:val="single" w:sz="6" w:space="0" w:color="C8C8C8"/>
                  </w:tcBorders>
                  <w:shd w:val="clear" w:color="auto" w:fill="auto"/>
                </w:tcPr>
                <w:p w:rsidR="00DD644A" w:rsidRDefault="00DD644A" w:rsidP="00247965">
                  <w:pPr>
                    <w:pStyle w:val="TableBodyText"/>
                    <w:jc w:val="left"/>
                  </w:pPr>
                  <w:r>
                    <w:t>Shortfall</w:t>
                  </w:r>
                </w:p>
              </w:tc>
              <w:tc>
                <w:tcPr>
                  <w:tcW w:w="567" w:type="pct"/>
                  <w:tcBorders>
                    <w:bottom w:val="single" w:sz="6" w:space="0" w:color="C8C8C8"/>
                  </w:tcBorders>
                </w:tcPr>
                <w:p w:rsidR="00DD644A" w:rsidRDefault="00FF556E" w:rsidP="00846637">
                  <w:pPr>
                    <w:pStyle w:val="TableBodyText"/>
                  </w:pPr>
                  <w:r>
                    <w:t>-15.2</w:t>
                  </w:r>
                </w:p>
              </w:tc>
              <w:tc>
                <w:tcPr>
                  <w:tcW w:w="567" w:type="pct"/>
                  <w:tcBorders>
                    <w:bottom w:val="single" w:sz="6" w:space="0" w:color="C8C8C8"/>
                  </w:tcBorders>
                </w:tcPr>
                <w:p w:rsidR="00DD644A" w:rsidRDefault="00FF556E" w:rsidP="00846637">
                  <w:pPr>
                    <w:pStyle w:val="TableBodyText"/>
                  </w:pPr>
                  <w:r>
                    <w:t>-20.5</w:t>
                  </w:r>
                </w:p>
              </w:tc>
              <w:tc>
                <w:tcPr>
                  <w:tcW w:w="567" w:type="pct"/>
                  <w:tcBorders>
                    <w:bottom w:val="single" w:sz="6" w:space="0" w:color="C8C8C8"/>
                  </w:tcBorders>
                </w:tcPr>
                <w:p w:rsidR="00DD644A" w:rsidRDefault="00FF556E" w:rsidP="00846637">
                  <w:pPr>
                    <w:pStyle w:val="TableBodyText"/>
                  </w:pPr>
                  <w:r>
                    <w:t>-12.0</w:t>
                  </w:r>
                </w:p>
              </w:tc>
              <w:tc>
                <w:tcPr>
                  <w:tcW w:w="567" w:type="pct"/>
                  <w:tcBorders>
                    <w:bottom w:val="single" w:sz="6" w:space="0" w:color="C8C8C8"/>
                  </w:tcBorders>
                </w:tcPr>
                <w:p w:rsidR="00DD644A" w:rsidRDefault="00FF556E" w:rsidP="00846637">
                  <w:pPr>
                    <w:pStyle w:val="TableBodyText"/>
                  </w:pPr>
                  <w:r>
                    <w:t>-13.0</w:t>
                  </w:r>
                </w:p>
              </w:tc>
              <w:tc>
                <w:tcPr>
                  <w:tcW w:w="567" w:type="pct"/>
                  <w:tcBorders>
                    <w:bottom w:val="single" w:sz="6" w:space="0" w:color="C8C8C8"/>
                  </w:tcBorders>
                  <w:shd w:val="clear" w:color="auto" w:fill="auto"/>
                </w:tcPr>
                <w:p w:rsidR="00DD644A" w:rsidRDefault="00FF556E" w:rsidP="00846637">
                  <w:pPr>
                    <w:pStyle w:val="TableBodyText"/>
                  </w:pPr>
                  <w:r>
                    <w:t>-14.0</w:t>
                  </w:r>
                </w:p>
              </w:tc>
              <w:tc>
                <w:tcPr>
                  <w:tcW w:w="565" w:type="pct"/>
                  <w:tcBorders>
                    <w:bottom w:val="single" w:sz="6" w:space="0" w:color="C8C8C8"/>
                  </w:tcBorders>
                  <w:shd w:val="clear" w:color="auto" w:fill="auto"/>
                </w:tcPr>
                <w:p w:rsidR="00DD644A" w:rsidRDefault="00FF556E" w:rsidP="00846637">
                  <w:pPr>
                    <w:pStyle w:val="TableBodyText"/>
                    <w:ind w:right="28"/>
                  </w:pPr>
                  <w:r>
                    <w:t>-11.8</w:t>
                  </w:r>
                </w:p>
              </w:tc>
            </w:tr>
          </w:tbl>
          <w:p w:rsidR="001E3CBE" w:rsidRDefault="001E3CBE" w:rsidP="00846637">
            <w:pPr>
              <w:pStyle w:val="Box"/>
            </w:pPr>
          </w:p>
        </w:tc>
      </w:tr>
      <w:tr w:rsidR="001E3CBE" w:rsidTr="00F95957">
        <w:trPr>
          <w:cantSplit/>
        </w:trPr>
        <w:tc>
          <w:tcPr>
            <w:tcW w:w="8771" w:type="dxa"/>
            <w:tcBorders>
              <w:top w:val="nil"/>
              <w:left w:val="nil"/>
              <w:bottom w:val="nil"/>
              <w:right w:val="nil"/>
            </w:tcBorders>
            <w:shd w:val="clear" w:color="auto" w:fill="auto"/>
          </w:tcPr>
          <w:p w:rsidR="001E3CBE" w:rsidRDefault="001E3CBE" w:rsidP="00247965">
            <w:pPr>
              <w:pStyle w:val="Source"/>
            </w:pPr>
            <w:r>
              <w:rPr>
                <w:i/>
              </w:rPr>
              <w:t>Source</w:t>
            </w:r>
            <w:r w:rsidRPr="00167F06">
              <w:t xml:space="preserve">: </w:t>
            </w:r>
            <w:r>
              <w:t>Commissioner of Taxation Annual Report (various years).</w:t>
            </w:r>
          </w:p>
        </w:tc>
      </w:tr>
      <w:tr w:rsidR="001E3CBE" w:rsidTr="00F95957">
        <w:trPr>
          <w:cantSplit/>
        </w:trPr>
        <w:tc>
          <w:tcPr>
            <w:tcW w:w="8771" w:type="dxa"/>
            <w:tcBorders>
              <w:top w:val="nil"/>
              <w:left w:val="nil"/>
              <w:bottom w:val="single" w:sz="6" w:space="0" w:color="78A22F" w:themeColor="accent1"/>
              <w:right w:val="nil"/>
            </w:tcBorders>
            <w:shd w:val="clear" w:color="auto" w:fill="auto"/>
          </w:tcPr>
          <w:p w:rsidR="001E3CBE" w:rsidRDefault="001E3CBE" w:rsidP="00846637">
            <w:pPr>
              <w:pStyle w:val="Box"/>
              <w:spacing w:before="0" w:line="120" w:lineRule="exact"/>
            </w:pPr>
          </w:p>
        </w:tc>
      </w:tr>
      <w:tr w:rsidR="001E3CBE" w:rsidRPr="000863A5" w:rsidTr="002C071C">
        <w:tc>
          <w:tcPr>
            <w:tcW w:w="8771" w:type="dxa"/>
            <w:tcBorders>
              <w:top w:val="single" w:sz="6" w:space="0" w:color="78A22F" w:themeColor="accent1"/>
              <w:left w:val="nil"/>
              <w:bottom w:val="nil"/>
              <w:right w:val="nil"/>
            </w:tcBorders>
          </w:tcPr>
          <w:p w:rsidR="001E3CBE" w:rsidRPr="00626D32" w:rsidRDefault="001E3CBE" w:rsidP="00784A05">
            <w:pPr>
              <w:pStyle w:val="BoxSpaceBelow"/>
            </w:pPr>
          </w:p>
        </w:tc>
      </w:tr>
    </w:tbl>
    <w:p w:rsidR="000418FD" w:rsidRDefault="000418FD" w:rsidP="000418FD">
      <w:pPr>
        <w:pStyle w:val="BodyText"/>
      </w:pPr>
      <w:r>
        <w:t>The value of administered expenses for 2012</w:t>
      </w:r>
      <w:r w:rsidR="00DE3937">
        <w:noBreakHyphen/>
      </w:r>
      <w:r>
        <w:t>13 is $33.4</w:t>
      </w:r>
      <w:r w:rsidR="00DE3937">
        <w:t> </w:t>
      </w:r>
      <w:r>
        <w:t>million (ATO</w:t>
      </w:r>
      <w:r w:rsidR="00DE3937">
        <w:t> </w:t>
      </w:r>
      <w:r>
        <w:t>2013, p.</w:t>
      </w:r>
      <w:r w:rsidR="00DE3937">
        <w:t> </w:t>
      </w:r>
      <w:r>
        <w:t xml:space="preserve">68). </w:t>
      </w:r>
    </w:p>
    <w:p w:rsidR="001E3CBE" w:rsidRDefault="000418FD" w:rsidP="00120072">
      <w:pPr>
        <w:pStyle w:val="BodyText"/>
      </w:pPr>
      <w:r>
        <w:lastRenderedPageBreak/>
        <w:t xml:space="preserve">The program is assessed as initially benefiting firms recycling used oil and has been allocated to the </w:t>
      </w:r>
      <w:r w:rsidRPr="00DE3937">
        <w:rPr>
          <w:i/>
        </w:rPr>
        <w:t>petroleum, coal, chemical and rubber products</w:t>
      </w:r>
      <w:r>
        <w:t xml:space="preserve"> industry grouping. </w:t>
      </w:r>
    </w:p>
    <w:p w:rsidR="001E3CBE" w:rsidRDefault="001E3CBE" w:rsidP="00120072">
      <w:pPr>
        <w:pStyle w:val="BodyText"/>
      </w:pPr>
    </w:p>
    <w:sectPr w:rsidR="001E3CBE" w:rsidSect="00781C96">
      <w:headerReference w:type="even" r:id="rId9"/>
      <w:headerReference w:type="default" r:id="rId10"/>
      <w:footerReference w:type="even" r:id="rId11"/>
      <w:footerReference w:type="default" r:id="rId12"/>
      <w:pgSz w:w="11907" w:h="16840" w:code="9"/>
      <w:pgMar w:top="1985" w:right="1304" w:bottom="1247" w:left="1814" w:header="1701" w:footer="397" w:gutter="0"/>
      <w:pgNumType w:start="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C96" w:rsidRDefault="00781C96">
      <w:r>
        <w:separator/>
      </w:r>
    </w:p>
  </w:endnote>
  <w:endnote w:type="continuationSeparator" w:id="0">
    <w:p w:rsidR="00781C96" w:rsidRDefault="00781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77290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C0A93">
            <w:rPr>
              <w:rStyle w:val="PageNumber"/>
              <w:caps w:val="0"/>
              <w:noProof/>
            </w:rPr>
            <w:t>12</w:t>
          </w:r>
          <w:r w:rsidRPr="00A24443">
            <w:rPr>
              <w:rStyle w:val="PageNumber"/>
              <w:caps w:val="0"/>
            </w:rPr>
            <w:fldChar w:fldCharType="end"/>
          </w:r>
        </w:p>
      </w:tc>
      <w:tc>
        <w:tcPr>
          <w:tcW w:w="7767" w:type="dxa"/>
        </w:tcPr>
        <w:p w:rsidR="00772909" w:rsidRPr="0013739A" w:rsidRDefault="00772909"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537BBC">
            <w:rPr>
              <w:rFonts w:cs="Arial"/>
            </w:rPr>
            <w:t>Trade &amp; Assistance Review 2012-13 Methodological Annex</w:t>
          </w:r>
          <w:r w:rsidRPr="00BA5B14">
            <w:rPr>
              <w:rFonts w:cs="Arial"/>
            </w:rPr>
            <w:fldChar w:fldCharType="end"/>
          </w:r>
          <w:bookmarkStart w:id="5" w:name="DraftReportEven"/>
          <w:bookmarkEnd w:id="5"/>
        </w:p>
      </w:tc>
      <w:tc>
        <w:tcPr>
          <w:tcW w:w="510" w:type="dxa"/>
        </w:tcPr>
        <w:p w:rsidR="00772909" w:rsidRDefault="00772909" w:rsidP="0019293B">
          <w:pPr>
            <w:pStyle w:val="Footer"/>
          </w:pPr>
        </w:p>
      </w:tc>
    </w:tr>
  </w:tbl>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772909"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537BBC">
            <w:rPr>
              <w:rFonts w:cs="Arial"/>
            </w:rPr>
            <w:t>New programs</w:t>
          </w:r>
          <w:r w:rsidRPr="00BA5B14">
            <w:rPr>
              <w:rFonts w:cs="Arial"/>
            </w:rPr>
            <w:fldChar w:fldCharType="end"/>
          </w:r>
          <w:bookmarkStart w:id="6" w:name="DraftReportOdd"/>
          <w:bookmarkEnd w:id="6"/>
        </w:p>
      </w:tc>
      <w:tc>
        <w:tcPr>
          <w:tcW w:w="510" w:type="dxa"/>
        </w:tcPr>
        <w:p w:rsidR="00772909" w:rsidRPr="00A24443" w:rsidRDefault="007729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C0A93">
            <w:rPr>
              <w:rStyle w:val="PageNumber"/>
              <w:caps w:val="0"/>
              <w:noProof/>
            </w:rPr>
            <w:t>3</w:t>
          </w:r>
          <w:r w:rsidRPr="00A24443">
            <w:rPr>
              <w:rStyle w:val="PageNumber"/>
              <w:caps w:val="0"/>
            </w:rPr>
            <w:fldChar w:fldCharType="end"/>
          </w:r>
        </w:p>
      </w:tc>
    </w:tr>
  </w:tbl>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C96" w:rsidRDefault="00781C96">
      <w:r>
        <w:separator/>
      </w:r>
    </w:p>
  </w:footnote>
  <w:footnote w:type="continuationSeparator" w:id="0">
    <w:p w:rsidR="00781C96" w:rsidRDefault="00781C96">
      <w:r>
        <w:continuationSeparator/>
      </w:r>
    </w:p>
  </w:footnote>
  <w:footnote w:id="1">
    <w:p w:rsidR="00AB54AF" w:rsidRDefault="00AB54AF">
      <w:pPr>
        <w:pStyle w:val="FootnoteText"/>
      </w:pPr>
      <w:r>
        <w:rPr>
          <w:rStyle w:val="FootnoteReference"/>
        </w:rPr>
        <w:footnoteRef/>
      </w:r>
      <w:r>
        <w:tab/>
      </w:r>
      <w:r w:rsidRPr="00AB54AF">
        <w:t>In 201</w:t>
      </w:r>
      <w:r w:rsidR="009A2E39">
        <w:t>1</w:t>
      </w:r>
      <w:r w:rsidRPr="00AB54AF">
        <w:t>, key industry, union, community and environmental groups developed an agreed position on the future of Tasmania’s forest industry and environment — the Tasmanian Forest Agreement 201</w:t>
      </w:r>
      <w:r w:rsidR="009A2E39">
        <w:t>1</w:t>
      </w:r>
      <w:r w:rsidRPr="00AB54AF">
        <w:t>. The Agreement outlines requirements for industry and affected workers</w:t>
      </w:r>
      <w:r w:rsidR="00933FCF">
        <w:t>,</w:t>
      </w:r>
      <w:r w:rsidRPr="00AB54AF">
        <w:t xml:space="preserve"> contractors and communities, conservation, durability, engagement with indigenous communities, institutional arrangements and support by </w:t>
      </w:r>
      <w:r w:rsidR="00933FCF">
        <w:t>g</w:t>
      </w:r>
      <w:r w:rsidRPr="00AB54AF">
        <w:t>overnment.</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19293B">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E669E2">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mirrorMargin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New programs"/>
    <w:docVar w:name="ShortReportTitle" w:val="Trade &amp; Assistance Review 2012-13 Methodological Annex"/>
  </w:docVars>
  <w:rsids>
    <w:rsidRoot w:val="00781C96"/>
    <w:rsid w:val="00002192"/>
    <w:rsid w:val="000227D5"/>
    <w:rsid w:val="000245AA"/>
    <w:rsid w:val="0003664B"/>
    <w:rsid w:val="0004111F"/>
    <w:rsid w:val="000418FD"/>
    <w:rsid w:val="00050AEA"/>
    <w:rsid w:val="000548DA"/>
    <w:rsid w:val="00055077"/>
    <w:rsid w:val="000565B3"/>
    <w:rsid w:val="0007150B"/>
    <w:rsid w:val="00076C6A"/>
    <w:rsid w:val="000938F5"/>
    <w:rsid w:val="00095663"/>
    <w:rsid w:val="00096E55"/>
    <w:rsid w:val="0009783E"/>
    <w:rsid w:val="000B1022"/>
    <w:rsid w:val="000B3126"/>
    <w:rsid w:val="000B601B"/>
    <w:rsid w:val="000C207E"/>
    <w:rsid w:val="000C57D3"/>
    <w:rsid w:val="000D41E9"/>
    <w:rsid w:val="000D5BB3"/>
    <w:rsid w:val="000F0035"/>
    <w:rsid w:val="000F04E7"/>
    <w:rsid w:val="000F060A"/>
    <w:rsid w:val="000F420B"/>
    <w:rsid w:val="0010517A"/>
    <w:rsid w:val="00110116"/>
    <w:rsid w:val="0011158B"/>
    <w:rsid w:val="001153F6"/>
    <w:rsid w:val="00120072"/>
    <w:rsid w:val="00126EB8"/>
    <w:rsid w:val="001274D4"/>
    <w:rsid w:val="00131E7F"/>
    <w:rsid w:val="001363AA"/>
    <w:rsid w:val="0013739A"/>
    <w:rsid w:val="00142165"/>
    <w:rsid w:val="001433F8"/>
    <w:rsid w:val="00162434"/>
    <w:rsid w:val="001634F3"/>
    <w:rsid w:val="001800CF"/>
    <w:rsid w:val="00183E82"/>
    <w:rsid w:val="001878BB"/>
    <w:rsid w:val="00191AE0"/>
    <w:rsid w:val="0019293B"/>
    <w:rsid w:val="0019426B"/>
    <w:rsid w:val="001A6A4B"/>
    <w:rsid w:val="001B31A9"/>
    <w:rsid w:val="001B6DDB"/>
    <w:rsid w:val="001C0865"/>
    <w:rsid w:val="001C0A93"/>
    <w:rsid w:val="001C0AED"/>
    <w:rsid w:val="001C3ABA"/>
    <w:rsid w:val="001C5111"/>
    <w:rsid w:val="001E3CBE"/>
    <w:rsid w:val="001E7AAB"/>
    <w:rsid w:val="001E7BE8"/>
    <w:rsid w:val="001F0248"/>
    <w:rsid w:val="001F3EB3"/>
    <w:rsid w:val="001F4F86"/>
    <w:rsid w:val="00202C2C"/>
    <w:rsid w:val="00203050"/>
    <w:rsid w:val="00207E7D"/>
    <w:rsid w:val="002135AB"/>
    <w:rsid w:val="002144BE"/>
    <w:rsid w:val="002322CF"/>
    <w:rsid w:val="00242279"/>
    <w:rsid w:val="00243997"/>
    <w:rsid w:val="0024516C"/>
    <w:rsid w:val="00245C82"/>
    <w:rsid w:val="00247965"/>
    <w:rsid w:val="002724BA"/>
    <w:rsid w:val="00291B40"/>
    <w:rsid w:val="002927F0"/>
    <w:rsid w:val="00294943"/>
    <w:rsid w:val="002B0031"/>
    <w:rsid w:val="002B4008"/>
    <w:rsid w:val="002C338F"/>
    <w:rsid w:val="002C439F"/>
    <w:rsid w:val="002D0C42"/>
    <w:rsid w:val="002D0E8E"/>
    <w:rsid w:val="002D6C4D"/>
    <w:rsid w:val="002E3A37"/>
    <w:rsid w:val="002F3030"/>
    <w:rsid w:val="00301189"/>
    <w:rsid w:val="00301E4A"/>
    <w:rsid w:val="0031486E"/>
    <w:rsid w:val="003168B8"/>
    <w:rsid w:val="00322D64"/>
    <w:rsid w:val="00323E09"/>
    <w:rsid w:val="003303D1"/>
    <w:rsid w:val="00333932"/>
    <w:rsid w:val="00335C29"/>
    <w:rsid w:val="003518AA"/>
    <w:rsid w:val="00351948"/>
    <w:rsid w:val="00352165"/>
    <w:rsid w:val="00353182"/>
    <w:rsid w:val="003565D9"/>
    <w:rsid w:val="003602E1"/>
    <w:rsid w:val="0037026F"/>
    <w:rsid w:val="00371240"/>
    <w:rsid w:val="00374731"/>
    <w:rsid w:val="00376E59"/>
    <w:rsid w:val="00377EC1"/>
    <w:rsid w:val="00380340"/>
    <w:rsid w:val="00385723"/>
    <w:rsid w:val="003919F9"/>
    <w:rsid w:val="003920CF"/>
    <w:rsid w:val="003B23C2"/>
    <w:rsid w:val="003C38B5"/>
    <w:rsid w:val="003C5D99"/>
    <w:rsid w:val="003D1087"/>
    <w:rsid w:val="003E2F59"/>
    <w:rsid w:val="003E746B"/>
    <w:rsid w:val="003F0789"/>
    <w:rsid w:val="00401882"/>
    <w:rsid w:val="0040509F"/>
    <w:rsid w:val="004100C8"/>
    <w:rsid w:val="00411DBD"/>
    <w:rsid w:val="00412ACE"/>
    <w:rsid w:val="004145D2"/>
    <w:rsid w:val="004266EE"/>
    <w:rsid w:val="00426CB4"/>
    <w:rsid w:val="00431249"/>
    <w:rsid w:val="00434C19"/>
    <w:rsid w:val="00450810"/>
    <w:rsid w:val="00462C59"/>
    <w:rsid w:val="0046500C"/>
    <w:rsid w:val="00470737"/>
    <w:rsid w:val="00477144"/>
    <w:rsid w:val="0048653A"/>
    <w:rsid w:val="00491380"/>
    <w:rsid w:val="0049459F"/>
    <w:rsid w:val="004A38DD"/>
    <w:rsid w:val="004A43DF"/>
    <w:rsid w:val="004B43AE"/>
    <w:rsid w:val="004C30ED"/>
    <w:rsid w:val="004D0AE1"/>
    <w:rsid w:val="004D5675"/>
    <w:rsid w:val="004E3A0E"/>
    <w:rsid w:val="004E4206"/>
    <w:rsid w:val="004F0E67"/>
    <w:rsid w:val="00517795"/>
    <w:rsid w:val="00523639"/>
    <w:rsid w:val="0053069D"/>
    <w:rsid w:val="00531B3B"/>
    <w:rsid w:val="00531FE5"/>
    <w:rsid w:val="0053433F"/>
    <w:rsid w:val="00537BBC"/>
    <w:rsid w:val="005402FA"/>
    <w:rsid w:val="005729BD"/>
    <w:rsid w:val="00580154"/>
    <w:rsid w:val="00583C39"/>
    <w:rsid w:val="00586A90"/>
    <w:rsid w:val="00587AE4"/>
    <w:rsid w:val="00587F28"/>
    <w:rsid w:val="005909CF"/>
    <w:rsid w:val="00591E71"/>
    <w:rsid w:val="005A0D41"/>
    <w:rsid w:val="005D329F"/>
    <w:rsid w:val="005D32F0"/>
    <w:rsid w:val="005F48ED"/>
    <w:rsid w:val="005F6624"/>
    <w:rsid w:val="00606E78"/>
    <w:rsid w:val="00607BF1"/>
    <w:rsid w:val="0061087C"/>
    <w:rsid w:val="00630D4D"/>
    <w:rsid w:val="00632A74"/>
    <w:rsid w:val="00647E53"/>
    <w:rsid w:val="00654D42"/>
    <w:rsid w:val="00666E02"/>
    <w:rsid w:val="00670C24"/>
    <w:rsid w:val="006769E5"/>
    <w:rsid w:val="00682A2F"/>
    <w:rsid w:val="006A1E1C"/>
    <w:rsid w:val="006A4655"/>
    <w:rsid w:val="006B2B3C"/>
    <w:rsid w:val="006C0A7E"/>
    <w:rsid w:val="006C1D81"/>
    <w:rsid w:val="006C7038"/>
    <w:rsid w:val="006E6558"/>
    <w:rsid w:val="006E73EF"/>
    <w:rsid w:val="006F5C1A"/>
    <w:rsid w:val="00701A72"/>
    <w:rsid w:val="007079C9"/>
    <w:rsid w:val="0071086C"/>
    <w:rsid w:val="00711DFE"/>
    <w:rsid w:val="00714D4D"/>
    <w:rsid w:val="007266D3"/>
    <w:rsid w:val="00732029"/>
    <w:rsid w:val="007403E8"/>
    <w:rsid w:val="007604BB"/>
    <w:rsid w:val="007674B7"/>
    <w:rsid w:val="00772909"/>
    <w:rsid w:val="00781C96"/>
    <w:rsid w:val="00785232"/>
    <w:rsid w:val="0079701E"/>
    <w:rsid w:val="007A21EB"/>
    <w:rsid w:val="007B1A93"/>
    <w:rsid w:val="007C36C9"/>
    <w:rsid w:val="007D6401"/>
    <w:rsid w:val="007E01E4"/>
    <w:rsid w:val="007E7A12"/>
    <w:rsid w:val="007F7107"/>
    <w:rsid w:val="00800D4C"/>
    <w:rsid w:val="0081030F"/>
    <w:rsid w:val="00812F4A"/>
    <w:rsid w:val="0082087D"/>
    <w:rsid w:val="008314F2"/>
    <w:rsid w:val="00835771"/>
    <w:rsid w:val="00842933"/>
    <w:rsid w:val="0086082C"/>
    <w:rsid w:val="00864ADC"/>
    <w:rsid w:val="00880153"/>
    <w:rsid w:val="00880F97"/>
    <w:rsid w:val="0088133A"/>
    <w:rsid w:val="0089285E"/>
    <w:rsid w:val="0089436C"/>
    <w:rsid w:val="008B4EF0"/>
    <w:rsid w:val="008B676B"/>
    <w:rsid w:val="008D365C"/>
    <w:rsid w:val="008D7622"/>
    <w:rsid w:val="008E572A"/>
    <w:rsid w:val="008F7D8E"/>
    <w:rsid w:val="009021A6"/>
    <w:rsid w:val="009030BF"/>
    <w:rsid w:val="00903B52"/>
    <w:rsid w:val="00907184"/>
    <w:rsid w:val="0091032F"/>
    <w:rsid w:val="009124DB"/>
    <w:rsid w:val="00914368"/>
    <w:rsid w:val="00931076"/>
    <w:rsid w:val="00933FCF"/>
    <w:rsid w:val="009345D9"/>
    <w:rsid w:val="00934B15"/>
    <w:rsid w:val="00940C87"/>
    <w:rsid w:val="00942B62"/>
    <w:rsid w:val="00952260"/>
    <w:rsid w:val="0095323B"/>
    <w:rsid w:val="00956A0C"/>
    <w:rsid w:val="00956BD9"/>
    <w:rsid w:val="00962489"/>
    <w:rsid w:val="00967CD3"/>
    <w:rsid w:val="009742FD"/>
    <w:rsid w:val="00990C2C"/>
    <w:rsid w:val="009A2E39"/>
    <w:rsid w:val="009A5171"/>
    <w:rsid w:val="009E1844"/>
    <w:rsid w:val="009E42F0"/>
    <w:rsid w:val="009F0D1B"/>
    <w:rsid w:val="009F5BBD"/>
    <w:rsid w:val="009F696D"/>
    <w:rsid w:val="009F6BC6"/>
    <w:rsid w:val="009F74EF"/>
    <w:rsid w:val="00A02826"/>
    <w:rsid w:val="00A15D5A"/>
    <w:rsid w:val="00A17328"/>
    <w:rsid w:val="00A23A20"/>
    <w:rsid w:val="00A24443"/>
    <w:rsid w:val="00A268B9"/>
    <w:rsid w:val="00A2703A"/>
    <w:rsid w:val="00A31EF9"/>
    <w:rsid w:val="00A33DFF"/>
    <w:rsid w:val="00A35115"/>
    <w:rsid w:val="00A36D9A"/>
    <w:rsid w:val="00A37B9E"/>
    <w:rsid w:val="00A40884"/>
    <w:rsid w:val="00A451DC"/>
    <w:rsid w:val="00A50299"/>
    <w:rsid w:val="00A554AB"/>
    <w:rsid w:val="00A57062"/>
    <w:rsid w:val="00A67781"/>
    <w:rsid w:val="00A761F9"/>
    <w:rsid w:val="00A80092"/>
    <w:rsid w:val="00A8193C"/>
    <w:rsid w:val="00A92B53"/>
    <w:rsid w:val="00A94FA6"/>
    <w:rsid w:val="00AA49A0"/>
    <w:rsid w:val="00AA6710"/>
    <w:rsid w:val="00AB0681"/>
    <w:rsid w:val="00AB2A71"/>
    <w:rsid w:val="00AB54AF"/>
    <w:rsid w:val="00AC3A15"/>
    <w:rsid w:val="00AD520B"/>
    <w:rsid w:val="00AD6743"/>
    <w:rsid w:val="00AE3BCC"/>
    <w:rsid w:val="00B27FEA"/>
    <w:rsid w:val="00B31EA7"/>
    <w:rsid w:val="00B425C3"/>
    <w:rsid w:val="00B440AD"/>
    <w:rsid w:val="00B479BB"/>
    <w:rsid w:val="00B53E7E"/>
    <w:rsid w:val="00B6342E"/>
    <w:rsid w:val="00B7113F"/>
    <w:rsid w:val="00BA2BCF"/>
    <w:rsid w:val="00BA5B14"/>
    <w:rsid w:val="00BA73B6"/>
    <w:rsid w:val="00BA7E27"/>
    <w:rsid w:val="00BB1962"/>
    <w:rsid w:val="00BB2603"/>
    <w:rsid w:val="00BB4FCD"/>
    <w:rsid w:val="00BB6956"/>
    <w:rsid w:val="00BC04E9"/>
    <w:rsid w:val="00BC445E"/>
    <w:rsid w:val="00BD13EA"/>
    <w:rsid w:val="00BE3808"/>
    <w:rsid w:val="00BF4F67"/>
    <w:rsid w:val="00C03B88"/>
    <w:rsid w:val="00C062E9"/>
    <w:rsid w:val="00C07B64"/>
    <w:rsid w:val="00C131EB"/>
    <w:rsid w:val="00C13721"/>
    <w:rsid w:val="00C14FE4"/>
    <w:rsid w:val="00C3066D"/>
    <w:rsid w:val="00C372BB"/>
    <w:rsid w:val="00C52416"/>
    <w:rsid w:val="00C543F4"/>
    <w:rsid w:val="00C6291C"/>
    <w:rsid w:val="00C633CB"/>
    <w:rsid w:val="00C664CD"/>
    <w:rsid w:val="00C736B7"/>
    <w:rsid w:val="00C81D4A"/>
    <w:rsid w:val="00C8762C"/>
    <w:rsid w:val="00C967C6"/>
    <w:rsid w:val="00CA00F9"/>
    <w:rsid w:val="00CA2961"/>
    <w:rsid w:val="00CB50D7"/>
    <w:rsid w:val="00CB7177"/>
    <w:rsid w:val="00CB7CED"/>
    <w:rsid w:val="00CC070F"/>
    <w:rsid w:val="00CC1998"/>
    <w:rsid w:val="00CC4946"/>
    <w:rsid w:val="00CC64A1"/>
    <w:rsid w:val="00CF3B11"/>
    <w:rsid w:val="00D200F4"/>
    <w:rsid w:val="00D270A4"/>
    <w:rsid w:val="00D276F1"/>
    <w:rsid w:val="00D31FE9"/>
    <w:rsid w:val="00D34E1B"/>
    <w:rsid w:val="00D376BA"/>
    <w:rsid w:val="00D434A0"/>
    <w:rsid w:val="00D45634"/>
    <w:rsid w:val="00D5568A"/>
    <w:rsid w:val="00D63D73"/>
    <w:rsid w:val="00D64452"/>
    <w:rsid w:val="00D66E1E"/>
    <w:rsid w:val="00D70696"/>
    <w:rsid w:val="00D75722"/>
    <w:rsid w:val="00D807DB"/>
    <w:rsid w:val="00D80CF5"/>
    <w:rsid w:val="00D86607"/>
    <w:rsid w:val="00D9012C"/>
    <w:rsid w:val="00DA5BBA"/>
    <w:rsid w:val="00DB26D2"/>
    <w:rsid w:val="00DB67C9"/>
    <w:rsid w:val="00DC0C95"/>
    <w:rsid w:val="00DC4F0B"/>
    <w:rsid w:val="00DD644A"/>
    <w:rsid w:val="00DD6580"/>
    <w:rsid w:val="00DE217F"/>
    <w:rsid w:val="00DE3937"/>
    <w:rsid w:val="00DE7F98"/>
    <w:rsid w:val="00E01D7F"/>
    <w:rsid w:val="00E05C03"/>
    <w:rsid w:val="00E12D29"/>
    <w:rsid w:val="00E17C72"/>
    <w:rsid w:val="00E21FC6"/>
    <w:rsid w:val="00E4139C"/>
    <w:rsid w:val="00E431A9"/>
    <w:rsid w:val="00E669E2"/>
    <w:rsid w:val="00E76135"/>
    <w:rsid w:val="00E82F4F"/>
    <w:rsid w:val="00E864DF"/>
    <w:rsid w:val="00EB2CC3"/>
    <w:rsid w:val="00EC2844"/>
    <w:rsid w:val="00EC5500"/>
    <w:rsid w:val="00ED18F8"/>
    <w:rsid w:val="00ED4BDC"/>
    <w:rsid w:val="00EE6EDA"/>
    <w:rsid w:val="00EE778E"/>
    <w:rsid w:val="00EF6719"/>
    <w:rsid w:val="00EF6C6C"/>
    <w:rsid w:val="00F056FC"/>
    <w:rsid w:val="00F0632F"/>
    <w:rsid w:val="00F069AE"/>
    <w:rsid w:val="00F10476"/>
    <w:rsid w:val="00F12A72"/>
    <w:rsid w:val="00F135D8"/>
    <w:rsid w:val="00F31299"/>
    <w:rsid w:val="00F3534A"/>
    <w:rsid w:val="00F35BFB"/>
    <w:rsid w:val="00F36ACC"/>
    <w:rsid w:val="00F51609"/>
    <w:rsid w:val="00F55C25"/>
    <w:rsid w:val="00F73727"/>
    <w:rsid w:val="00F766A7"/>
    <w:rsid w:val="00F77BF3"/>
    <w:rsid w:val="00F80968"/>
    <w:rsid w:val="00F81006"/>
    <w:rsid w:val="00F85325"/>
    <w:rsid w:val="00FA47F0"/>
    <w:rsid w:val="00FA6F1B"/>
    <w:rsid w:val="00FC282D"/>
    <w:rsid w:val="00FD22B1"/>
    <w:rsid w:val="00FD23C1"/>
    <w:rsid w:val="00FD33F1"/>
    <w:rsid w:val="00FD3566"/>
    <w:rsid w:val="00FE5397"/>
    <w:rsid w:val="00FF55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DE160-4C03-42F7-AE80-B41E2A0E9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904</TotalTime>
  <Pages>10</Pages>
  <Words>2746</Words>
  <Characters>16514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New programs</vt:lpstr>
    </vt:vector>
  </TitlesOfParts>
  <Company>Productivity Commission</Company>
  <LinksUpToDate>false</LinksUpToDate>
  <CharactersWithSpaces>19222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programs</dc:title>
  <dc:subject>Trade &amp; Assistance Review 2012-13 Methodological Annex</dc:subject>
  <dc:creator>Productivity Commission</dc:creator>
  <dc:description>2.</dc:description>
  <cp:lastModifiedBy>Mark Pimperl</cp:lastModifiedBy>
  <cp:revision>94</cp:revision>
  <cp:lastPrinted>2014-10-20T04:17:00Z</cp:lastPrinted>
  <dcterms:created xsi:type="dcterms:W3CDTF">2014-08-18T04:28:00Z</dcterms:created>
  <dcterms:modified xsi:type="dcterms:W3CDTF">2014-10-22T23:46:00Z</dcterms:modified>
</cp:coreProperties>
</file>