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590" w:rsidRPr="00833590" w:rsidRDefault="00833590" w:rsidP="00833590">
      <w:pPr>
        <w:pStyle w:val="BodyText"/>
        <w:rPr>
          <w:color w:val="FFFFFF" w:themeColor="background1"/>
        </w:rPr>
      </w:pPr>
      <w:bookmarkStart w:id="0" w:name="begin"/>
      <w:bookmarkStart w:id="1" w:name="_GoBack"/>
      <w:bookmarkEnd w:id="0"/>
      <w:bookmarkEnd w:id="1"/>
      <w:r>
        <w:rPr>
          <w:noProof/>
        </w:rPr>
        <w:drawing>
          <wp:anchor distT="0" distB="0" distL="114300" distR="114300" simplePos="0" relativeHeight="251658240" behindDoc="0" locked="0" layoutInCell="1" allowOverlap="1" wp14:anchorId="69258278" wp14:editId="5F0B25E9">
            <wp:simplePos x="0" y="0"/>
            <wp:positionH relativeFrom="column">
              <wp:posOffset>-1160516</wp:posOffset>
            </wp:positionH>
            <wp:positionV relativeFrom="paragraph">
              <wp:posOffset>461924</wp:posOffset>
            </wp:positionV>
            <wp:extent cx="7562236" cy="9406791"/>
            <wp:effectExtent l="0" t="0" r="635" b="4445"/>
            <wp:wrapNone/>
            <wp:docPr id="1" name="Picture 1" descr="Cover image for the Australian Government Productivity Commission Methodological Annex: Changes to the Commission’s Assistance Estimates. &#10;Annex to the Trade &amp; Assistance Review 2012-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2236" cy="9406791"/>
                    </a:xfrm>
                    <a:prstGeom prst="rect">
                      <a:avLst/>
                    </a:prstGeom>
                  </pic:spPr>
                </pic:pic>
              </a:graphicData>
            </a:graphic>
            <wp14:sizeRelH relativeFrom="margin">
              <wp14:pctWidth>0</wp14:pctWidth>
            </wp14:sizeRelH>
            <wp14:sizeRelV relativeFrom="margin">
              <wp14:pctHeight>0</wp14:pctHeight>
            </wp14:sizeRelV>
          </wp:anchor>
        </w:drawing>
      </w:r>
      <w:r w:rsidRPr="00833590">
        <w:rPr>
          <w:color w:val="FFFFFF" w:themeColor="background1"/>
        </w:rPr>
        <w:t xml:space="preserve">Cover image for the Australian Government Productivity Commission Methodological Annex: Changes to the Commission’s Assistance Estimates. </w:t>
      </w:r>
    </w:p>
    <w:p w:rsidR="00B04D19" w:rsidRPr="00833590" w:rsidRDefault="00833590" w:rsidP="00833590">
      <w:pPr>
        <w:pStyle w:val="BodyText"/>
        <w:rPr>
          <w:b/>
          <w:szCs w:val="26"/>
        </w:rPr>
      </w:pPr>
      <w:r w:rsidRPr="00833590">
        <w:rPr>
          <w:color w:val="FFFFFF" w:themeColor="background1"/>
        </w:rPr>
        <w:t xml:space="preserve">Annex to the Trade &amp; Assistance Review 2012-13. </w:t>
      </w:r>
      <w:r w:rsidR="00B04D19" w:rsidRPr="00833590">
        <w:br w:type="page"/>
      </w:r>
    </w:p>
    <w:p w:rsidR="003E7802" w:rsidRPr="00833590" w:rsidRDefault="003E7802" w:rsidP="00D969AE">
      <w:pPr>
        <w:pStyle w:val="Copyrightheading"/>
      </w:pPr>
      <w:r w:rsidRPr="00833590">
        <w:lastRenderedPageBreak/>
        <w:fldChar w:fldCharType="begin"/>
      </w:r>
      <w:r w:rsidRPr="00833590">
        <w:instrText>SYMBOL 227 \f "Symbol"</w:instrText>
      </w:r>
      <w:r w:rsidRPr="00833590">
        <w:fldChar w:fldCharType="end"/>
      </w:r>
      <w:r w:rsidRPr="00833590">
        <w:t xml:space="preserve"> Commonwealth of Australia </w:t>
      </w:r>
      <w:r w:rsidR="00D74E25" w:rsidRPr="00833590">
        <w:t>2014</w:t>
      </w:r>
    </w:p>
    <w:p w:rsidR="009B7D3B" w:rsidRPr="00833590" w:rsidRDefault="009B7D3B">
      <w:pPr>
        <w:pStyle w:val="BodyText"/>
        <w:tabs>
          <w:tab w:val="left" w:pos="851"/>
        </w:tabs>
        <w:spacing w:before="200" w:after="120"/>
        <w:jc w:val="left"/>
        <w:rPr>
          <w:b/>
        </w:rPr>
      </w:pPr>
      <w:bookmarkStart w:id="2" w:name="ISSN"/>
      <w:bookmarkEnd w:id="2"/>
      <w:r w:rsidRPr="00833590">
        <w:rPr>
          <w:b/>
        </w:rPr>
        <w:t>ISBN</w:t>
      </w:r>
      <w:r w:rsidRPr="00833590">
        <w:rPr>
          <w:b/>
        </w:rPr>
        <w:tab/>
      </w:r>
      <w:r w:rsidR="006E1066" w:rsidRPr="00833590">
        <w:rPr>
          <w:b/>
        </w:rPr>
        <w:t xml:space="preserve">978-1-74037-513-9 </w:t>
      </w:r>
      <w:r w:rsidRPr="00833590">
        <w:rPr>
          <w:b/>
        </w:rPr>
        <w:t>(</w:t>
      </w:r>
      <w:r w:rsidR="00E3201E" w:rsidRPr="00833590">
        <w:rPr>
          <w:b/>
        </w:rPr>
        <w:t>PDF</w:t>
      </w:r>
      <w:r w:rsidRPr="00833590">
        <w:rPr>
          <w:b/>
        </w:rPr>
        <w:t>)</w:t>
      </w:r>
    </w:p>
    <w:p w:rsidR="008A3857" w:rsidRPr="00833590" w:rsidRDefault="008A3857" w:rsidP="008E242D">
      <w:pPr>
        <w:pStyle w:val="BodyText"/>
        <w:spacing w:after="120"/>
      </w:pPr>
      <w:r w:rsidRPr="00833590">
        <w:rPr>
          <w:noProof/>
          <w:sz w:val="22"/>
          <w:szCs w:val="22"/>
        </w:rPr>
        <w:drawing>
          <wp:inline distT="0" distB="0" distL="0" distR="0" wp14:anchorId="3467406B" wp14:editId="781F0B5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33590" w:rsidRDefault="008A3857" w:rsidP="00BA0B81">
      <w:pPr>
        <w:pStyle w:val="Copyrightbodytext"/>
      </w:pPr>
      <w:r w:rsidRPr="00833590">
        <w:t>Except for the Commonwealth Coat of Arms and content supplied by third parties, this copyright work is licensed under a Creative Commons Attribution 3.0 Australia licence. To view a copy of this licence, visit http://creativecommons.org/licenses/by/3.0/au</w:t>
      </w:r>
      <w:r w:rsidRPr="00833590">
        <w:rPr>
          <w:sz w:val="24"/>
          <w:szCs w:val="24"/>
        </w:rPr>
        <w:t>.</w:t>
      </w:r>
      <w:r w:rsidRPr="00833590">
        <w:t xml:space="preserve"> In essence, you are free to copy, communicate and adapt the work, as long as you attribute the work to the Productivity Commission (but not in any way that suggests the Commission </w:t>
      </w:r>
      <w:proofErr w:type="gramStart"/>
      <w:r w:rsidRPr="00833590">
        <w:t>endorses</w:t>
      </w:r>
      <w:proofErr w:type="gramEnd"/>
      <w:r w:rsidRPr="00833590">
        <w:t xml:space="preserve"> you or your use) and abide by the other licence terms.</w:t>
      </w:r>
    </w:p>
    <w:p w:rsidR="008A3857" w:rsidRPr="00833590" w:rsidRDefault="008A3857" w:rsidP="008A3857">
      <w:pPr>
        <w:pStyle w:val="Copyrightsubtitle"/>
      </w:pPr>
      <w:r w:rsidRPr="00833590">
        <w:t>Use of the Commonwealth Coat of Arms</w:t>
      </w:r>
    </w:p>
    <w:p w:rsidR="008A3857" w:rsidRPr="00833590" w:rsidRDefault="008A3857" w:rsidP="00BA0B81">
      <w:pPr>
        <w:pStyle w:val="Copyrightbodytext"/>
      </w:pPr>
      <w:r w:rsidRPr="00833590">
        <w:t>For terms of use of the Coat of Arms visit the ‘It’s an Honour’ website</w:t>
      </w:r>
      <w:r w:rsidR="00122FE9" w:rsidRPr="00833590">
        <w:t>:</w:t>
      </w:r>
      <w:r w:rsidRPr="00833590">
        <w:t xml:space="preserve"> </w:t>
      </w:r>
      <w:r w:rsidR="00BA0B81" w:rsidRPr="00833590">
        <w:t>http://www.itsanhonour.gov.au</w:t>
      </w:r>
    </w:p>
    <w:p w:rsidR="008A3857" w:rsidRPr="00833590" w:rsidRDefault="008A3857" w:rsidP="008A3857">
      <w:pPr>
        <w:pStyle w:val="Copyrightsubtitle"/>
      </w:pPr>
      <w:r w:rsidRPr="00833590">
        <w:t>Third party copyright</w:t>
      </w:r>
    </w:p>
    <w:p w:rsidR="008A3857" w:rsidRPr="00833590" w:rsidRDefault="008A3857" w:rsidP="00BA0B81">
      <w:pPr>
        <w:pStyle w:val="Copyrightbodytext"/>
      </w:pPr>
      <w:r w:rsidRPr="00833590">
        <w:t>Wherever a third party holds copyright in this material, the copyright remains with that party. Their permission may be required to use the material, please contact them directly.</w:t>
      </w:r>
    </w:p>
    <w:p w:rsidR="008A3857" w:rsidRPr="00833590" w:rsidRDefault="008A3857" w:rsidP="008A3857">
      <w:pPr>
        <w:pStyle w:val="Copyrightsubtitle"/>
      </w:pPr>
      <w:r w:rsidRPr="00833590">
        <w:t>Attribution</w:t>
      </w:r>
    </w:p>
    <w:p w:rsidR="008A3857" w:rsidRPr="00833590" w:rsidRDefault="008A3857" w:rsidP="00BA0B81">
      <w:pPr>
        <w:pStyle w:val="Copyrightbodytext"/>
      </w:pPr>
      <w:r w:rsidRPr="00833590">
        <w:t xml:space="preserve">This work should be attributed as follows, </w:t>
      </w:r>
      <w:r w:rsidRPr="00833590">
        <w:rPr>
          <w:i/>
        </w:rPr>
        <w:t>Source: Productivity Commission,</w:t>
      </w:r>
      <w:r w:rsidR="00F773A9" w:rsidRPr="00833590">
        <w:rPr>
          <w:i/>
        </w:rPr>
        <w:t xml:space="preserve"> Methodological Annex: Changes to the Commission’s Assistance Estimates, Trade &amp; Assistance Review 2012</w:t>
      </w:r>
      <w:r w:rsidR="00F773A9" w:rsidRPr="00833590">
        <w:rPr>
          <w:i/>
        </w:rPr>
        <w:noBreakHyphen/>
        <w:t>13</w:t>
      </w:r>
      <w:r w:rsidRPr="00833590">
        <w:rPr>
          <w:i/>
        </w:rPr>
        <w:t>.</w:t>
      </w:r>
    </w:p>
    <w:p w:rsidR="008A3857" w:rsidRPr="00833590" w:rsidRDefault="008A3857" w:rsidP="00BA0B81">
      <w:pPr>
        <w:pStyle w:val="Copyrightbodytext"/>
        <w:spacing w:before="120"/>
      </w:pPr>
      <w:r w:rsidRPr="00833590">
        <w:t xml:space="preserve">If you have adapted, modified or transformed this work in anyway, please use the following, </w:t>
      </w:r>
      <w:r w:rsidRPr="00833590">
        <w:rPr>
          <w:i/>
        </w:rPr>
        <w:t>Source: based on Productivity Commission</w:t>
      </w:r>
      <w:r w:rsidR="00122FE9" w:rsidRPr="00833590">
        <w:rPr>
          <w:i/>
        </w:rPr>
        <w:t xml:space="preserve"> </w:t>
      </w:r>
      <w:r w:rsidRPr="00833590">
        <w:rPr>
          <w:i/>
        </w:rPr>
        <w:t>data</w:t>
      </w:r>
      <w:r w:rsidR="008E242D" w:rsidRPr="00833590">
        <w:rPr>
          <w:i/>
        </w:rPr>
        <w:t>,</w:t>
      </w:r>
      <w:r w:rsidR="00F773A9" w:rsidRPr="00833590">
        <w:rPr>
          <w:i/>
        </w:rPr>
        <w:t xml:space="preserve"> Methodological Annex: Changes to the Commission’s Assistance Estimates, Trade &amp; Assistance Review 2012</w:t>
      </w:r>
      <w:r w:rsidR="00F773A9" w:rsidRPr="00833590">
        <w:rPr>
          <w:i/>
        </w:rPr>
        <w:noBreakHyphen/>
        <w:t>13</w:t>
      </w:r>
      <w:r w:rsidRPr="00833590">
        <w:t>.</w:t>
      </w:r>
    </w:p>
    <w:p w:rsidR="008A3857" w:rsidRPr="00833590" w:rsidRDefault="008A3857" w:rsidP="008A3857">
      <w:pPr>
        <w:pStyle w:val="Copyrightsubtitle"/>
      </w:pPr>
      <w:r w:rsidRPr="00833590">
        <w:t xml:space="preserve">An appropriate </w:t>
      </w:r>
      <w:r w:rsidR="00122FE9" w:rsidRPr="00833590">
        <w:t>reference</w:t>
      </w:r>
      <w:r w:rsidRPr="00833590">
        <w:t xml:space="preserve"> for this publication is:</w:t>
      </w:r>
    </w:p>
    <w:p w:rsidR="009B7D3B" w:rsidRPr="00833590" w:rsidRDefault="009B7D3B" w:rsidP="009B7D3B">
      <w:pPr>
        <w:pStyle w:val="Copyrightbodytext"/>
      </w:pPr>
      <w:r w:rsidRPr="00833590">
        <w:t xml:space="preserve">Productivity Commission 2014, </w:t>
      </w:r>
      <w:r w:rsidRPr="00833590">
        <w:rPr>
          <w:i/>
        </w:rPr>
        <w:t>Methodological Annex: Changes to the Commission’s Assistance Estimates</w:t>
      </w:r>
      <w:r w:rsidRPr="00833590">
        <w:t>, Trade &amp; Assistance Review 2012</w:t>
      </w:r>
      <w:r w:rsidRPr="00833590">
        <w:noBreakHyphen/>
        <w:t xml:space="preserve">13, Canberra. </w:t>
      </w:r>
    </w:p>
    <w:p w:rsidR="008A3857" w:rsidRPr="00833590" w:rsidRDefault="008A3857" w:rsidP="008A3857">
      <w:pPr>
        <w:pStyle w:val="Copyrightsubtitle"/>
      </w:pPr>
      <w:r w:rsidRPr="00833590">
        <w:t>Publications enquiries</w:t>
      </w:r>
    </w:p>
    <w:p w:rsidR="009B7D3B" w:rsidRPr="00833590" w:rsidRDefault="009B7D3B" w:rsidP="009B7D3B">
      <w:pPr>
        <w:pStyle w:val="Copyrightbodytext"/>
      </w:pPr>
      <w:r w:rsidRPr="00833590">
        <w:t xml:space="preserve">Media and Publications, </w:t>
      </w:r>
      <w:r w:rsidRPr="00833590">
        <w:rPr>
          <w:szCs w:val="24"/>
        </w:rPr>
        <w:t>phone: (03) 9653 2244 or email: maps@pc.gov.au</w:t>
      </w:r>
    </w:p>
    <w:p w:rsidR="008A3857" w:rsidRPr="00833590" w:rsidRDefault="009B7D3B" w:rsidP="009B7D3B">
      <w:pPr>
        <w:pStyle w:val="BoxSpaceAbove"/>
        <w:tabs>
          <w:tab w:val="left" w:pos="2063"/>
        </w:tabs>
      </w:pPr>
      <w:r w:rsidRPr="00833590">
        <w:tab/>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3590" w:rsidRPr="00833590" w:rsidTr="002D5890">
        <w:tc>
          <w:tcPr>
            <w:tcW w:w="8771" w:type="dxa"/>
            <w:tcBorders>
              <w:top w:val="single" w:sz="6" w:space="0" w:color="78A22F"/>
              <w:left w:val="nil"/>
              <w:bottom w:val="nil"/>
              <w:right w:val="nil"/>
            </w:tcBorders>
            <w:shd w:val="clear" w:color="auto" w:fill="F2F2F2" w:themeFill="background1" w:themeFillShade="F2"/>
          </w:tcPr>
          <w:p w:rsidR="008A3857" w:rsidRPr="00833590" w:rsidRDefault="008A3857" w:rsidP="002D5890">
            <w:pPr>
              <w:pStyle w:val="BoxTitle"/>
              <w:rPr>
                <w:sz w:val="22"/>
                <w:szCs w:val="22"/>
              </w:rPr>
            </w:pPr>
            <w:bookmarkStart w:id="3" w:name="_Toc401155968"/>
            <w:r w:rsidRPr="00833590">
              <w:rPr>
                <w:sz w:val="22"/>
                <w:szCs w:val="22"/>
              </w:rPr>
              <w:t>The Productivity Commission</w:t>
            </w:r>
            <w:bookmarkEnd w:id="3"/>
          </w:p>
        </w:tc>
      </w:tr>
      <w:tr w:rsidR="00833590" w:rsidRPr="00833590" w:rsidTr="002D5890">
        <w:trPr>
          <w:cantSplit/>
        </w:trPr>
        <w:tc>
          <w:tcPr>
            <w:tcW w:w="8771" w:type="dxa"/>
            <w:tcBorders>
              <w:top w:val="nil"/>
              <w:left w:val="nil"/>
              <w:bottom w:val="nil"/>
              <w:right w:val="nil"/>
            </w:tcBorders>
            <w:shd w:val="clear" w:color="auto" w:fill="F2F2F2" w:themeFill="background1" w:themeFillShade="F2"/>
          </w:tcPr>
          <w:p w:rsidR="008A3857" w:rsidRPr="00833590" w:rsidRDefault="008A3857" w:rsidP="002D5890">
            <w:pPr>
              <w:pStyle w:val="Box"/>
            </w:pPr>
            <w:r w:rsidRPr="00833590">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Pr="00833590" w:rsidRDefault="008A3857" w:rsidP="002D5890">
            <w:pPr>
              <w:pStyle w:val="Box"/>
            </w:pPr>
            <w:r w:rsidRPr="00833590">
              <w:t>The Commission’s independence is underpinned by an Act of Parliament. Its processes and outputs are open to public scrutiny and are driven by concern for the wellbeing of the community as a whole.</w:t>
            </w:r>
          </w:p>
          <w:p w:rsidR="008A3857" w:rsidRPr="00833590" w:rsidRDefault="008A3857" w:rsidP="00EC38C1">
            <w:pPr>
              <w:pStyle w:val="Box"/>
            </w:pPr>
            <w:r w:rsidRPr="00833590">
              <w:rPr>
                <w:szCs w:val="24"/>
              </w:rPr>
              <w:t>Further information on the Productivity Commission can be obtained from the Commission’s website (</w:t>
            </w:r>
            <w:r w:rsidRPr="00833590">
              <w:t>www.pc.gov.au</w:t>
            </w:r>
            <w:r w:rsidRPr="00833590">
              <w:rPr>
                <w:szCs w:val="24"/>
              </w:rPr>
              <w:t>)</w:t>
            </w:r>
            <w:r w:rsidR="00EC38C1" w:rsidRPr="00833590">
              <w:rPr>
                <w:szCs w:val="24"/>
              </w:rPr>
              <w:t>.</w:t>
            </w:r>
          </w:p>
        </w:tc>
      </w:tr>
      <w:tr w:rsidR="00833590" w:rsidRPr="00833590"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Pr="00833590" w:rsidRDefault="008A3857" w:rsidP="002D5890">
            <w:pPr>
              <w:pStyle w:val="Box"/>
              <w:spacing w:before="0" w:line="120" w:lineRule="exact"/>
            </w:pPr>
          </w:p>
        </w:tc>
      </w:tr>
    </w:tbl>
    <w:p w:rsidR="00735FEA" w:rsidRPr="00833590" w:rsidRDefault="00735FEA">
      <w:pPr>
        <w:pStyle w:val="BodyText"/>
        <w:sectPr w:rsidR="00735FEA" w:rsidRPr="00833590" w:rsidSect="00122FE9">
          <w:type w:val="oddPage"/>
          <w:pgSz w:w="11907" w:h="16840" w:code="9"/>
          <w:pgMar w:top="1304" w:right="1304" w:bottom="567" w:left="1814" w:header="1701" w:footer="397" w:gutter="0"/>
          <w:pgNumType w:fmt="lowerRoman" w:start="1"/>
          <w:cols w:space="720"/>
          <w:titlePg/>
        </w:sectPr>
      </w:pPr>
      <w:bookmarkStart w:id="4" w:name="cov"/>
      <w:bookmarkEnd w:id="4"/>
    </w:p>
    <w:p w:rsidR="0095139E" w:rsidRPr="00833590" w:rsidRDefault="00735FEA" w:rsidP="008206EE">
      <w:pPr>
        <w:pStyle w:val="Heading1NotTOC"/>
        <w:rPr>
          <w:noProof/>
        </w:rPr>
      </w:pPr>
      <w:bookmarkStart w:id="5" w:name="Contents"/>
      <w:bookmarkEnd w:id="5"/>
      <w:r w:rsidRPr="00833590">
        <w:lastRenderedPageBreak/>
        <w:t>Contents</w:t>
      </w:r>
      <w:bookmarkStart w:id="6" w:name="InsertContents"/>
      <w:bookmarkEnd w:id="6"/>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Abbreviations</w:t>
      </w:r>
      <w:r w:rsidRPr="00833590">
        <w:rPr>
          <w:noProof/>
        </w:rPr>
        <w:tab/>
        <w:t>iv</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1</w:t>
      </w:r>
      <w:r w:rsidRPr="00833590">
        <w:rPr>
          <w:rFonts w:asciiTheme="minorHAnsi" w:eastAsiaTheme="minorEastAsia" w:hAnsiTheme="minorHAnsi" w:cstheme="minorBidi"/>
          <w:b w:val="0"/>
          <w:noProof/>
          <w:sz w:val="22"/>
          <w:szCs w:val="22"/>
          <w:lang w:eastAsia="en-AU"/>
        </w:rPr>
        <w:tab/>
      </w:r>
      <w:r w:rsidRPr="00833590">
        <w:rPr>
          <w:noProof/>
        </w:rPr>
        <w:t>About this annex</w:t>
      </w:r>
      <w:r w:rsidRPr="00833590">
        <w:rPr>
          <w:noProof/>
        </w:rPr>
        <w:tab/>
        <w:t>1</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2</w:t>
      </w:r>
      <w:r w:rsidRPr="00833590">
        <w:rPr>
          <w:rFonts w:asciiTheme="minorHAnsi" w:eastAsiaTheme="minorEastAsia" w:hAnsiTheme="minorHAnsi" w:cstheme="minorBidi"/>
          <w:b w:val="0"/>
          <w:noProof/>
          <w:sz w:val="22"/>
          <w:szCs w:val="22"/>
          <w:lang w:eastAsia="en-AU"/>
        </w:rPr>
        <w:tab/>
      </w:r>
      <w:r w:rsidRPr="00833590">
        <w:rPr>
          <w:noProof/>
        </w:rPr>
        <w:t>New programs</w:t>
      </w:r>
      <w:r w:rsidRPr="00833590">
        <w:rPr>
          <w:noProof/>
        </w:rPr>
        <w:tab/>
        <w:t>3</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3</w:t>
      </w:r>
      <w:r w:rsidRPr="00833590">
        <w:rPr>
          <w:rFonts w:asciiTheme="minorHAnsi" w:eastAsiaTheme="minorEastAsia" w:hAnsiTheme="minorHAnsi" w:cstheme="minorBidi"/>
          <w:b w:val="0"/>
          <w:noProof/>
          <w:sz w:val="22"/>
          <w:szCs w:val="22"/>
          <w:lang w:eastAsia="en-AU"/>
        </w:rPr>
        <w:tab/>
      </w:r>
      <w:r w:rsidRPr="00833590">
        <w:rPr>
          <w:noProof/>
        </w:rPr>
        <w:t>Programs with zero funding</w:t>
      </w:r>
      <w:r w:rsidRPr="00833590">
        <w:rPr>
          <w:noProof/>
        </w:rPr>
        <w:tab/>
        <w:t>13</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4</w:t>
      </w:r>
      <w:r w:rsidRPr="00833590">
        <w:rPr>
          <w:rFonts w:asciiTheme="minorHAnsi" w:eastAsiaTheme="minorEastAsia" w:hAnsiTheme="minorHAnsi" w:cstheme="minorBidi"/>
          <w:b w:val="0"/>
          <w:noProof/>
          <w:sz w:val="22"/>
          <w:szCs w:val="22"/>
          <w:lang w:eastAsia="en-AU"/>
        </w:rPr>
        <w:tab/>
      </w:r>
      <w:r w:rsidRPr="00833590">
        <w:rPr>
          <w:noProof/>
        </w:rPr>
        <w:t>Methodological changes to the estimates</w:t>
      </w:r>
      <w:r w:rsidRPr="00833590">
        <w:rPr>
          <w:noProof/>
        </w:rPr>
        <w:tab/>
        <w:t>15</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5</w:t>
      </w:r>
      <w:r w:rsidRPr="00833590">
        <w:rPr>
          <w:rFonts w:asciiTheme="minorHAnsi" w:eastAsiaTheme="minorEastAsia" w:hAnsiTheme="minorHAnsi" w:cstheme="minorBidi"/>
          <w:b w:val="0"/>
          <w:noProof/>
          <w:sz w:val="22"/>
          <w:szCs w:val="22"/>
          <w:lang w:eastAsia="en-AU"/>
        </w:rPr>
        <w:tab/>
      </w:r>
      <w:r w:rsidRPr="00833590">
        <w:rPr>
          <w:noProof/>
        </w:rPr>
        <w:t>Rules of Origin methodology</w:t>
      </w:r>
      <w:r w:rsidRPr="00833590">
        <w:rPr>
          <w:noProof/>
        </w:rPr>
        <w:tab/>
        <w:t>21</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A</w:t>
      </w:r>
      <w:r w:rsidRPr="00833590">
        <w:rPr>
          <w:rFonts w:asciiTheme="minorHAnsi" w:eastAsiaTheme="minorEastAsia" w:hAnsiTheme="minorHAnsi" w:cstheme="minorBidi"/>
          <w:b w:val="0"/>
          <w:noProof/>
          <w:sz w:val="22"/>
          <w:szCs w:val="22"/>
          <w:lang w:eastAsia="en-AU"/>
        </w:rPr>
        <w:tab/>
      </w:r>
      <w:r w:rsidRPr="00833590">
        <w:rPr>
          <w:noProof/>
        </w:rPr>
        <w:t>Rules of Origin calculations country details</w:t>
      </w:r>
      <w:r w:rsidRPr="00833590">
        <w:rPr>
          <w:noProof/>
        </w:rPr>
        <w:tab/>
        <w:t>25</w:t>
      </w:r>
    </w:p>
    <w:p w:rsidR="0095139E" w:rsidRPr="00833590" w:rsidRDefault="0095139E">
      <w:pPr>
        <w:pStyle w:val="TOC1"/>
        <w:rPr>
          <w:rFonts w:asciiTheme="minorHAnsi" w:eastAsiaTheme="minorEastAsia" w:hAnsiTheme="minorHAnsi" w:cstheme="minorBidi"/>
          <w:b w:val="0"/>
          <w:noProof/>
          <w:sz w:val="22"/>
          <w:szCs w:val="22"/>
          <w:lang w:eastAsia="en-AU"/>
        </w:rPr>
      </w:pPr>
      <w:r w:rsidRPr="00833590">
        <w:rPr>
          <w:noProof/>
        </w:rPr>
        <w:t>References</w:t>
      </w:r>
      <w:r w:rsidRPr="00833590">
        <w:rPr>
          <w:noProof/>
        </w:rPr>
        <w:tab/>
        <w:t>47</w:t>
      </w:r>
    </w:p>
    <w:p w:rsidR="0095139E" w:rsidRPr="00833590" w:rsidRDefault="0095139E" w:rsidP="0095139E">
      <w:pPr>
        <w:pStyle w:val="TOC1"/>
      </w:pPr>
      <w:r w:rsidRPr="00833590">
        <w:t xml:space="preserve"> Figures</w:t>
      </w:r>
    </w:p>
    <w:p w:rsidR="0095139E" w:rsidRPr="00833590" w:rsidRDefault="0095139E">
      <w:pPr>
        <w:pStyle w:val="TOC2"/>
        <w:tabs>
          <w:tab w:val="left" w:pos="1901"/>
        </w:tabs>
        <w:rPr>
          <w:rFonts w:asciiTheme="minorHAnsi" w:eastAsiaTheme="minorEastAsia" w:hAnsiTheme="minorHAnsi" w:cstheme="minorBidi"/>
          <w:noProof/>
          <w:sz w:val="22"/>
          <w:szCs w:val="22"/>
          <w:lang w:eastAsia="en-AU"/>
        </w:rPr>
      </w:pPr>
      <w:r w:rsidRPr="00833590">
        <w:rPr>
          <w:noProof/>
        </w:rPr>
        <w:t>5.1</w:t>
      </w:r>
      <w:r w:rsidRPr="00833590">
        <w:rPr>
          <w:rFonts w:asciiTheme="minorHAnsi" w:eastAsiaTheme="minorEastAsia" w:hAnsiTheme="minorHAnsi" w:cstheme="minorBidi"/>
          <w:noProof/>
          <w:sz w:val="22"/>
          <w:szCs w:val="22"/>
          <w:lang w:eastAsia="en-AU"/>
        </w:rPr>
        <w:tab/>
      </w:r>
      <w:r w:rsidRPr="00833590">
        <w:rPr>
          <w:noProof/>
        </w:rPr>
        <w:t>Summary of methods used to determine origin in recent preferential trade agreements with Australia</w:t>
      </w:r>
      <w:r w:rsidRPr="00833590">
        <w:rPr>
          <w:noProof/>
        </w:rPr>
        <w:tab/>
        <w:t>23</w:t>
      </w:r>
    </w:p>
    <w:p w:rsidR="0095139E" w:rsidRPr="00833590" w:rsidRDefault="0095139E" w:rsidP="0095139E">
      <w:pPr>
        <w:pStyle w:val="TOC1"/>
      </w:pPr>
      <w:r w:rsidRPr="00833590">
        <w:t>Tables</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1.1</w:t>
      </w:r>
      <w:r w:rsidRPr="00833590">
        <w:rPr>
          <w:rFonts w:asciiTheme="minorHAnsi" w:eastAsiaTheme="minorEastAsia" w:hAnsiTheme="minorHAnsi" w:cstheme="minorBidi"/>
          <w:noProof/>
          <w:sz w:val="22"/>
          <w:szCs w:val="22"/>
          <w:lang w:eastAsia="en-AU"/>
        </w:rPr>
        <w:tab/>
      </w:r>
      <w:r w:rsidRPr="00833590">
        <w:rPr>
          <w:noProof/>
        </w:rPr>
        <w:t>Previous methodological annexes to Trade &amp; Assistance Review</w:t>
      </w:r>
      <w:r w:rsidRPr="00833590">
        <w:rPr>
          <w:noProof/>
        </w:rPr>
        <w:tab/>
        <w:t>2</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2.1</w:t>
      </w:r>
      <w:r w:rsidRPr="00833590">
        <w:rPr>
          <w:rFonts w:asciiTheme="minorHAnsi" w:eastAsiaTheme="minorEastAsia" w:hAnsiTheme="minorHAnsi" w:cstheme="minorBidi"/>
          <w:noProof/>
          <w:sz w:val="22"/>
          <w:szCs w:val="22"/>
          <w:lang w:eastAsia="en-AU"/>
        </w:rPr>
        <w:tab/>
      </w:r>
      <w:r w:rsidRPr="00833590">
        <w:rPr>
          <w:noProof/>
        </w:rPr>
        <w:t xml:space="preserve">New budgetary assistance measures for  </w:t>
      </w:r>
      <w:r w:rsidRPr="00833590">
        <w:rPr>
          <w:i/>
          <w:noProof/>
        </w:rPr>
        <w:t>Trade &amp; Assistance Review 2012</w:t>
      </w:r>
      <w:r w:rsidRPr="00833590">
        <w:rPr>
          <w:i/>
          <w:noProof/>
        </w:rPr>
        <w:noBreakHyphen/>
        <w:t>13</w:t>
      </w:r>
      <w:r w:rsidRPr="00833590">
        <w:rPr>
          <w:noProof/>
        </w:rPr>
        <w:tab/>
        <w:t>4</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2.2</w:t>
      </w:r>
      <w:r w:rsidRPr="00833590">
        <w:rPr>
          <w:rFonts w:asciiTheme="minorHAnsi" w:eastAsiaTheme="minorEastAsia" w:hAnsiTheme="minorHAnsi" w:cstheme="minorBidi"/>
          <w:noProof/>
          <w:sz w:val="22"/>
          <w:szCs w:val="22"/>
          <w:lang w:eastAsia="en-AU"/>
        </w:rPr>
        <w:tab/>
      </w:r>
      <w:r w:rsidRPr="00833590">
        <w:rPr>
          <w:noProof/>
        </w:rPr>
        <w:t>Rebate for broadcasting licence fees, 2009</w:t>
      </w:r>
      <w:r w:rsidRPr="00833590">
        <w:rPr>
          <w:noProof/>
        </w:rPr>
        <w:noBreakHyphen/>
        <w:t>10 to 2013</w:t>
      </w:r>
      <w:r w:rsidRPr="00833590">
        <w:rPr>
          <w:noProof/>
        </w:rPr>
        <w:noBreakHyphen/>
        <w:t>14</w:t>
      </w:r>
      <w:r w:rsidRPr="00833590">
        <w:rPr>
          <w:noProof/>
        </w:rPr>
        <w:tab/>
        <w:t>11</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2.3</w:t>
      </w:r>
      <w:r w:rsidRPr="00833590">
        <w:rPr>
          <w:rFonts w:asciiTheme="minorHAnsi" w:eastAsiaTheme="minorEastAsia" w:hAnsiTheme="minorHAnsi" w:cstheme="minorBidi"/>
          <w:noProof/>
          <w:sz w:val="22"/>
          <w:szCs w:val="22"/>
          <w:lang w:eastAsia="en-AU"/>
        </w:rPr>
        <w:tab/>
      </w:r>
      <w:r w:rsidRPr="00833590">
        <w:rPr>
          <w:noProof/>
        </w:rPr>
        <w:t>Product stewardship for oil program, 2007</w:t>
      </w:r>
      <w:r w:rsidRPr="00833590">
        <w:rPr>
          <w:noProof/>
        </w:rPr>
        <w:noBreakHyphen/>
        <w:t>08 to 2012</w:t>
      </w:r>
      <w:r w:rsidRPr="00833590">
        <w:rPr>
          <w:noProof/>
        </w:rPr>
        <w:noBreakHyphen/>
        <w:t>13</w:t>
      </w:r>
      <w:r w:rsidRPr="00833590">
        <w:rPr>
          <w:noProof/>
        </w:rPr>
        <w:tab/>
        <w:t>11</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3.1</w:t>
      </w:r>
      <w:r w:rsidRPr="00833590">
        <w:rPr>
          <w:rFonts w:asciiTheme="minorHAnsi" w:eastAsiaTheme="minorEastAsia" w:hAnsiTheme="minorHAnsi" w:cstheme="minorBidi"/>
          <w:noProof/>
          <w:sz w:val="22"/>
          <w:szCs w:val="22"/>
          <w:lang w:eastAsia="en-AU"/>
        </w:rPr>
        <w:tab/>
      </w:r>
      <w:r w:rsidRPr="00833590">
        <w:rPr>
          <w:noProof/>
        </w:rPr>
        <w:t>Program funding in 2011</w:t>
      </w:r>
      <w:r w:rsidRPr="00833590">
        <w:rPr>
          <w:noProof/>
        </w:rPr>
        <w:noBreakHyphen/>
        <w:t>12 for programs with zero funding in 2012</w:t>
      </w:r>
      <w:r w:rsidRPr="00833590">
        <w:rPr>
          <w:noProof/>
        </w:rPr>
        <w:noBreakHyphen/>
        <w:t>13</w:t>
      </w:r>
      <w:r w:rsidRPr="00833590">
        <w:rPr>
          <w:noProof/>
        </w:rPr>
        <w:tab/>
        <w:t>13</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4.1</w:t>
      </w:r>
      <w:r w:rsidRPr="00833590">
        <w:rPr>
          <w:rFonts w:asciiTheme="minorHAnsi" w:eastAsiaTheme="minorEastAsia" w:hAnsiTheme="minorHAnsi" w:cstheme="minorBidi"/>
          <w:noProof/>
          <w:sz w:val="22"/>
          <w:szCs w:val="22"/>
          <w:lang w:eastAsia="en-AU"/>
        </w:rPr>
        <w:tab/>
      </w:r>
      <w:r w:rsidRPr="00833590">
        <w:rPr>
          <w:noProof/>
        </w:rPr>
        <w:t>Income tax averaging provisions for primary producers, 2007</w:t>
      </w:r>
      <w:r w:rsidRPr="00833590">
        <w:rPr>
          <w:noProof/>
        </w:rPr>
        <w:noBreakHyphen/>
        <w:t>08 to 2012</w:t>
      </w:r>
      <w:r w:rsidRPr="00833590">
        <w:rPr>
          <w:noProof/>
        </w:rPr>
        <w:noBreakHyphen/>
        <w:t>13</w:t>
      </w:r>
      <w:r w:rsidRPr="00833590">
        <w:rPr>
          <w:noProof/>
        </w:rPr>
        <w:tab/>
        <w:t>16</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4.2</w:t>
      </w:r>
      <w:r w:rsidRPr="00833590">
        <w:rPr>
          <w:rFonts w:asciiTheme="minorHAnsi" w:eastAsiaTheme="minorEastAsia" w:hAnsiTheme="minorHAnsi" w:cstheme="minorBidi"/>
          <w:noProof/>
          <w:sz w:val="22"/>
          <w:szCs w:val="22"/>
          <w:lang w:eastAsia="en-AU"/>
        </w:rPr>
        <w:tab/>
      </w:r>
      <w:r w:rsidRPr="00833590">
        <w:rPr>
          <w:noProof/>
        </w:rPr>
        <w:t>Changes to Cooperative Research Centres industry allocations</w:t>
      </w:r>
      <w:r w:rsidRPr="00833590">
        <w:rPr>
          <w:noProof/>
        </w:rPr>
        <w:tab/>
        <w:t>17</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4.3</w:t>
      </w:r>
      <w:r w:rsidRPr="00833590">
        <w:rPr>
          <w:rFonts w:asciiTheme="minorHAnsi" w:eastAsiaTheme="minorEastAsia" w:hAnsiTheme="minorHAnsi" w:cstheme="minorBidi"/>
          <w:noProof/>
          <w:sz w:val="22"/>
          <w:szCs w:val="22"/>
          <w:lang w:eastAsia="en-AU"/>
        </w:rPr>
        <w:tab/>
      </w:r>
      <w:r w:rsidRPr="00833590">
        <w:rPr>
          <w:noProof/>
        </w:rPr>
        <w:t>Concordance between Trade &amp; Assistance industry group and national accounts industry division</w:t>
      </w:r>
      <w:r w:rsidRPr="00833590">
        <w:rPr>
          <w:noProof/>
        </w:rPr>
        <w:tab/>
        <w:t>19</w:t>
      </w:r>
    </w:p>
    <w:p w:rsidR="0095139E" w:rsidRPr="00833590" w:rsidRDefault="0095139E">
      <w:pPr>
        <w:pStyle w:val="TOC2"/>
        <w:tabs>
          <w:tab w:val="left" w:pos="1814"/>
        </w:tabs>
        <w:rPr>
          <w:rFonts w:asciiTheme="minorHAnsi" w:eastAsiaTheme="minorEastAsia" w:hAnsiTheme="minorHAnsi" w:cstheme="minorBidi"/>
          <w:noProof/>
          <w:sz w:val="22"/>
          <w:szCs w:val="22"/>
          <w:lang w:eastAsia="en-AU"/>
        </w:rPr>
      </w:pPr>
      <w:r w:rsidRPr="00833590">
        <w:rPr>
          <w:noProof/>
        </w:rPr>
        <w:t>5.1</w:t>
      </w:r>
      <w:r w:rsidRPr="00833590">
        <w:rPr>
          <w:rFonts w:asciiTheme="minorHAnsi" w:eastAsiaTheme="minorEastAsia" w:hAnsiTheme="minorHAnsi" w:cstheme="minorBidi"/>
          <w:noProof/>
          <w:sz w:val="22"/>
          <w:szCs w:val="22"/>
          <w:lang w:eastAsia="en-AU"/>
        </w:rPr>
        <w:tab/>
      </w:r>
      <w:r w:rsidRPr="00833590">
        <w:rPr>
          <w:noProof/>
        </w:rPr>
        <w:t>Incidence of methods used to determine origin in recent preferential trade agreements with Australia</w:t>
      </w:r>
      <w:r w:rsidRPr="00833590">
        <w:rPr>
          <w:noProof/>
        </w:rPr>
        <w:tab/>
        <w:t>24</w:t>
      </w:r>
    </w:p>
    <w:p w:rsidR="00735FEA" w:rsidRPr="00833590" w:rsidRDefault="002C7347" w:rsidP="00F7477E">
      <w:pPr>
        <w:pStyle w:val="Heading1"/>
      </w:pPr>
      <w:bookmarkStart w:id="7" w:name="Abbreviations"/>
      <w:bookmarkStart w:id="8" w:name="EndContents"/>
      <w:bookmarkStart w:id="9" w:name="RDnote"/>
      <w:bookmarkStart w:id="10" w:name="_Toc401155965"/>
      <w:bookmarkEnd w:id="7"/>
      <w:bookmarkEnd w:id="8"/>
      <w:bookmarkEnd w:id="9"/>
      <w:r w:rsidRPr="00833590">
        <w:lastRenderedPageBreak/>
        <w:t>Abbreviations</w:t>
      </w:r>
      <w:bookmarkEnd w:id="10"/>
      <w:r w:rsidRPr="00833590">
        <w:t xml:space="preserve"> </w:t>
      </w:r>
    </w:p>
    <w:p w:rsidR="002C7347" w:rsidRPr="00833590" w:rsidRDefault="002C7347" w:rsidP="002C7347">
      <w:pPr>
        <w:pStyle w:val="Abbreviation"/>
      </w:pPr>
      <w:bookmarkStart w:id="11" w:name="Glossary"/>
      <w:bookmarkEnd w:id="11"/>
      <w:r w:rsidRPr="00833590">
        <w:t>ABS</w:t>
      </w:r>
      <w:r w:rsidRPr="00833590">
        <w:tab/>
        <w:t>Australian Bureau of Statistics</w:t>
      </w:r>
    </w:p>
    <w:p w:rsidR="002C7347" w:rsidRPr="00833590" w:rsidRDefault="002C7347" w:rsidP="002C7347">
      <w:pPr>
        <w:pStyle w:val="Abbreviation"/>
      </w:pPr>
      <w:r w:rsidRPr="00833590">
        <w:t>ANZSIC</w:t>
      </w:r>
      <w:r w:rsidRPr="00833590">
        <w:tab/>
        <w:t>Australia and New Zealand Standard Industrial Classification</w:t>
      </w:r>
    </w:p>
    <w:p w:rsidR="002C7347" w:rsidRPr="00833590" w:rsidRDefault="002C7347" w:rsidP="002C7347">
      <w:pPr>
        <w:pStyle w:val="Abbreviation"/>
      </w:pPr>
      <w:r w:rsidRPr="00833590">
        <w:t>ATO</w:t>
      </w:r>
      <w:r w:rsidRPr="00833590">
        <w:tab/>
        <w:t>Australian Taxation Office</w:t>
      </w:r>
    </w:p>
    <w:p w:rsidR="002C7347" w:rsidRPr="00833590" w:rsidRDefault="002C7347" w:rsidP="002C7347">
      <w:pPr>
        <w:pStyle w:val="Abbreviation"/>
      </w:pPr>
      <w:r w:rsidRPr="00833590">
        <w:t>CRC</w:t>
      </w:r>
      <w:r w:rsidRPr="00833590">
        <w:tab/>
        <w:t>Cooperative Research Centre</w:t>
      </w:r>
    </w:p>
    <w:p w:rsidR="002C7347" w:rsidRPr="00833590" w:rsidRDefault="002C7347" w:rsidP="002C7347">
      <w:pPr>
        <w:pStyle w:val="Abbreviation"/>
      </w:pPr>
      <w:r w:rsidRPr="00833590">
        <w:t>DAFF</w:t>
      </w:r>
      <w:r w:rsidRPr="00833590">
        <w:tab/>
        <w:t>Department of Agriculture, Fisheries and Forestry</w:t>
      </w:r>
    </w:p>
    <w:p w:rsidR="002C7347" w:rsidRPr="00833590" w:rsidRDefault="002C7347" w:rsidP="002C7347">
      <w:pPr>
        <w:pStyle w:val="Abbreviation"/>
      </w:pPr>
      <w:r w:rsidRPr="00833590">
        <w:t>DBCDE</w:t>
      </w:r>
      <w:r w:rsidRPr="00833590">
        <w:tab/>
        <w:t>Department of Broadband, Communications and the Digital Economy</w:t>
      </w:r>
    </w:p>
    <w:p w:rsidR="002C7347" w:rsidRPr="00833590" w:rsidRDefault="002C7347" w:rsidP="002C7347">
      <w:pPr>
        <w:pStyle w:val="Abbreviation"/>
      </w:pPr>
      <w:r w:rsidRPr="00833590">
        <w:t>DE</w:t>
      </w:r>
      <w:r w:rsidRPr="00833590">
        <w:tab/>
        <w:t>Department of the Environment</w:t>
      </w:r>
    </w:p>
    <w:p w:rsidR="002C7347" w:rsidRPr="00833590" w:rsidRDefault="002C7347" w:rsidP="002C7347">
      <w:pPr>
        <w:pStyle w:val="Abbreviation"/>
      </w:pPr>
      <w:r w:rsidRPr="00833590">
        <w:t>DI</w:t>
      </w:r>
      <w:r w:rsidRPr="00833590">
        <w:tab/>
        <w:t>Department of Industry</w:t>
      </w:r>
    </w:p>
    <w:p w:rsidR="002C7347" w:rsidRPr="00833590" w:rsidRDefault="002C7347" w:rsidP="002C7347">
      <w:pPr>
        <w:pStyle w:val="Abbreviation"/>
      </w:pPr>
      <w:r w:rsidRPr="00833590">
        <w:t>DIICCSRTE</w:t>
      </w:r>
      <w:r w:rsidRPr="00833590">
        <w:tab/>
        <w:t>Department of Industry, Innovation, Climate Change, Science, Research and Tertiary Education</w:t>
      </w:r>
    </w:p>
    <w:p w:rsidR="002C7347" w:rsidRPr="00833590" w:rsidRDefault="002C7347" w:rsidP="002C7347">
      <w:pPr>
        <w:pStyle w:val="Abbreviation"/>
      </w:pPr>
      <w:r w:rsidRPr="00833590">
        <w:t>DIISR</w:t>
      </w:r>
      <w:r w:rsidRPr="00833590">
        <w:tab/>
        <w:t>Department of Industry, Innovation, Science and Research</w:t>
      </w:r>
    </w:p>
    <w:p w:rsidR="002C7347" w:rsidRPr="00833590" w:rsidRDefault="002C7347" w:rsidP="002C7347">
      <w:pPr>
        <w:pStyle w:val="Abbreviation"/>
      </w:pPr>
      <w:r w:rsidRPr="00833590">
        <w:t>DIRD</w:t>
      </w:r>
      <w:r w:rsidRPr="00833590">
        <w:tab/>
        <w:t>Department of Industry, Innovation and Regional Development</w:t>
      </w:r>
    </w:p>
    <w:p w:rsidR="002C7347" w:rsidRPr="00833590" w:rsidRDefault="002C7347" w:rsidP="002C7347">
      <w:pPr>
        <w:pStyle w:val="Abbreviation"/>
      </w:pPr>
      <w:r w:rsidRPr="00833590">
        <w:t>DRET</w:t>
      </w:r>
      <w:r w:rsidRPr="00833590">
        <w:tab/>
        <w:t>Department of Resources, Energy and Tourism</w:t>
      </w:r>
    </w:p>
    <w:p w:rsidR="002C7347" w:rsidRPr="00833590" w:rsidRDefault="002C7347" w:rsidP="002C7347">
      <w:pPr>
        <w:pStyle w:val="Abbreviation"/>
      </w:pPr>
      <w:r w:rsidRPr="00833590">
        <w:t>DSEWPC</w:t>
      </w:r>
      <w:r w:rsidRPr="00833590">
        <w:tab/>
        <w:t>Department of Sustainability, Environment, Water, Population and Communities</w:t>
      </w:r>
    </w:p>
    <w:p w:rsidR="002C7347" w:rsidRPr="00833590" w:rsidRDefault="002C7347" w:rsidP="002C7347">
      <w:pPr>
        <w:pStyle w:val="Abbreviation"/>
      </w:pPr>
      <w:r w:rsidRPr="00833590">
        <w:t>MTAA</w:t>
      </w:r>
      <w:r w:rsidRPr="00833590">
        <w:tab/>
        <w:t>Medical Technology Association of Australia</w:t>
      </w:r>
    </w:p>
    <w:p w:rsidR="002C7347" w:rsidRPr="00833590" w:rsidRDefault="002C7347" w:rsidP="002C7347">
      <w:pPr>
        <w:pStyle w:val="Abbreviation"/>
      </w:pPr>
      <w:r w:rsidRPr="00833590">
        <w:t>PC</w:t>
      </w:r>
      <w:r w:rsidRPr="00833590">
        <w:tab/>
        <w:t>Productivity Commission</w:t>
      </w:r>
    </w:p>
    <w:p w:rsidR="0095139E" w:rsidRPr="00833590" w:rsidRDefault="0095139E" w:rsidP="00743A27">
      <w:pPr>
        <w:pStyle w:val="BodyText"/>
        <w:rPr>
          <w:rStyle w:val="CommentReference"/>
          <w:vanish w:val="0"/>
          <w:color w:val="auto"/>
        </w:rPr>
      </w:pPr>
    </w:p>
    <w:sectPr w:rsidR="0095139E" w:rsidRPr="00833590" w:rsidSect="00585B3F">
      <w:headerReference w:type="even" r:id="rId11"/>
      <w:headerReference w:type="default" r:id="rId12"/>
      <w:footerReference w:type="even" r:id="rId13"/>
      <w:footerReference w:type="default" r:id="rId14"/>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D3B" w:rsidRDefault="009B7D3B">
      <w:r>
        <w:separator/>
      </w:r>
    </w:p>
    <w:p w:rsidR="009B7D3B" w:rsidRDefault="009B7D3B"/>
    <w:p w:rsidR="009B7D3B" w:rsidRDefault="009B7D3B"/>
  </w:endnote>
  <w:endnote w:type="continuationSeparator" w:id="0">
    <w:p w:rsidR="009B7D3B" w:rsidRDefault="009B7D3B">
      <w:r>
        <w:continuationSeparator/>
      </w:r>
    </w:p>
    <w:p w:rsidR="009B7D3B" w:rsidRDefault="009B7D3B"/>
    <w:p w:rsidR="009B7D3B" w:rsidRDefault="009B7D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36412">
            <w:rPr>
              <w:rStyle w:val="PageNumber"/>
              <w:caps w:val="0"/>
              <w:noProof/>
            </w:rPr>
            <w:t>iv</w:t>
          </w:r>
          <w:r w:rsidRPr="007448F7">
            <w:rPr>
              <w:rStyle w:val="PageNumber"/>
              <w:caps w:val="0"/>
            </w:rPr>
            <w:fldChar w:fldCharType="end"/>
          </w:r>
        </w:p>
      </w:tc>
      <w:tc>
        <w:tcPr>
          <w:tcW w:w="7767" w:type="dxa"/>
        </w:tcPr>
        <w:p w:rsidR="007448F7" w:rsidRPr="0013739A" w:rsidRDefault="007E51C0" w:rsidP="00271B0C">
          <w:pPr>
            <w:pStyle w:val="Footer"/>
            <w:rPr>
              <w:rFonts w:cs="Arial"/>
            </w:rPr>
          </w:pPr>
          <w:r>
            <w:rPr>
              <w:rFonts w:cs="Arial"/>
            </w:rPr>
            <w:t>ABBREVIATIONS</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7E51C0" w:rsidP="00340511">
          <w:pPr>
            <w:pStyle w:val="Footer"/>
            <w:jc w:val="right"/>
            <w:rPr>
              <w:rFonts w:cs="Arial"/>
            </w:rPr>
          </w:pPr>
          <w:r>
            <w:rPr>
              <w:noProof/>
            </w:rPr>
            <w:t>CONTENTS</w:t>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36412">
            <w:rPr>
              <w:rStyle w:val="PageNumber"/>
              <w:caps w:val="0"/>
              <w:noProof/>
            </w:rPr>
            <w:t>iii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D3B" w:rsidRDefault="009B7D3B">
      <w:r>
        <w:separator/>
      </w:r>
    </w:p>
    <w:p w:rsidR="009B7D3B" w:rsidRDefault="009B7D3B"/>
    <w:p w:rsidR="009B7D3B" w:rsidRDefault="009B7D3B"/>
  </w:footnote>
  <w:footnote w:type="continuationSeparator" w:id="0">
    <w:p w:rsidR="009B7D3B" w:rsidRDefault="009B7D3B">
      <w:r>
        <w:continuationSeparator/>
      </w:r>
    </w:p>
    <w:p w:rsidR="009B7D3B" w:rsidRDefault="009B7D3B"/>
    <w:p w:rsidR="009B7D3B" w:rsidRDefault="009B7D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D3B"/>
    <w:rsid w:val="00017AFC"/>
    <w:rsid w:val="00025878"/>
    <w:rsid w:val="00026B38"/>
    <w:rsid w:val="00036412"/>
    <w:rsid w:val="000502D3"/>
    <w:rsid w:val="00052CB2"/>
    <w:rsid w:val="000623BF"/>
    <w:rsid w:val="00095EEA"/>
    <w:rsid w:val="00097C15"/>
    <w:rsid w:val="000A0A0E"/>
    <w:rsid w:val="000A5E12"/>
    <w:rsid w:val="000B416E"/>
    <w:rsid w:val="000F185F"/>
    <w:rsid w:val="000F2F5F"/>
    <w:rsid w:val="000F549C"/>
    <w:rsid w:val="00106041"/>
    <w:rsid w:val="0010611E"/>
    <w:rsid w:val="00122FE9"/>
    <w:rsid w:val="00131572"/>
    <w:rsid w:val="00131D4F"/>
    <w:rsid w:val="0013399B"/>
    <w:rsid w:val="00154BC9"/>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C7347"/>
    <w:rsid w:val="002D6FCE"/>
    <w:rsid w:val="00340511"/>
    <w:rsid w:val="0038647D"/>
    <w:rsid w:val="00393A49"/>
    <w:rsid w:val="003B41E0"/>
    <w:rsid w:val="003C3D73"/>
    <w:rsid w:val="003D557C"/>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066"/>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E51C0"/>
    <w:rsid w:val="007F7339"/>
    <w:rsid w:val="00805FD7"/>
    <w:rsid w:val="00806E54"/>
    <w:rsid w:val="008206EE"/>
    <w:rsid w:val="008214B1"/>
    <w:rsid w:val="008273A9"/>
    <w:rsid w:val="00833590"/>
    <w:rsid w:val="00836ED7"/>
    <w:rsid w:val="0084355E"/>
    <w:rsid w:val="008453AC"/>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5139E"/>
    <w:rsid w:val="0098401D"/>
    <w:rsid w:val="009A789F"/>
    <w:rsid w:val="009B12EF"/>
    <w:rsid w:val="009B48F7"/>
    <w:rsid w:val="009B6185"/>
    <w:rsid w:val="009B7D3B"/>
    <w:rsid w:val="009C6C6D"/>
    <w:rsid w:val="009E1E78"/>
    <w:rsid w:val="00A009CC"/>
    <w:rsid w:val="00A1597D"/>
    <w:rsid w:val="00A241B4"/>
    <w:rsid w:val="00A45302"/>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3201E"/>
    <w:rsid w:val="00E6632E"/>
    <w:rsid w:val="00E90CF2"/>
    <w:rsid w:val="00EC38C1"/>
    <w:rsid w:val="00EC628B"/>
    <w:rsid w:val="00ED0F61"/>
    <w:rsid w:val="00EE3F6D"/>
    <w:rsid w:val="00EE5AD5"/>
    <w:rsid w:val="00EE73E1"/>
    <w:rsid w:val="00F12107"/>
    <w:rsid w:val="00F13165"/>
    <w:rsid w:val="00F4234E"/>
    <w:rsid w:val="00F61429"/>
    <w:rsid w:val="00F7477E"/>
    <w:rsid w:val="00F773A9"/>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29326634">
      <w:bodyDiv w:val="1"/>
      <w:marLeft w:val="0"/>
      <w:marRight w:val="0"/>
      <w:marTop w:val="0"/>
      <w:marBottom w:val="0"/>
      <w:divBdr>
        <w:top w:val="none" w:sz="0" w:space="0" w:color="auto"/>
        <w:left w:val="none" w:sz="0" w:space="0" w:color="auto"/>
        <w:bottom w:val="none" w:sz="0" w:space="0" w:color="auto"/>
        <w:right w:val="none" w:sz="0" w:space="0" w:color="auto"/>
      </w:divBdr>
    </w:div>
    <w:div w:id="584070043">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0FF99DA-3370-41F8-9FB2-30D8C4790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28</TotalTime>
  <Pages>4</Pages>
  <Words>621</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Mark Pimperl</cp:lastModifiedBy>
  <cp:revision>15</cp:revision>
  <cp:lastPrinted>2009-07-15T23:41:00Z</cp:lastPrinted>
  <dcterms:created xsi:type="dcterms:W3CDTF">2014-10-15T06:09:00Z</dcterms:created>
  <dcterms:modified xsi:type="dcterms:W3CDTF">2014-10-23T01:13:00Z</dcterms:modified>
</cp:coreProperties>
</file>