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036D9A" w:rsidP="00036D9A">
      <w:pPr>
        <w:pStyle w:val="Heading1"/>
      </w:pPr>
      <w:bookmarkStart w:id="0" w:name="ChapterNumber"/>
      <w:bookmarkStart w:id="1" w:name="_GoBack"/>
      <w:bookmarkEnd w:id="1"/>
      <w:r>
        <w:t>5</w:t>
      </w:r>
      <w:bookmarkEnd w:id="0"/>
      <w:r>
        <w:tab/>
      </w:r>
      <w:bookmarkStart w:id="2" w:name="ChapterTitle"/>
      <w:r>
        <w:t>Developments in industry assistance</w:t>
      </w:r>
      <w:bookmarkEnd w:id="2"/>
    </w:p>
    <w:p w:rsidR="00ED78EF" w:rsidRPr="00BA5AA9" w:rsidRDefault="00ED78EF" w:rsidP="00BA5AA9">
      <w:pPr>
        <w:pStyle w:val="BodyText"/>
      </w:pPr>
      <w:bookmarkStart w:id="3" w:name="begin"/>
      <w:bookmarkEnd w:id="3"/>
      <w:r w:rsidRPr="00BA5AA9">
        <w:t xml:space="preserve">This </w:t>
      </w:r>
      <w:r w:rsidR="00976F10" w:rsidRPr="00BA5AA9">
        <w:t>chapter</w:t>
      </w:r>
      <w:r w:rsidRPr="00BA5AA9">
        <w:t xml:space="preserve"> provides an overview of Australian Government announcements and related developments pertaining to industry assistance since May 2013, the reporting date for </w:t>
      </w:r>
      <w:r w:rsidRPr="00BC0C13">
        <w:rPr>
          <w:i/>
        </w:rPr>
        <w:t>Trade &amp; Assistance Review 2011</w:t>
      </w:r>
      <w:r w:rsidRPr="00BC0C13">
        <w:rPr>
          <w:i/>
        </w:rPr>
        <w:noBreakHyphen/>
        <w:t>12</w:t>
      </w:r>
      <w:r w:rsidRPr="00BA5AA9">
        <w:t>.</w:t>
      </w:r>
    </w:p>
    <w:p w:rsidR="00976F10" w:rsidRDefault="00976F10" w:rsidP="00C2502E">
      <w:pPr>
        <w:pStyle w:val="BodyText"/>
      </w:pPr>
      <w:r w:rsidRPr="00976F10">
        <w:t xml:space="preserve">The reporting period relates to announcements made by the previous government up to the </w:t>
      </w:r>
      <w:r w:rsidR="008D740C">
        <w:t>‘c</w:t>
      </w:r>
      <w:r w:rsidRPr="00976F10">
        <w:t>aretaker</w:t>
      </w:r>
      <w:r w:rsidR="008D740C">
        <w:t>’</w:t>
      </w:r>
      <w:r w:rsidRPr="00976F10">
        <w:t xml:space="preserve"> period preceding the September 2013 </w:t>
      </w:r>
      <w:r w:rsidR="008D740C">
        <w:t>f</w:t>
      </w:r>
      <w:r w:rsidRPr="00976F10">
        <w:t xml:space="preserve">ederal </w:t>
      </w:r>
      <w:r w:rsidR="008D740C">
        <w:t>e</w:t>
      </w:r>
      <w:r w:rsidRPr="00976F10">
        <w:t>lection and announcements by the current government in the ensuing period. The overall level of program activity reported i</w:t>
      </w:r>
      <w:r w:rsidR="00C41586">
        <w:t>s</w:t>
      </w:r>
      <w:r w:rsidRPr="00976F10">
        <w:t xml:space="preserve"> less than in previous years. And while new expenditures were announced over the reporting period by the previous and current governments, the closure or winding back of some pre-exiting measures was also announced. </w:t>
      </w:r>
      <w:r w:rsidR="00C41586">
        <w:t>In addition, t</w:t>
      </w:r>
      <w:r w:rsidRPr="00976F10">
        <w:t>he current government did not accede to requests for firm-specific assistance from Qantas and SPC</w:t>
      </w:r>
      <w:r w:rsidR="000623D4">
        <w:t> </w:t>
      </w:r>
      <w:r w:rsidRPr="00976F10">
        <w:t>Ardmona.</w:t>
      </w:r>
    </w:p>
    <w:p w:rsidR="00C2502E" w:rsidRDefault="00AD0666" w:rsidP="00C2502E">
      <w:pPr>
        <w:pStyle w:val="BodyText"/>
      </w:pPr>
      <w:r w:rsidRPr="007F0C57">
        <w:t>As in previous years, d</w:t>
      </w:r>
      <w:r w:rsidR="00ED78EF" w:rsidRPr="007F0C57">
        <w:t>evelopments in industry assistance are reported in the following groupings: research, development and innovation</w:t>
      </w:r>
      <w:r w:rsidR="00311DC3">
        <w:t>; primary industries; manufacturing;</w:t>
      </w:r>
      <w:r w:rsidR="00ED78EF" w:rsidRPr="007F0C57">
        <w:t xml:space="preserve"> carbon emissions </w:t>
      </w:r>
      <w:r w:rsidR="00311DC3">
        <w:t>reduction and energy efficiency;</w:t>
      </w:r>
      <w:r w:rsidR="00ED78EF" w:rsidRPr="007F0C57">
        <w:t xml:space="preserve"> regional assistance</w:t>
      </w:r>
      <w:r w:rsidR="00311DC3">
        <w:t>;</w:t>
      </w:r>
      <w:r w:rsidR="00ED78EF" w:rsidRPr="007F0C57">
        <w:t xml:space="preserve"> </w:t>
      </w:r>
      <w:r w:rsidR="00311DC3">
        <w:t>broadcasting and communications;</w:t>
      </w:r>
      <w:r w:rsidR="00ED78EF" w:rsidRPr="007F0C57">
        <w:t xml:space="preserve"> and other industry assistance developments.</w:t>
      </w:r>
      <w:r w:rsidR="00C2502E" w:rsidRPr="00C2502E">
        <w:t xml:space="preserve"> </w:t>
      </w:r>
    </w:p>
    <w:p w:rsidR="00ED78EF" w:rsidRPr="00ED78EF" w:rsidRDefault="00036D9A" w:rsidP="007F0C57">
      <w:pPr>
        <w:pStyle w:val="Heading2"/>
      </w:pPr>
      <w:r>
        <w:t>5.</w:t>
      </w:r>
      <w:r w:rsidR="00F04E7E">
        <w:rPr>
          <w:noProof/>
        </w:rPr>
        <w:t>1</w:t>
      </w:r>
      <w:r w:rsidR="00ED78EF" w:rsidRPr="00ED78EF">
        <w:tab/>
        <w:t>Research, development and innovation</w:t>
      </w:r>
    </w:p>
    <w:p w:rsidR="00ED78EF" w:rsidRDefault="00ED78EF" w:rsidP="00C61814">
      <w:pPr>
        <w:pStyle w:val="BodyText"/>
      </w:pPr>
      <w:r w:rsidRPr="00ED78EF">
        <w:t xml:space="preserve">Support for business </w:t>
      </w:r>
      <w:r w:rsidR="00B676FC">
        <w:t>research and development (</w:t>
      </w:r>
      <w:r w:rsidRPr="00ED78EF">
        <w:t>R&amp;D</w:t>
      </w:r>
      <w:r w:rsidR="00B676FC">
        <w:t>)</w:t>
      </w:r>
      <w:r w:rsidRPr="00ED78EF">
        <w:t>, including</w:t>
      </w:r>
      <w:r w:rsidR="00B676FC">
        <w:t xml:space="preserve"> innovation</w:t>
      </w:r>
      <w:r w:rsidRPr="00ED78EF">
        <w:t xml:space="preserve"> and commercialisation, forms a significant component of the Australian Government’s budgetary assistance to industry. As measured by the Commission, it accounted for around </w:t>
      </w:r>
      <w:r w:rsidR="00341958">
        <w:t>38</w:t>
      </w:r>
      <w:r w:rsidRPr="00ED78EF">
        <w:t xml:space="preserve"> per cent of budgetary assistance to industry </w:t>
      </w:r>
      <w:r>
        <w:t>in 2012</w:t>
      </w:r>
      <w:r w:rsidRPr="00ED78EF">
        <w:noBreakHyphen/>
      </w:r>
      <w:r>
        <w:t>13</w:t>
      </w:r>
      <w:r w:rsidRPr="00ED78EF">
        <w:t xml:space="preserve"> (chapter </w:t>
      </w:r>
      <w:r w:rsidR="009E3369">
        <w:t>4</w:t>
      </w:r>
      <w:r w:rsidRPr="00ED78EF">
        <w:t xml:space="preserve">). </w:t>
      </w:r>
      <w:r w:rsidR="00AA0123" w:rsidRPr="00ED78EF">
        <w:t xml:space="preserve">This section reports on developments </w:t>
      </w:r>
      <w:r w:rsidR="00AA0123">
        <w:t>relating to research, development and innovation since May</w:t>
      </w:r>
      <w:r w:rsidR="00712A04">
        <w:t> </w:t>
      </w:r>
      <w:r w:rsidR="00AA0123">
        <w:t>2013</w:t>
      </w:r>
      <w:r w:rsidR="00143BC5">
        <w:t xml:space="preserve">. </w:t>
      </w:r>
    </w:p>
    <w:p w:rsidR="00B676FC" w:rsidRPr="00B676FC" w:rsidRDefault="00B676FC" w:rsidP="007D0859">
      <w:pPr>
        <w:pStyle w:val="Heading3"/>
      </w:pPr>
      <w:r w:rsidRPr="00B676FC">
        <w:t>R&amp;D tax incentive</w:t>
      </w:r>
    </w:p>
    <w:p w:rsidR="00B676FC" w:rsidRDefault="00B676FC" w:rsidP="00A21D44">
      <w:pPr>
        <w:pStyle w:val="BodyText"/>
      </w:pPr>
      <w:r w:rsidRPr="00B676FC">
        <w:t xml:space="preserve">In </w:t>
      </w:r>
      <w:r w:rsidR="00715206" w:rsidRPr="00B676FC">
        <w:t>February</w:t>
      </w:r>
      <w:r w:rsidR="00715206">
        <w:t> </w:t>
      </w:r>
      <w:r w:rsidRPr="00B676FC">
        <w:t xml:space="preserve">2013, the </w:t>
      </w:r>
      <w:r w:rsidR="005E104D">
        <w:t xml:space="preserve">then </w:t>
      </w:r>
      <w:r w:rsidRPr="00B676FC">
        <w:t>Australian Government announced that from 1</w:t>
      </w:r>
      <w:r w:rsidR="004349CD">
        <w:t> </w:t>
      </w:r>
      <w:r w:rsidRPr="00B676FC">
        <w:t>July</w:t>
      </w:r>
      <w:r w:rsidR="004349CD">
        <w:t xml:space="preserve"> </w:t>
      </w:r>
      <w:r w:rsidRPr="00B676FC">
        <w:t>2013</w:t>
      </w:r>
      <w:r w:rsidRPr="00B676FC">
        <w:rPr>
          <w:lang w:val="en"/>
        </w:rPr>
        <w:t xml:space="preserve"> very large businesses with aggregate Australian turnover of $20 billion or more will not </w:t>
      </w:r>
      <w:r>
        <w:rPr>
          <w:lang w:val="en"/>
        </w:rPr>
        <w:t>be eligible to receive the R&amp;D tax i</w:t>
      </w:r>
      <w:r w:rsidRPr="00B676FC">
        <w:rPr>
          <w:lang w:val="en"/>
        </w:rPr>
        <w:t xml:space="preserve">ncentive. This change was expected to </w:t>
      </w:r>
      <w:r w:rsidRPr="00B676FC">
        <w:rPr>
          <w:lang w:val="en"/>
        </w:rPr>
        <w:lastRenderedPageBreak/>
        <w:t>reduce</w:t>
      </w:r>
      <w:r w:rsidRPr="00B676FC">
        <w:t xml:space="preserve"> budgetary outlays by $1.1</w:t>
      </w:r>
      <w:r w:rsidR="004349CD">
        <w:t> </w:t>
      </w:r>
      <w:r w:rsidRPr="00B676FC">
        <w:t xml:space="preserve">billion over the forward estimates period (Combet and </w:t>
      </w:r>
      <w:r w:rsidR="00482011" w:rsidRPr="00B676FC">
        <w:t>Swan</w:t>
      </w:r>
      <w:r w:rsidR="00482011">
        <w:t> </w:t>
      </w:r>
      <w:r w:rsidRPr="00B676FC">
        <w:t>2013).</w:t>
      </w:r>
    </w:p>
    <w:p w:rsidR="00E676FF" w:rsidRPr="00B676FC" w:rsidRDefault="00273A7C" w:rsidP="00A21D44">
      <w:pPr>
        <w:pStyle w:val="BodyText"/>
      </w:pPr>
      <w:r>
        <w:t xml:space="preserve">The </w:t>
      </w:r>
      <w:r w:rsidR="00E676FF" w:rsidRPr="00E676FF">
        <w:t>measure was introduced into the House of Representatives on 14</w:t>
      </w:r>
      <w:r w:rsidR="00E676FF">
        <w:t> </w:t>
      </w:r>
      <w:r w:rsidR="00E676FF" w:rsidRPr="00E676FF">
        <w:t>November 2013 as the Tax Laws Amendment (Research an</w:t>
      </w:r>
      <w:r w:rsidR="004349CD">
        <w:t>d Development) Bill </w:t>
      </w:r>
      <w:r w:rsidR="00E676FF" w:rsidRPr="00E676FF">
        <w:t>2013.</w:t>
      </w:r>
      <w:r w:rsidR="004349CD">
        <w:t xml:space="preserve"> The Bill passed the House on 9 </w:t>
      </w:r>
      <w:r w:rsidR="00E676FF" w:rsidRPr="00E676FF">
        <w:t>December 2013 and is currently before the Senate</w:t>
      </w:r>
      <w:r>
        <w:t xml:space="preserve"> </w:t>
      </w:r>
      <w:r w:rsidR="004349CD">
        <w:t>(Hockey and Sinodinos </w:t>
      </w:r>
      <w:r w:rsidRPr="00E676FF">
        <w:t>2013)</w:t>
      </w:r>
      <w:r w:rsidR="00E676FF" w:rsidRPr="00E676FF">
        <w:t>.</w:t>
      </w:r>
    </w:p>
    <w:p w:rsidR="00210800" w:rsidRDefault="00210800" w:rsidP="00210800">
      <w:pPr>
        <w:pStyle w:val="Heading3"/>
      </w:pPr>
      <w:r w:rsidRPr="001D013C">
        <w:t>Industry Innovation Precincts</w:t>
      </w:r>
      <w:r w:rsidR="00176120">
        <w:t xml:space="preserve"> Programme</w:t>
      </w:r>
    </w:p>
    <w:p w:rsidR="00B45843" w:rsidRDefault="00715206" w:rsidP="00523992">
      <w:pPr>
        <w:pStyle w:val="BodyText"/>
      </w:pPr>
      <w:r>
        <w:t xml:space="preserve">In </w:t>
      </w:r>
      <w:r w:rsidR="0057101C">
        <w:t>February </w:t>
      </w:r>
      <w:r w:rsidR="00F74B35">
        <w:t>2013</w:t>
      </w:r>
      <w:r>
        <w:t>,</w:t>
      </w:r>
      <w:r w:rsidR="00F22C79" w:rsidRPr="00F22C79">
        <w:t xml:space="preserve"> the </w:t>
      </w:r>
      <w:r w:rsidR="005E104D">
        <w:t xml:space="preserve">then </w:t>
      </w:r>
      <w:r w:rsidR="00F22C79" w:rsidRPr="00F22C79">
        <w:t xml:space="preserve">Australian Government </w:t>
      </w:r>
      <w:r w:rsidR="009042BA">
        <w:t>released an</w:t>
      </w:r>
      <w:r w:rsidR="00F22C79" w:rsidRPr="00F22C79">
        <w:t xml:space="preserve"> industry and innovation statement </w:t>
      </w:r>
      <w:r w:rsidR="00F22C79">
        <w:t xml:space="preserve">— </w:t>
      </w:r>
      <w:r w:rsidR="00F22C79" w:rsidRPr="00F74B35">
        <w:rPr>
          <w:i/>
        </w:rPr>
        <w:t>A Plan for Australian Jobs</w:t>
      </w:r>
      <w:r w:rsidR="00F22C79">
        <w:t xml:space="preserve"> — </w:t>
      </w:r>
      <w:r w:rsidR="009042BA">
        <w:t xml:space="preserve">which </w:t>
      </w:r>
      <w:r w:rsidR="00F22C79">
        <w:t>consisted of three broad streams</w:t>
      </w:r>
      <w:r w:rsidRPr="00F22C79">
        <w:t xml:space="preserve"> </w:t>
      </w:r>
      <w:r>
        <w:t>(</w:t>
      </w:r>
      <w:r w:rsidR="00E87C93">
        <w:t>Australian Government</w:t>
      </w:r>
      <w:r w:rsidR="0057101C">
        <w:t> </w:t>
      </w:r>
      <w:r w:rsidR="00E87C93">
        <w:t>2013</w:t>
      </w:r>
      <w:r w:rsidR="002505BE">
        <w:t>a</w:t>
      </w:r>
      <w:r>
        <w:t>)</w:t>
      </w:r>
      <w:r w:rsidR="00F22C79" w:rsidRPr="00F22C79">
        <w:t>.</w:t>
      </w:r>
      <w:r w:rsidR="00813206">
        <w:t xml:space="preserve"> The second</w:t>
      </w:r>
      <w:r w:rsidR="00F22C79">
        <w:t xml:space="preserve"> of these streams was </w:t>
      </w:r>
      <w:r w:rsidR="00813206">
        <w:t>‘</w:t>
      </w:r>
      <w:r w:rsidR="00F22C79">
        <w:t>s</w:t>
      </w:r>
      <w:r w:rsidR="00F22C79" w:rsidRPr="00F22C79">
        <w:t>upport</w:t>
      </w:r>
      <w:r w:rsidR="00813206">
        <w:t>ing</w:t>
      </w:r>
      <w:r w:rsidR="00F22C79">
        <w:t xml:space="preserve"> Australian industry </w:t>
      </w:r>
      <w:r w:rsidR="00813206">
        <w:t>to</w:t>
      </w:r>
      <w:r w:rsidR="00F22C79" w:rsidRPr="00F22C79">
        <w:t xml:space="preserve"> win new business abroad</w:t>
      </w:r>
      <w:r w:rsidR="00813206">
        <w:t>’</w:t>
      </w:r>
      <w:r w:rsidR="008D740C">
        <w:t>,</w:t>
      </w:r>
      <w:r w:rsidR="005F5059">
        <w:t xml:space="preserve"> which included provision of </w:t>
      </w:r>
      <w:r w:rsidR="00F06BA6">
        <w:t xml:space="preserve">$238.4 million </w:t>
      </w:r>
      <w:r w:rsidR="004349CD">
        <w:t>between 2012</w:t>
      </w:r>
      <w:r w:rsidR="004349CD">
        <w:noBreakHyphen/>
        <w:t>13 and 2016</w:t>
      </w:r>
      <w:r w:rsidR="004349CD">
        <w:noBreakHyphen/>
      </w:r>
      <w:r w:rsidR="00F06BA6">
        <w:t>17</w:t>
      </w:r>
      <w:r w:rsidR="005F5059">
        <w:t xml:space="preserve"> to establish</w:t>
      </w:r>
      <w:r w:rsidR="00F06BA6">
        <w:t>, administer and operate</w:t>
      </w:r>
      <w:r w:rsidR="005F5059">
        <w:t xml:space="preserve"> up to </w:t>
      </w:r>
      <w:r w:rsidR="008D740C">
        <w:t>10</w:t>
      </w:r>
      <w:r w:rsidR="005F5059" w:rsidRPr="00B45843">
        <w:t xml:space="preserve"> Industry Innovation Precincts.</w:t>
      </w:r>
      <w:r w:rsidR="0057101C">
        <w:t xml:space="preserve"> </w:t>
      </w:r>
    </w:p>
    <w:p w:rsidR="009042BA" w:rsidRDefault="00F06BA6" w:rsidP="00523992">
      <w:pPr>
        <w:pStyle w:val="BodyText"/>
      </w:pPr>
      <w:r>
        <w:t>O</w:t>
      </w:r>
      <w:r w:rsidR="0036193C">
        <w:t>nly</w:t>
      </w:r>
      <w:r w:rsidR="009042BA">
        <w:t xml:space="preserve"> </w:t>
      </w:r>
      <w:r w:rsidR="00017BA1">
        <w:t>two</w:t>
      </w:r>
      <w:r w:rsidR="009042BA">
        <w:t xml:space="preserve"> </w:t>
      </w:r>
      <w:r>
        <w:t xml:space="preserve">Industry </w:t>
      </w:r>
      <w:r w:rsidR="009042BA">
        <w:t xml:space="preserve">Innovation </w:t>
      </w:r>
      <w:r w:rsidR="00017BA1">
        <w:t>Precincts</w:t>
      </w:r>
      <w:r w:rsidR="009042BA">
        <w:t xml:space="preserve"> </w:t>
      </w:r>
      <w:r>
        <w:t>have been</w:t>
      </w:r>
      <w:r w:rsidR="00017BA1">
        <w:t xml:space="preserve"> established:</w:t>
      </w:r>
    </w:p>
    <w:p w:rsidR="00D448CC" w:rsidRDefault="00176120" w:rsidP="00D448CC">
      <w:pPr>
        <w:pStyle w:val="ListBullet"/>
      </w:pPr>
      <w:r>
        <w:t>one in the manufacturing sector</w:t>
      </w:r>
      <w:r w:rsidR="00017BA1">
        <w:t xml:space="preserve"> — operating as </w:t>
      </w:r>
      <w:r>
        <w:t>META (</w:t>
      </w:r>
      <w:r w:rsidR="000F016F">
        <w:t>Manufacturing Excellence Taskforce Australia</w:t>
      </w:r>
      <w:r>
        <w:t>)</w:t>
      </w:r>
      <w:r w:rsidR="00D448CC">
        <w:t>; and</w:t>
      </w:r>
    </w:p>
    <w:p w:rsidR="00017BA1" w:rsidRDefault="00176120" w:rsidP="00017BA1">
      <w:pPr>
        <w:pStyle w:val="ListBullet"/>
      </w:pPr>
      <w:r>
        <w:t>one in the food sector</w:t>
      </w:r>
      <w:r w:rsidR="00017BA1">
        <w:t xml:space="preserve"> — operating as F</w:t>
      </w:r>
      <w:r w:rsidR="0077319A">
        <w:t xml:space="preserve">ood Innovation Australia Ltd (Department of </w:t>
      </w:r>
      <w:r w:rsidR="00482011">
        <w:t>Industry </w:t>
      </w:r>
      <w:r w:rsidR="0077319A">
        <w:t>2014</w:t>
      </w:r>
      <w:r w:rsidR="00035396">
        <w:t>b</w:t>
      </w:r>
      <w:r w:rsidR="0077319A">
        <w:t>).</w:t>
      </w:r>
    </w:p>
    <w:p w:rsidR="001D013C" w:rsidRDefault="00301CCE" w:rsidP="001D013C">
      <w:pPr>
        <w:pStyle w:val="BodyText"/>
      </w:pPr>
      <w:r>
        <w:t>T</w:t>
      </w:r>
      <w:r w:rsidR="001D013C" w:rsidRPr="001D013C">
        <w:t xml:space="preserve">he </w:t>
      </w:r>
      <w:r w:rsidR="00715206">
        <w:t>Australian G</w:t>
      </w:r>
      <w:r w:rsidR="001D013C" w:rsidRPr="001D013C">
        <w:t>overnment</w:t>
      </w:r>
      <w:r w:rsidR="0036193C">
        <w:t xml:space="preserve"> </w:t>
      </w:r>
      <w:r>
        <w:t xml:space="preserve">has announced that </w:t>
      </w:r>
      <w:r w:rsidR="0036193C">
        <w:t xml:space="preserve">the </w:t>
      </w:r>
      <w:r w:rsidR="008632A7">
        <w:t xml:space="preserve">Industry </w:t>
      </w:r>
      <w:r>
        <w:t>Innovation P</w:t>
      </w:r>
      <w:r w:rsidR="00F06BA6">
        <w:t xml:space="preserve">recincts </w:t>
      </w:r>
      <w:r>
        <w:t>P</w:t>
      </w:r>
      <w:r w:rsidR="0036193C">
        <w:t>ro</w:t>
      </w:r>
      <w:r w:rsidR="003D1D7A">
        <w:t>gram</w:t>
      </w:r>
      <w:r>
        <w:t>me</w:t>
      </w:r>
      <w:r w:rsidR="003D1D7A">
        <w:t xml:space="preserve"> </w:t>
      </w:r>
      <w:r>
        <w:t>will close on</w:t>
      </w:r>
      <w:r w:rsidR="004349CD">
        <w:t xml:space="preserve"> 31 </w:t>
      </w:r>
      <w:r w:rsidR="003D1D7A">
        <w:t>December 2014 (</w:t>
      </w:r>
      <w:r w:rsidR="004349CD">
        <w:t>Department of Industry </w:t>
      </w:r>
      <w:r>
        <w:t>2014</w:t>
      </w:r>
      <w:r w:rsidR="00035396">
        <w:t>b</w:t>
      </w:r>
      <w:r w:rsidR="0036193C">
        <w:t>)</w:t>
      </w:r>
      <w:r w:rsidR="001D013C" w:rsidRPr="001D013C">
        <w:t>.</w:t>
      </w:r>
    </w:p>
    <w:p w:rsidR="008153F0" w:rsidRDefault="008153F0" w:rsidP="00210800">
      <w:pPr>
        <w:pStyle w:val="Heading3"/>
      </w:pPr>
      <w:r w:rsidRPr="00FF2908">
        <w:t>National Collaborative Research Infrastructure Strategy</w:t>
      </w:r>
    </w:p>
    <w:p w:rsidR="005413BE" w:rsidRDefault="00B51A71" w:rsidP="00946AC0">
      <w:pPr>
        <w:pStyle w:val="BodyText"/>
      </w:pPr>
      <w:r>
        <w:t xml:space="preserve">As part of the </w:t>
      </w:r>
      <w:r w:rsidR="00F74B35">
        <w:t>2013</w:t>
      </w:r>
      <w:r w:rsidR="004349CD">
        <w:noBreakHyphen/>
      </w:r>
      <w:r w:rsidR="00F74B35">
        <w:t xml:space="preserve">14 </w:t>
      </w:r>
      <w:r>
        <w:t xml:space="preserve">federal budget, the </w:t>
      </w:r>
      <w:r w:rsidR="00C33516">
        <w:t>then</w:t>
      </w:r>
      <w:r w:rsidR="005E104D">
        <w:t xml:space="preserve"> </w:t>
      </w:r>
      <w:r>
        <w:t xml:space="preserve">Australian Government announced that </w:t>
      </w:r>
      <w:r w:rsidRPr="00BC0C13">
        <w:t>the</w:t>
      </w:r>
      <w:r w:rsidR="00946AC0" w:rsidRPr="00BC0C13">
        <w:t xml:space="preserve"> National Collaborative Research Infrastructure Strategy</w:t>
      </w:r>
      <w:r w:rsidR="00946AC0">
        <w:t xml:space="preserve"> </w:t>
      </w:r>
      <w:r w:rsidR="005413BE">
        <w:t xml:space="preserve">(NCRIS) </w:t>
      </w:r>
      <w:r>
        <w:t>would receive</w:t>
      </w:r>
      <w:r w:rsidR="00946AC0">
        <w:t xml:space="preserve"> </w:t>
      </w:r>
      <w:r w:rsidR="005413BE">
        <w:t xml:space="preserve">an additional </w:t>
      </w:r>
      <w:r w:rsidR="00946AC0">
        <w:t>$185</w:t>
      </w:r>
      <w:r w:rsidR="00504B69">
        <w:t>.</w:t>
      </w:r>
      <w:r w:rsidR="00715206">
        <w:t>9 </w:t>
      </w:r>
      <w:r w:rsidR="00946AC0">
        <w:t xml:space="preserve">million </w:t>
      </w:r>
      <w:r>
        <w:t xml:space="preserve">in funding </w:t>
      </w:r>
      <w:r w:rsidR="00946AC0">
        <w:t>over two years from 1</w:t>
      </w:r>
      <w:r w:rsidR="005413BE">
        <w:t> </w:t>
      </w:r>
      <w:r w:rsidR="00715206">
        <w:t>July </w:t>
      </w:r>
      <w:r w:rsidR="00946AC0">
        <w:t>2013</w:t>
      </w:r>
      <w:r w:rsidR="00E56D83">
        <w:t xml:space="preserve"> (Emerson </w:t>
      </w:r>
      <w:r w:rsidR="00B524A7">
        <w:t xml:space="preserve">and </w:t>
      </w:r>
      <w:r w:rsidR="00715206">
        <w:t>Farrell </w:t>
      </w:r>
      <w:r w:rsidR="00E56D83">
        <w:t>2013)</w:t>
      </w:r>
      <w:r w:rsidR="00946AC0">
        <w:t>.</w:t>
      </w:r>
      <w:r>
        <w:t xml:space="preserve"> </w:t>
      </w:r>
    </w:p>
    <w:p w:rsidR="00946AC0" w:rsidRDefault="005413BE" w:rsidP="00946AC0">
      <w:pPr>
        <w:pStyle w:val="BodyText"/>
      </w:pPr>
      <w:r>
        <w:rPr>
          <w:lang w:val="en"/>
        </w:rPr>
        <w:t xml:space="preserve">The </w:t>
      </w:r>
      <w:r w:rsidRPr="005413BE">
        <w:rPr>
          <w:lang w:val="en"/>
        </w:rPr>
        <w:t xml:space="preserve">NCRIS was </w:t>
      </w:r>
      <w:r w:rsidR="00B43484">
        <w:rPr>
          <w:lang w:val="en"/>
        </w:rPr>
        <w:t xml:space="preserve">initially </w:t>
      </w:r>
      <w:r w:rsidRPr="005413BE">
        <w:rPr>
          <w:lang w:val="en"/>
        </w:rPr>
        <w:t>a seven year strategy from 2004</w:t>
      </w:r>
      <w:r w:rsidR="004349CD">
        <w:rPr>
          <w:lang w:val="en"/>
        </w:rPr>
        <w:noBreakHyphen/>
      </w:r>
      <w:r w:rsidRPr="005413BE">
        <w:rPr>
          <w:lang w:val="en"/>
        </w:rPr>
        <w:t>05 to 2010</w:t>
      </w:r>
      <w:r w:rsidR="004349CD">
        <w:rPr>
          <w:lang w:val="en"/>
        </w:rPr>
        <w:noBreakHyphen/>
      </w:r>
      <w:r w:rsidRPr="005413BE">
        <w:rPr>
          <w:lang w:val="en"/>
        </w:rPr>
        <w:t>11</w:t>
      </w:r>
      <w:r>
        <w:rPr>
          <w:lang w:val="en"/>
        </w:rPr>
        <w:t>. The addi</w:t>
      </w:r>
      <w:r w:rsidR="005B602F">
        <w:rPr>
          <w:lang w:val="en"/>
        </w:rPr>
        <w:t>tional two years of funding is intended to</w:t>
      </w:r>
      <w:r w:rsidR="00B51A71">
        <w:t xml:space="preserve"> </w:t>
      </w:r>
      <w:r w:rsidR="00E56D83">
        <w:t>ensure that national collaborative research infrastructure facilities continue to functio</w:t>
      </w:r>
      <w:r w:rsidR="008C61B2">
        <w:t>n while review and evaluation are</w:t>
      </w:r>
      <w:r w:rsidR="00E56D83">
        <w:t xml:space="preserve"> undertaken. Th</w:t>
      </w:r>
      <w:r w:rsidR="006E3A26">
        <w:t>e additional funding will support the</w:t>
      </w:r>
      <w:r w:rsidR="00E56D83">
        <w:t xml:space="preserve"> research infrastructure funded under the initial NCRIS program and the Super Science Initiative</w:t>
      </w:r>
      <w:r w:rsidR="00F74B35">
        <w:t>’</w:t>
      </w:r>
      <w:r w:rsidR="00E56D83">
        <w:t xml:space="preserve"> (</w:t>
      </w:r>
      <w:r w:rsidR="00715206">
        <w:t>DIICCSRTE </w:t>
      </w:r>
      <w:r w:rsidR="00E56D83">
        <w:t>2013)</w:t>
      </w:r>
      <w:r w:rsidR="00F74B35">
        <w:t>.</w:t>
      </w:r>
    </w:p>
    <w:p w:rsidR="00ED78EF" w:rsidRPr="00ED78EF" w:rsidRDefault="00036D9A" w:rsidP="007D0859">
      <w:pPr>
        <w:pStyle w:val="Heading2"/>
      </w:pPr>
      <w:r>
        <w:lastRenderedPageBreak/>
        <w:t>5.</w:t>
      </w:r>
      <w:r w:rsidR="00F04E7E">
        <w:rPr>
          <w:noProof/>
        </w:rPr>
        <w:t>2</w:t>
      </w:r>
      <w:r w:rsidR="00ED78EF" w:rsidRPr="00ED78EF">
        <w:tab/>
        <w:t>Primary industries</w:t>
      </w:r>
    </w:p>
    <w:p w:rsidR="00ED78EF" w:rsidRPr="00ED78EF" w:rsidRDefault="00ED78EF" w:rsidP="00C61814">
      <w:pPr>
        <w:pStyle w:val="BodyText"/>
      </w:pPr>
      <w:r>
        <w:t>In 2012</w:t>
      </w:r>
      <w:r w:rsidR="004349CD">
        <w:noBreakHyphen/>
      </w:r>
      <w:r>
        <w:t>13</w:t>
      </w:r>
      <w:r w:rsidRPr="00ED78EF">
        <w:t>, Australian Government support for the primary industries is estimated to be</w:t>
      </w:r>
      <w:r>
        <w:t xml:space="preserve"> around </w:t>
      </w:r>
      <w:r w:rsidR="00341958">
        <w:t>1</w:t>
      </w:r>
      <w:r w:rsidR="00143BC5">
        <w:t>4</w:t>
      </w:r>
      <w:r w:rsidRPr="00ED78EF">
        <w:t xml:space="preserve"> per cent of </w:t>
      </w:r>
      <w:r w:rsidR="008D740C">
        <w:t xml:space="preserve">federal </w:t>
      </w:r>
      <w:r w:rsidRPr="00ED78EF">
        <w:t>budgetary support to industry (chapter </w:t>
      </w:r>
      <w:r w:rsidR="009E3369">
        <w:t>4</w:t>
      </w:r>
      <w:r w:rsidRPr="00ED78EF">
        <w:t xml:space="preserve">). This section reports on developments directly affecting agriculture and fishing, and the export of primary products </w:t>
      </w:r>
      <w:r w:rsidR="00AA0123">
        <w:t>since May</w:t>
      </w:r>
      <w:r w:rsidR="00712A04">
        <w:t> </w:t>
      </w:r>
      <w:r w:rsidR="00AA0123">
        <w:t>2013</w:t>
      </w:r>
      <w:r w:rsidRPr="00ED78EF">
        <w:t>.</w:t>
      </w:r>
    </w:p>
    <w:p w:rsidR="008153F0" w:rsidRDefault="00330608" w:rsidP="00210800">
      <w:pPr>
        <w:pStyle w:val="Heading3"/>
      </w:pPr>
      <w:bookmarkStart w:id="4" w:name="OLE_LINK1"/>
      <w:r>
        <w:t>Tasmanian Forest</w:t>
      </w:r>
      <w:r w:rsidR="00434E0D">
        <w:t>s</w:t>
      </w:r>
      <w:r w:rsidR="00093F21">
        <w:t xml:space="preserve"> </w:t>
      </w:r>
      <w:r w:rsidR="00090B54">
        <w:t xml:space="preserve">Intergovernmental </w:t>
      </w:r>
      <w:r w:rsidR="00093F21">
        <w:t xml:space="preserve">Agreement </w:t>
      </w:r>
      <w:r w:rsidR="00090B54">
        <w:t>2013</w:t>
      </w:r>
    </w:p>
    <w:p w:rsidR="00090B54" w:rsidRDefault="00090B54" w:rsidP="00090B54">
      <w:pPr>
        <w:pStyle w:val="BodyText"/>
      </w:pPr>
      <w:r>
        <w:t>In May 2013, the Tasmanian and Australian Governments signed a new Tasmanian Forests Intergovernmental Agreement (TFIGA </w:t>
      </w:r>
      <w:r w:rsidR="009E3369">
        <w:t xml:space="preserve">2013). </w:t>
      </w:r>
      <w:r>
        <w:t>TFIGA 2013 builds on but does not replace the Tasmanian Forests Intergovernmental Agreement 2011</w:t>
      </w:r>
      <w:r w:rsidR="009E3369">
        <w:t xml:space="preserve"> </w:t>
      </w:r>
      <w:r>
        <w:t>(TFIGA 2011)</w:t>
      </w:r>
      <w:r w:rsidR="009E3369">
        <w:t>. It sets out the measures</w:t>
      </w:r>
      <w:r>
        <w:t xml:space="preserve"> to be supported and the funding responsibilities of the two </w:t>
      </w:r>
      <w:r w:rsidR="008D740C">
        <w:t>g</w:t>
      </w:r>
      <w:r>
        <w:t xml:space="preserve">overnments. It updates the funding commitments that both </w:t>
      </w:r>
      <w:r w:rsidR="00FB2EA2">
        <w:t>g</w:t>
      </w:r>
      <w:r w:rsidR="009E3369">
        <w:t xml:space="preserve">overnments have made since </w:t>
      </w:r>
      <w:r w:rsidR="008D740C">
        <w:t xml:space="preserve">the </w:t>
      </w:r>
      <w:r>
        <w:t>TFIGA</w:t>
      </w:r>
      <w:r w:rsidR="00712A04">
        <w:t> </w:t>
      </w:r>
      <w:r>
        <w:t>2011 was signed.</w:t>
      </w:r>
    </w:p>
    <w:p w:rsidR="00090B54" w:rsidRDefault="009E3369" w:rsidP="00090B54">
      <w:pPr>
        <w:pStyle w:val="BodyText"/>
      </w:pPr>
      <w:r>
        <w:t>Key funding elements under</w:t>
      </w:r>
      <w:r w:rsidR="00090B54">
        <w:t xml:space="preserve"> </w:t>
      </w:r>
      <w:r w:rsidR="008D740C">
        <w:t xml:space="preserve">the </w:t>
      </w:r>
      <w:r w:rsidR="00090B54">
        <w:t>TFIGA 2013 include:</w:t>
      </w:r>
    </w:p>
    <w:p w:rsidR="00090B54" w:rsidRPr="00090B54" w:rsidRDefault="00090B54" w:rsidP="00090B54">
      <w:pPr>
        <w:pStyle w:val="ListBullet"/>
      </w:pPr>
      <w:r w:rsidRPr="00090B54">
        <w:t>$25</w:t>
      </w:r>
      <w:r>
        <w:t> </w:t>
      </w:r>
      <w:r w:rsidRPr="00090B54">
        <w:t>million toward sawmiller exit and structural adjustment packages;</w:t>
      </w:r>
    </w:p>
    <w:p w:rsidR="00090B54" w:rsidRPr="00090B54" w:rsidRDefault="00090B54" w:rsidP="00090B54">
      <w:pPr>
        <w:pStyle w:val="ListBullet"/>
      </w:pPr>
      <w:r w:rsidRPr="00090B54">
        <w:t>$20</w:t>
      </w:r>
      <w:r>
        <w:t> </w:t>
      </w:r>
      <w:r w:rsidRPr="00090B54">
        <w:t>million toward support for affected workers and contractors;</w:t>
      </w:r>
    </w:p>
    <w:p w:rsidR="00090B54" w:rsidRPr="00090B54" w:rsidRDefault="00090B54" w:rsidP="00090B54">
      <w:pPr>
        <w:pStyle w:val="ListBullet"/>
      </w:pPr>
      <w:r w:rsidRPr="00090B54">
        <w:t>$</w:t>
      </w:r>
      <w:r w:rsidR="00FA4108">
        <w:t>100</w:t>
      </w:r>
      <w:r>
        <w:t> </w:t>
      </w:r>
      <w:r w:rsidRPr="00090B54">
        <w:t>million for an Economic Diversification Package (</w:t>
      </w:r>
      <w:r>
        <w:t>this funding is</w:t>
      </w:r>
      <w:r w:rsidR="0066333D">
        <w:t xml:space="preserve"> now to be provided</w:t>
      </w:r>
      <w:r w:rsidR="004B36C6">
        <w:t xml:space="preserve"> in the form of</w:t>
      </w:r>
      <w:r>
        <w:t xml:space="preserve"> the Tasmanian Jobs and Growth Plan</w:t>
      </w:r>
      <w:r w:rsidR="004B36C6">
        <w:t xml:space="preserve"> (section </w:t>
      </w:r>
      <w:r>
        <w:t>5.5</w:t>
      </w:r>
      <w:r w:rsidRPr="00090B54">
        <w:t>)</w:t>
      </w:r>
      <w:r w:rsidR="00EA4AFC">
        <w:t>)</w:t>
      </w:r>
      <w:r w:rsidRPr="00090B54">
        <w:t>;</w:t>
      </w:r>
    </w:p>
    <w:p w:rsidR="00090B54" w:rsidRDefault="00090B54" w:rsidP="00090B54">
      <w:pPr>
        <w:pStyle w:val="ListBullet"/>
      </w:pPr>
      <w:r w:rsidRPr="0066333D">
        <w:t>$</w:t>
      </w:r>
      <w:r w:rsidR="00FA4108">
        <w:t>15.8</w:t>
      </w:r>
      <w:r>
        <w:t> </w:t>
      </w:r>
      <w:r w:rsidRPr="00090B54">
        <w:t>million toward Plantation Manufacturing Innovation and Investment;</w:t>
      </w:r>
    </w:p>
    <w:p w:rsidR="00FA4108" w:rsidRPr="001501F3" w:rsidRDefault="00FA4108" w:rsidP="00FA4108">
      <w:pPr>
        <w:pStyle w:val="ListBullet"/>
      </w:pPr>
      <w:r w:rsidRPr="001501F3">
        <w:t>$13.5 million toward the investigation and implementation of sustainable solutions for forest residues;</w:t>
      </w:r>
    </w:p>
    <w:p w:rsidR="00090B54" w:rsidRPr="00090B54" w:rsidRDefault="00090B54" w:rsidP="00090B54">
      <w:pPr>
        <w:pStyle w:val="ListBullet"/>
      </w:pPr>
      <w:r w:rsidRPr="00090B54">
        <w:t>$7</w:t>
      </w:r>
      <w:r>
        <w:t> </w:t>
      </w:r>
      <w:r w:rsidRPr="00090B54">
        <w:t>mill</w:t>
      </w:r>
      <w:r w:rsidR="004B36C6">
        <w:t>ion per annum, increasing to $9 </w:t>
      </w:r>
      <w:r w:rsidRPr="00090B54">
        <w:t>million per annum, indexed, for reserve management;</w:t>
      </w:r>
      <w:r w:rsidR="00FA4108">
        <w:t xml:space="preserve"> and</w:t>
      </w:r>
    </w:p>
    <w:p w:rsidR="00090B54" w:rsidRPr="0066333D" w:rsidRDefault="009E3369" w:rsidP="00090B54">
      <w:pPr>
        <w:pStyle w:val="ListBullet"/>
      </w:pPr>
      <w:r>
        <w:t>u</w:t>
      </w:r>
      <w:r w:rsidR="00090B54" w:rsidRPr="00090B54">
        <w:t>p to $15</w:t>
      </w:r>
      <w:r w:rsidR="00090B54">
        <w:t> </w:t>
      </w:r>
      <w:r w:rsidR="00090B54" w:rsidRPr="00090B54">
        <w:t>million to assist Forestry Tasmania with transitioning its oper</w:t>
      </w:r>
      <w:r w:rsidR="004B36C6">
        <w:t>ations</w:t>
      </w:r>
      <w:r w:rsidR="000D6750">
        <w:t xml:space="preserve"> (</w:t>
      </w:r>
      <w:r w:rsidR="00FA4108">
        <w:t xml:space="preserve">Department of </w:t>
      </w:r>
      <w:r w:rsidR="00EF76D4">
        <w:t xml:space="preserve">the </w:t>
      </w:r>
      <w:r w:rsidR="00FA4108">
        <w:t>Environment, pers. comm., 30 May 2014</w:t>
      </w:r>
      <w:r w:rsidR="008D740C">
        <w:t>; Tasmanian Government 2013</w:t>
      </w:r>
      <w:r w:rsidR="000D6750">
        <w:t>)</w:t>
      </w:r>
      <w:r w:rsidR="00090B54" w:rsidRPr="0066333D">
        <w:t>.</w:t>
      </w:r>
    </w:p>
    <w:p w:rsidR="00CA4ED8" w:rsidRDefault="00CA4ED8" w:rsidP="004D19EF">
      <w:pPr>
        <w:pStyle w:val="Heading3"/>
        <w:rPr>
          <w:lang w:val="en"/>
        </w:rPr>
      </w:pPr>
      <w:r>
        <w:rPr>
          <w:lang w:val="en"/>
        </w:rPr>
        <w:t>Forest Stewardship Council</w:t>
      </w:r>
    </w:p>
    <w:p w:rsidR="00CA4ED8" w:rsidRDefault="008B6575" w:rsidP="009E16B7">
      <w:pPr>
        <w:pStyle w:val="BodyText"/>
      </w:pPr>
      <w:r>
        <w:rPr>
          <w:lang w:val="en"/>
        </w:rPr>
        <w:t>In May</w:t>
      </w:r>
      <w:r w:rsidR="004349CD">
        <w:rPr>
          <w:lang w:val="en"/>
        </w:rPr>
        <w:t> </w:t>
      </w:r>
      <w:r w:rsidRPr="008B6575">
        <w:rPr>
          <w:lang w:val="en"/>
        </w:rPr>
        <w:t>2013, the then Australian Government committed to provid</w:t>
      </w:r>
      <w:r w:rsidR="00117F3D">
        <w:rPr>
          <w:lang w:val="en"/>
        </w:rPr>
        <w:t>ing</w:t>
      </w:r>
      <w:r w:rsidR="004349CD">
        <w:rPr>
          <w:lang w:val="en"/>
        </w:rPr>
        <w:t xml:space="preserve"> $500 000 in 2013</w:t>
      </w:r>
      <w:r w:rsidR="004349CD">
        <w:rPr>
          <w:lang w:val="en"/>
        </w:rPr>
        <w:noBreakHyphen/>
      </w:r>
      <w:r>
        <w:rPr>
          <w:lang w:val="en"/>
        </w:rPr>
        <w:t>14 to assist</w:t>
      </w:r>
      <w:r w:rsidRPr="008B6575">
        <w:rPr>
          <w:lang w:val="en"/>
        </w:rPr>
        <w:t xml:space="preserve"> </w:t>
      </w:r>
      <w:r>
        <w:rPr>
          <w:lang w:val="en"/>
        </w:rPr>
        <w:t>Forest Stewardship Council</w:t>
      </w:r>
      <w:r w:rsidRPr="008B6575">
        <w:rPr>
          <w:lang w:val="en"/>
        </w:rPr>
        <w:t xml:space="preserve"> Australia with the first stages of its development of a national forest certification s</w:t>
      </w:r>
      <w:r w:rsidR="004349CD">
        <w:rPr>
          <w:lang w:val="en"/>
        </w:rPr>
        <w:t>tandard (Sidebottom </w:t>
      </w:r>
      <w:r w:rsidRPr="008B6575">
        <w:rPr>
          <w:lang w:val="en"/>
        </w:rPr>
        <w:t>2013</w:t>
      </w:r>
      <w:r>
        <w:rPr>
          <w:lang w:val="en"/>
        </w:rPr>
        <w:t>). The standard is intended to provide consumers with in</w:t>
      </w:r>
      <w:r w:rsidR="00117F3D">
        <w:rPr>
          <w:lang w:val="en"/>
        </w:rPr>
        <w:t>dependent assurance that the wood products they purchase are</w:t>
      </w:r>
      <w:r>
        <w:rPr>
          <w:lang w:val="en"/>
        </w:rPr>
        <w:t xml:space="preserve"> sourced from sustainably managed forests.</w:t>
      </w:r>
    </w:p>
    <w:p w:rsidR="00393A5C" w:rsidRDefault="00D751BB" w:rsidP="00210800">
      <w:pPr>
        <w:pStyle w:val="Heading3"/>
      </w:pPr>
      <w:r>
        <w:lastRenderedPageBreak/>
        <w:t>Drought</w:t>
      </w:r>
      <w:r w:rsidR="00DE0829">
        <w:t xml:space="preserve"> support</w:t>
      </w:r>
    </w:p>
    <w:p w:rsidR="00D751BB" w:rsidRDefault="00584FFC" w:rsidP="00210800">
      <w:pPr>
        <w:pStyle w:val="Heading4"/>
      </w:pPr>
      <w:r>
        <w:t>National d</w:t>
      </w:r>
      <w:r w:rsidR="00D751BB">
        <w:t xml:space="preserve">rought </w:t>
      </w:r>
      <w:r>
        <w:t xml:space="preserve">program </w:t>
      </w:r>
      <w:r w:rsidR="00D751BB">
        <w:t>reform</w:t>
      </w:r>
    </w:p>
    <w:p w:rsidR="00284F5D" w:rsidRDefault="00491E33" w:rsidP="000F7906">
      <w:pPr>
        <w:pStyle w:val="BodyText"/>
      </w:pPr>
      <w:r>
        <w:t>In</w:t>
      </w:r>
      <w:r w:rsidR="000F7906">
        <w:t xml:space="preserve"> </w:t>
      </w:r>
      <w:r w:rsidR="00715206">
        <w:t>May </w:t>
      </w:r>
      <w:r w:rsidR="000F7906">
        <w:t>2013</w:t>
      </w:r>
      <w:r>
        <w:t xml:space="preserve">, the </w:t>
      </w:r>
      <w:r w:rsidR="00675B29">
        <w:t>Australian</w:t>
      </w:r>
      <w:r>
        <w:t xml:space="preserve"> and </w:t>
      </w:r>
      <w:r w:rsidR="009E3369">
        <w:t>S</w:t>
      </w:r>
      <w:r>
        <w:t>tate</w:t>
      </w:r>
      <w:r w:rsidR="000F7906">
        <w:t xml:space="preserve"> </w:t>
      </w:r>
      <w:r>
        <w:t xml:space="preserve">and </w:t>
      </w:r>
      <w:r w:rsidR="009E3369">
        <w:t>T</w:t>
      </w:r>
      <w:r>
        <w:t>erritory governments</w:t>
      </w:r>
      <w:r w:rsidR="00881505">
        <w:t xml:space="preserve"> </w:t>
      </w:r>
      <w:r w:rsidR="000F7906">
        <w:t>sign</w:t>
      </w:r>
      <w:r w:rsidR="00881505">
        <w:t>ed</w:t>
      </w:r>
      <w:r w:rsidR="000F7906">
        <w:t xml:space="preserve"> </w:t>
      </w:r>
      <w:r w:rsidR="007E25BE">
        <w:t>an</w:t>
      </w:r>
      <w:r w:rsidR="000F7906">
        <w:t xml:space="preserve"> </w:t>
      </w:r>
      <w:r w:rsidR="00284F5D" w:rsidRPr="00BC0C13">
        <w:t xml:space="preserve">Intergovernmental Agreement on </w:t>
      </w:r>
      <w:r w:rsidR="000F7906" w:rsidRPr="00BC0C13">
        <w:t>National Drought Program Reform</w:t>
      </w:r>
      <w:r w:rsidR="007E25BE">
        <w:t xml:space="preserve"> (IGA)</w:t>
      </w:r>
      <w:r w:rsidR="009E3369">
        <w:t>.</w:t>
      </w:r>
      <w:r w:rsidR="00881505">
        <w:t xml:space="preserve"> </w:t>
      </w:r>
      <w:r w:rsidR="00A7661B">
        <w:t xml:space="preserve">The </w:t>
      </w:r>
      <w:r w:rsidR="007E25BE">
        <w:t>IGA</w:t>
      </w:r>
      <w:r w:rsidR="00A7661B">
        <w:t xml:space="preserve"> </w:t>
      </w:r>
      <w:r w:rsidR="007E25BE">
        <w:t>followed</w:t>
      </w:r>
      <w:r w:rsidR="00A7661B">
        <w:t xml:space="preserve"> the national review of drought policy </w:t>
      </w:r>
      <w:r w:rsidR="00205720">
        <w:t xml:space="preserve">(which commenced in 2008 and included the Productivity Commission’s </w:t>
      </w:r>
      <w:r w:rsidR="006C7AD6">
        <w:t xml:space="preserve">inquiry </w:t>
      </w:r>
      <w:r w:rsidR="006C7AD6" w:rsidRPr="006C7AD6">
        <w:t>into</w:t>
      </w:r>
      <w:r w:rsidR="00205720" w:rsidRPr="00265AB8">
        <w:t xml:space="preserve"> Government Drought Support</w:t>
      </w:r>
      <w:r w:rsidR="00205720">
        <w:t xml:space="preserve"> (PC</w:t>
      </w:r>
      <w:r w:rsidR="0002075F">
        <w:t> </w:t>
      </w:r>
      <w:r w:rsidR="00205720">
        <w:t xml:space="preserve">2009)) </w:t>
      </w:r>
      <w:r w:rsidR="00A7661B">
        <w:t xml:space="preserve">and a subsequent two year pilot of measures conducted in regions of Western Australia that sought to test a </w:t>
      </w:r>
      <w:r w:rsidR="007E25BE">
        <w:t>new approach to drought assistance</w:t>
      </w:r>
      <w:r w:rsidR="00A7661B">
        <w:t>.</w:t>
      </w:r>
    </w:p>
    <w:p w:rsidR="00E64879" w:rsidRDefault="00881505" w:rsidP="000F7906">
      <w:pPr>
        <w:pStyle w:val="BodyText"/>
      </w:pPr>
      <w:r>
        <w:t>T</w:t>
      </w:r>
      <w:r w:rsidR="000F7906">
        <w:t xml:space="preserve">he </w:t>
      </w:r>
      <w:r w:rsidR="007E25BE">
        <w:t>IGA</w:t>
      </w:r>
      <w:r>
        <w:t xml:space="preserve"> outlines</w:t>
      </w:r>
      <w:r w:rsidR="00E64879">
        <w:t xml:space="preserve"> the </w:t>
      </w:r>
      <w:r w:rsidR="00A7661B">
        <w:t xml:space="preserve">key </w:t>
      </w:r>
      <w:r w:rsidR="00E64879">
        <w:t>role</w:t>
      </w:r>
      <w:r w:rsidR="00A7661B">
        <w:t>s and responsibilities</w:t>
      </w:r>
      <w:r w:rsidR="00E64879">
        <w:t xml:space="preserve"> for each government in</w:t>
      </w:r>
      <w:r>
        <w:t xml:space="preserve"> </w:t>
      </w:r>
      <w:r w:rsidR="00A7661B">
        <w:t xml:space="preserve">implementing </w:t>
      </w:r>
      <w:r w:rsidR="00F9305B">
        <w:t xml:space="preserve">— from </w:t>
      </w:r>
      <w:r w:rsidR="007E25BE">
        <w:t>1</w:t>
      </w:r>
      <w:r w:rsidR="004349CD">
        <w:t> </w:t>
      </w:r>
      <w:r w:rsidR="00F9305B">
        <w:t>July</w:t>
      </w:r>
      <w:r w:rsidR="004349CD">
        <w:t> </w:t>
      </w:r>
      <w:r w:rsidR="00F9305B">
        <w:t xml:space="preserve">2014 — </w:t>
      </w:r>
      <w:r w:rsidR="009E3369">
        <w:t>the new</w:t>
      </w:r>
      <w:r w:rsidR="00A7661B">
        <w:t xml:space="preserve"> approach</w:t>
      </w:r>
      <w:r>
        <w:t>.</w:t>
      </w:r>
      <w:r w:rsidR="009E3369">
        <w:t xml:space="preserve"> Under the approach, f</w:t>
      </w:r>
      <w:r w:rsidR="0021486A">
        <w:t>ive measures will be imple</w:t>
      </w:r>
      <w:r w:rsidR="00BD2633">
        <w:t>mented</w:t>
      </w:r>
      <w:r w:rsidR="0021486A">
        <w:t>:</w:t>
      </w:r>
    </w:p>
    <w:p w:rsidR="00E64879" w:rsidRDefault="00881505" w:rsidP="002E6A13">
      <w:pPr>
        <w:pStyle w:val="ListBullet"/>
        <w:spacing w:before="100"/>
      </w:pPr>
      <w:r>
        <w:t xml:space="preserve">a </w:t>
      </w:r>
      <w:r w:rsidR="00E64879">
        <w:t>farm household support payment</w:t>
      </w:r>
      <w:r w:rsidR="00F9305B">
        <w:t xml:space="preserve"> (the </w:t>
      </w:r>
      <w:r w:rsidR="009E3369">
        <w:t>‘</w:t>
      </w:r>
      <w:r w:rsidR="007E25BE">
        <w:t>F</w:t>
      </w:r>
      <w:r w:rsidR="00F9305B">
        <w:t xml:space="preserve">arm </w:t>
      </w:r>
      <w:r w:rsidR="007E25BE">
        <w:t>H</w:t>
      </w:r>
      <w:r w:rsidR="00F9305B">
        <w:t xml:space="preserve">ousehold </w:t>
      </w:r>
      <w:r w:rsidR="007E25BE">
        <w:t>A</w:t>
      </w:r>
      <w:r w:rsidR="00F9305B">
        <w:t>llowance</w:t>
      </w:r>
      <w:r w:rsidR="009E3369">
        <w:t>’</w:t>
      </w:r>
      <w:r w:rsidR="00F9305B">
        <w:t xml:space="preserve"> — </w:t>
      </w:r>
      <w:r w:rsidR="00110D58">
        <w:t>see below)</w:t>
      </w:r>
      <w:r w:rsidR="00E64879">
        <w:t>;</w:t>
      </w:r>
    </w:p>
    <w:p w:rsidR="00E64879" w:rsidRDefault="000F7906" w:rsidP="002E6A13">
      <w:pPr>
        <w:pStyle w:val="ListBullet"/>
        <w:spacing w:before="100"/>
      </w:pPr>
      <w:r>
        <w:t>taxation measures</w:t>
      </w:r>
      <w:r w:rsidR="00881505">
        <w:t>, including changes to the Farm Management Deposits Scheme</w:t>
      </w:r>
      <w:r w:rsidR="00E64879">
        <w:t>;</w:t>
      </w:r>
    </w:p>
    <w:p w:rsidR="00E64879" w:rsidRDefault="00881505" w:rsidP="002E6A13">
      <w:pPr>
        <w:pStyle w:val="ListBullet"/>
        <w:spacing w:before="100"/>
      </w:pPr>
      <w:r>
        <w:t>a national appr</w:t>
      </w:r>
      <w:r w:rsidR="00E64879">
        <w:t>oach to farm business training;</w:t>
      </w:r>
    </w:p>
    <w:p w:rsidR="00E64879" w:rsidRDefault="00881505" w:rsidP="002E6A13">
      <w:pPr>
        <w:pStyle w:val="ListBullet"/>
        <w:spacing w:before="100"/>
      </w:pPr>
      <w:r>
        <w:t xml:space="preserve">a coordinated, collaborative approach to the provision </w:t>
      </w:r>
      <w:r w:rsidR="00E64879">
        <w:t>of social support services; and</w:t>
      </w:r>
    </w:p>
    <w:p w:rsidR="00B442A8" w:rsidRDefault="00881505" w:rsidP="002E6A13">
      <w:pPr>
        <w:pStyle w:val="ListBullet"/>
        <w:spacing w:before="100"/>
      </w:pPr>
      <w:r>
        <w:t>tools and technologies to inform farmer decision making</w:t>
      </w:r>
      <w:r w:rsidR="00542465">
        <w:t xml:space="preserve"> (</w:t>
      </w:r>
      <w:r w:rsidR="00525843">
        <w:t>Ludwig </w:t>
      </w:r>
      <w:r w:rsidR="00542465">
        <w:t>2013a)</w:t>
      </w:r>
      <w:r w:rsidR="000F7906">
        <w:t>.</w:t>
      </w:r>
    </w:p>
    <w:p w:rsidR="00393A5C" w:rsidRDefault="00393A5C" w:rsidP="00210800">
      <w:pPr>
        <w:pStyle w:val="Heading4"/>
      </w:pPr>
      <w:r w:rsidRPr="00746311">
        <w:t>Farm Household Allowance</w:t>
      </w:r>
    </w:p>
    <w:p w:rsidR="004C77FF" w:rsidRDefault="00393DA9">
      <w:pPr>
        <w:pStyle w:val="BodyText"/>
        <w:rPr>
          <w:lang w:val="en"/>
        </w:rPr>
      </w:pPr>
      <w:r>
        <w:t>T</w:t>
      </w:r>
      <w:r w:rsidR="00F9305B">
        <w:t xml:space="preserve">he Australian Government’s main contribution </w:t>
      </w:r>
      <w:r>
        <w:t xml:space="preserve">to the IGA </w:t>
      </w:r>
      <w:r w:rsidR="00F9305B">
        <w:t>will be the Farm Household Allowance. In</w:t>
      </w:r>
      <w:r w:rsidR="00393A5C">
        <w:t xml:space="preserve"> the </w:t>
      </w:r>
      <w:r w:rsidR="000F7906">
        <w:t>2013</w:t>
      </w:r>
      <w:r w:rsidR="004349CD">
        <w:noBreakHyphen/>
      </w:r>
      <w:r w:rsidR="000F7906">
        <w:t xml:space="preserve">14 </w:t>
      </w:r>
      <w:r w:rsidR="00421C4A">
        <w:t>federal b</w:t>
      </w:r>
      <w:r w:rsidR="000F7906">
        <w:t>udget</w:t>
      </w:r>
      <w:r w:rsidR="00393A5C">
        <w:t xml:space="preserve">, </w:t>
      </w:r>
      <w:r w:rsidR="00A45961">
        <w:t xml:space="preserve">the </w:t>
      </w:r>
      <w:r w:rsidR="00C33516">
        <w:t xml:space="preserve">then </w:t>
      </w:r>
      <w:r w:rsidR="00A45961">
        <w:t xml:space="preserve">Australian Government allocated </w:t>
      </w:r>
      <w:r w:rsidR="000F7906">
        <w:t>$99.4</w:t>
      </w:r>
      <w:r w:rsidR="004349CD">
        <w:t> </w:t>
      </w:r>
      <w:r w:rsidR="00F6402C">
        <w:t>million</w:t>
      </w:r>
      <w:r w:rsidR="000F7906">
        <w:t xml:space="preserve"> </w:t>
      </w:r>
      <w:r>
        <w:t xml:space="preserve">over four years </w:t>
      </w:r>
      <w:r w:rsidR="000F7906" w:rsidRPr="00491E33">
        <w:t xml:space="preserve">for </w:t>
      </w:r>
      <w:r>
        <w:t xml:space="preserve">the </w:t>
      </w:r>
      <w:r w:rsidR="000F7906" w:rsidRPr="00491E33">
        <w:t>Farm Household Allowance</w:t>
      </w:r>
      <w:r w:rsidR="00E34F2D">
        <w:t xml:space="preserve"> (</w:t>
      </w:r>
      <w:r w:rsidR="00E34F2D">
        <w:rPr>
          <w:lang w:val="en"/>
        </w:rPr>
        <w:t>Joyce 2014d)</w:t>
      </w:r>
      <w:r w:rsidR="00A45961" w:rsidRPr="00491E33">
        <w:t>.</w:t>
      </w:r>
      <w:r w:rsidR="00491E33">
        <w:t xml:space="preserve"> </w:t>
      </w:r>
      <w:r w:rsidR="00491E33">
        <w:rPr>
          <w:lang w:val="en"/>
        </w:rPr>
        <w:t>The</w:t>
      </w:r>
      <w:r w:rsidR="005B602F">
        <w:rPr>
          <w:lang w:val="en"/>
        </w:rPr>
        <w:t xml:space="preserve"> </w:t>
      </w:r>
      <w:r>
        <w:rPr>
          <w:lang w:val="en"/>
        </w:rPr>
        <w:t>a</w:t>
      </w:r>
      <w:r w:rsidR="005B602F">
        <w:rPr>
          <w:lang w:val="en"/>
        </w:rPr>
        <w:t xml:space="preserve">llowance is </w:t>
      </w:r>
      <w:r>
        <w:rPr>
          <w:lang w:val="en"/>
        </w:rPr>
        <w:t xml:space="preserve">an uncapped, demand-driven program </w:t>
      </w:r>
      <w:r w:rsidR="005B602F">
        <w:rPr>
          <w:lang w:val="en"/>
        </w:rPr>
        <w:t>intended to</w:t>
      </w:r>
      <w:r w:rsidR="00A45961" w:rsidRPr="00A45961">
        <w:rPr>
          <w:lang w:val="en"/>
        </w:rPr>
        <w:t xml:space="preserve"> provide farm families with income support for up to th</w:t>
      </w:r>
      <w:r w:rsidR="00A45961">
        <w:rPr>
          <w:lang w:val="en"/>
        </w:rPr>
        <w:t xml:space="preserve">ree years in times of hardship. </w:t>
      </w:r>
      <w:r w:rsidR="00491E33">
        <w:rPr>
          <w:lang w:val="en"/>
        </w:rPr>
        <w:t>It</w:t>
      </w:r>
      <w:r w:rsidR="00A45961" w:rsidRPr="00A45961">
        <w:rPr>
          <w:lang w:val="en"/>
        </w:rPr>
        <w:t xml:space="preserve"> is scheduled to start from 1</w:t>
      </w:r>
      <w:r w:rsidR="004349CD">
        <w:rPr>
          <w:lang w:val="en"/>
        </w:rPr>
        <w:t> </w:t>
      </w:r>
      <w:r w:rsidR="00A45961" w:rsidRPr="00A45961">
        <w:rPr>
          <w:lang w:val="en"/>
        </w:rPr>
        <w:t>July</w:t>
      </w:r>
      <w:r w:rsidR="004349CD">
        <w:rPr>
          <w:lang w:val="en"/>
        </w:rPr>
        <w:t> </w:t>
      </w:r>
      <w:r w:rsidR="00A45961" w:rsidRPr="00A45961">
        <w:rPr>
          <w:lang w:val="en"/>
        </w:rPr>
        <w:t>2014</w:t>
      </w:r>
      <w:r w:rsidR="00BD2633">
        <w:rPr>
          <w:lang w:val="en"/>
        </w:rPr>
        <w:t>.</w:t>
      </w:r>
      <w:r w:rsidR="00A45961">
        <w:rPr>
          <w:lang w:val="en"/>
        </w:rPr>
        <w:t xml:space="preserve"> </w:t>
      </w:r>
      <w:r w:rsidR="00A45961" w:rsidRPr="00A45961">
        <w:rPr>
          <w:lang w:val="en"/>
        </w:rPr>
        <w:t xml:space="preserve">To </w:t>
      </w:r>
      <w:r w:rsidR="00D112F5">
        <w:rPr>
          <w:lang w:val="en"/>
        </w:rPr>
        <w:t>qualify, among other things, a recipient must</w:t>
      </w:r>
      <w:r w:rsidR="004C77FF">
        <w:rPr>
          <w:lang w:val="en"/>
        </w:rPr>
        <w:t>:</w:t>
      </w:r>
    </w:p>
    <w:p w:rsidR="004C77FF" w:rsidRPr="004C77FF" w:rsidRDefault="004C77FF" w:rsidP="002E6A13">
      <w:pPr>
        <w:pStyle w:val="ListBullet"/>
        <w:spacing w:before="100"/>
        <w:rPr>
          <w:lang w:val="en"/>
        </w:rPr>
      </w:pPr>
      <w:r w:rsidRPr="004C77FF">
        <w:rPr>
          <w:lang w:val="en"/>
        </w:rPr>
        <w:t>be a farmer</w:t>
      </w:r>
      <w:r w:rsidR="00926DA2">
        <w:rPr>
          <w:lang w:val="en"/>
        </w:rPr>
        <w:t xml:space="preserve"> or a partner of a farmer</w:t>
      </w:r>
      <w:r w:rsidR="008C61B2">
        <w:rPr>
          <w:lang w:val="en"/>
        </w:rPr>
        <w:t>;</w:t>
      </w:r>
    </w:p>
    <w:p w:rsidR="00D112F5" w:rsidRDefault="00D112F5" w:rsidP="002E6A13">
      <w:pPr>
        <w:pStyle w:val="ListBullet"/>
        <w:spacing w:before="100"/>
        <w:rPr>
          <w:lang w:val="en"/>
        </w:rPr>
      </w:pPr>
      <w:r>
        <w:rPr>
          <w:lang w:val="en"/>
        </w:rPr>
        <w:t>satisfy an</w:t>
      </w:r>
      <w:r w:rsidR="004C77FF" w:rsidRPr="004C77FF">
        <w:rPr>
          <w:lang w:val="en"/>
        </w:rPr>
        <w:t xml:space="preserve"> income and assets tests</w:t>
      </w:r>
      <w:r>
        <w:rPr>
          <w:lang w:val="en"/>
        </w:rPr>
        <w:t>; and</w:t>
      </w:r>
    </w:p>
    <w:p w:rsidR="004C77FF" w:rsidRPr="004C77FF" w:rsidRDefault="00D112F5" w:rsidP="002E6A13">
      <w:pPr>
        <w:pStyle w:val="ListBullet"/>
        <w:spacing w:before="100"/>
        <w:rPr>
          <w:lang w:val="en"/>
        </w:rPr>
      </w:pPr>
      <w:r>
        <w:rPr>
          <w:lang w:val="en"/>
        </w:rPr>
        <w:t>be willing to enter into a financial improvement agreement</w:t>
      </w:r>
      <w:r w:rsidR="00E34F2D">
        <w:rPr>
          <w:lang w:val="en"/>
        </w:rPr>
        <w:t>.</w:t>
      </w:r>
    </w:p>
    <w:p w:rsidR="00A45961" w:rsidRDefault="002D4ECD" w:rsidP="00A45961">
      <w:pPr>
        <w:pStyle w:val="BodyText"/>
        <w:rPr>
          <w:lang w:val="en"/>
        </w:rPr>
      </w:pPr>
      <w:r>
        <w:t>The Farm Household Allowance</w:t>
      </w:r>
      <w:r w:rsidRPr="00A45961">
        <w:t xml:space="preserve"> will replace the </w:t>
      </w:r>
      <w:r>
        <w:t>Interim Farm Household Allowance</w:t>
      </w:r>
      <w:r w:rsidRPr="00A45961">
        <w:t xml:space="preserve"> which currently provides income assistance </w:t>
      </w:r>
      <w:r>
        <w:t>to farmers (which in turn replaced the Transi</w:t>
      </w:r>
      <w:r w:rsidR="00EB1E4C">
        <w:t>tional Farm Family Payment on 1 March </w:t>
      </w:r>
      <w:r>
        <w:t>2014)</w:t>
      </w:r>
      <w:r w:rsidR="00E34F2D">
        <w:t xml:space="preserve"> (DAFF 2014</w:t>
      </w:r>
      <w:r w:rsidR="00921D5E">
        <w:t>b</w:t>
      </w:r>
      <w:r w:rsidR="00E34F2D">
        <w:t>)</w:t>
      </w:r>
      <w:r>
        <w:t>.</w:t>
      </w:r>
    </w:p>
    <w:p w:rsidR="00D751BB" w:rsidRPr="00D751BB" w:rsidRDefault="00D751BB" w:rsidP="00210800">
      <w:pPr>
        <w:pStyle w:val="Heading4"/>
      </w:pPr>
      <w:r w:rsidRPr="00D751BB">
        <w:lastRenderedPageBreak/>
        <w:t>Drought</w:t>
      </w:r>
      <w:r w:rsidR="00210800">
        <w:t xml:space="preserve"> </w:t>
      </w:r>
      <w:r w:rsidR="00B7588D">
        <w:t>assistance</w:t>
      </w:r>
      <w:r w:rsidR="00DE0829">
        <w:t xml:space="preserve"> package</w:t>
      </w:r>
    </w:p>
    <w:p w:rsidR="00B7588D" w:rsidRPr="00D751BB" w:rsidRDefault="00B7588D" w:rsidP="00A21D44">
      <w:pPr>
        <w:pStyle w:val="BodyText"/>
      </w:pPr>
      <w:r w:rsidRPr="00D751BB">
        <w:t xml:space="preserve">In </w:t>
      </w:r>
      <w:r>
        <w:t>November</w:t>
      </w:r>
      <w:r w:rsidR="00E4630A">
        <w:t> </w:t>
      </w:r>
      <w:r w:rsidRPr="00D751BB">
        <w:t>201</w:t>
      </w:r>
      <w:r w:rsidR="00ED26F5">
        <w:t>3</w:t>
      </w:r>
      <w:r w:rsidRPr="00D751BB">
        <w:t>, the Australian Government announced up to $7</w:t>
      </w:r>
      <w:r>
        <w:t> </w:t>
      </w:r>
      <w:r w:rsidRPr="00D751BB">
        <w:t xml:space="preserve">million </w:t>
      </w:r>
      <w:r w:rsidR="00ED26F5">
        <w:t xml:space="preserve">in support for </w:t>
      </w:r>
      <w:r w:rsidRPr="00D751BB">
        <w:t xml:space="preserve">Queensland </w:t>
      </w:r>
      <w:r w:rsidR="00ED26F5">
        <w:t>and up to $3 million for New South Wales to assist farm businesses</w:t>
      </w:r>
      <w:r w:rsidR="00117F3D">
        <w:t xml:space="preserve"> in those states</w:t>
      </w:r>
      <w:r w:rsidR="00ED26F5">
        <w:t xml:space="preserve"> with </w:t>
      </w:r>
      <w:r w:rsidR="00117F3D">
        <w:t xml:space="preserve">the </w:t>
      </w:r>
      <w:r w:rsidR="00ED26F5">
        <w:t>install</w:t>
      </w:r>
      <w:r w:rsidR="00117F3D">
        <w:t>ation of</w:t>
      </w:r>
      <w:r w:rsidRPr="00D751BB">
        <w:t xml:space="preserve"> water</w:t>
      </w:r>
      <w:r w:rsidR="00ED26F5">
        <w:t>-related</w:t>
      </w:r>
      <w:r w:rsidRPr="00D751BB">
        <w:t xml:space="preserve"> infrastructure </w:t>
      </w:r>
      <w:r w:rsidR="00ED26F5">
        <w:t>to supply animals with emergency water during drought</w:t>
      </w:r>
      <w:r w:rsidRPr="00D751BB">
        <w:t xml:space="preserve"> (Joyce</w:t>
      </w:r>
      <w:r>
        <w:t> </w:t>
      </w:r>
      <w:r w:rsidRPr="00D751BB">
        <w:t>201</w:t>
      </w:r>
      <w:r w:rsidR="006C085A">
        <w:t>3</w:t>
      </w:r>
      <w:r w:rsidR="00C51B36">
        <w:t>a</w:t>
      </w:r>
      <w:r w:rsidR="006216FC">
        <w:t>, Joyce 2014b</w:t>
      </w:r>
      <w:r w:rsidRPr="00D751BB">
        <w:t>).</w:t>
      </w:r>
    </w:p>
    <w:p w:rsidR="00D751BB" w:rsidRPr="00D751BB" w:rsidRDefault="00CF707A" w:rsidP="00A21D44">
      <w:pPr>
        <w:pStyle w:val="BodyText"/>
      </w:pPr>
      <w:r>
        <w:t>In addition to</w:t>
      </w:r>
      <w:r w:rsidR="00EA32A6">
        <w:t xml:space="preserve"> this initial assistance to Queensland and New South Wales, i</w:t>
      </w:r>
      <w:r w:rsidR="00D751BB" w:rsidRPr="00D751BB">
        <w:t xml:space="preserve">n </w:t>
      </w:r>
      <w:r w:rsidR="00525843" w:rsidRPr="00D751BB">
        <w:t>February</w:t>
      </w:r>
      <w:r w:rsidR="00525843">
        <w:t> </w:t>
      </w:r>
      <w:r w:rsidR="00D751BB" w:rsidRPr="00D751BB">
        <w:t>2014</w:t>
      </w:r>
      <w:r w:rsidR="00BD2633">
        <w:t>,</w:t>
      </w:r>
      <w:r w:rsidR="00D751BB" w:rsidRPr="00D751BB">
        <w:t xml:space="preserve"> the Australian Government announced a $</w:t>
      </w:r>
      <w:r w:rsidR="00525843" w:rsidRPr="00D751BB">
        <w:t>320</w:t>
      </w:r>
      <w:r w:rsidR="00525843">
        <w:t> </w:t>
      </w:r>
      <w:r w:rsidR="00D751BB" w:rsidRPr="00D751BB">
        <w:t xml:space="preserve">million drought </w:t>
      </w:r>
      <w:r w:rsidR="00ED26F5">
        <w:t>assistance</w:t>
      </w:r>
      <w:r w:rsidR="00D751BB" w:rsidRPr="00D751BB">
        <w:t xml:space="preserve"> package. The main components of the package are: bringing forward ‘more generous’ criteria for accessing income support from 1 July 2014 to </w:t>
      </w:r>
      <w:r w:rsidR="00ED26F5">
        <w:t>1</w:t>
      </w:r>
      <w:r w:rsidR="00D751BB" w:rsidRPr="00D751BB">
        <w:t> March 2014</w:t>
      </w:r>
      <w:r w:rsidR="00ED26F5">
        <w:t xml:space="preserve"> (through the Interim Farm Household Allowance)</w:t>
      </w:r>
      <w:r w:rsidR="00D751BB" w:rsidRPr="00D751BB">
        <w:t xml:space="preserve">; </w:t>
      </w:r>
      <w:r w:rsidR="00ED26F5">
        <w:t xml:space="preserve">drought </w:t>
      </w:r>
      <w:r w:rsidR="00D751BB" w:rsidRPr="00D751BB">
        <w:t xml:space="preserve">concessional loans intended to assist farm businesses to recover from the effects of drought ($280 million); additional funds for existing </w:t>
      </w:r>
      <w:r w:rsidR="00ED26F5">
        <w:t xml:space="preserve">state </w:t>
      </w:r>
      <w:r w:rsidR="00D751BB" w:rsidRPr="00D751BB">
        <w:t>emergency water infrastructure schemes ($12 million)</w:t>
      </w:r>
      <w:r w:rsidR="00BD2633">
        <w:t>; additional funds for</w:t>
      </w:r>
      <w:r w:rsidR="00D751BB" w:rsidRPr="00D751BB">
        <w:t xml:space="preserve"> pest management in drought</w:t>
      </w:r>
      <w:r w:rsidR="00ED26F5">
        <w:t>-</w:t>
      </w:r>
      <w:r w:rsidR="00D751BB" w:rsidRPr="00D751BB">
        <w:t>affected areas ($10 million); and increased social and mental health services in communities affected by drought ($10.7 million) (</w:t>
      </w:r>
      <w:r w:rsidR="00525843" w:rsidRPr="00D751BB">
        <w:t>Joyce</w:t>
      </w:r>
      <w:r w:rsidR="00525843">
        <w:t> </w:t>
      </w:r>
      <w:r w:rsidR="00D751BB" w:rsidRPr="00D751BB">
        <w:t>2014</w:t>
      </w:r>
      <w:r w:rsidR="00DE4C8B">
        <w:t>c</w:t>
      </w:r>
      <w:r w:rsidR="00D751BB" w:rsidRPr="00D751BB">
        <w:t>).</w:t>
      </w:r>
    </w:p>
    <w:p w:rsidR="006C085A" w:rsidRPr="006C085A" w:rsidRDefault="006C085A" w:rsidP="0057101C">
      <w:pPr>
        <w:pStyle w:val="Heading3"/>
      </w:pPr>
      <w:bookmarkStart w:id="5" w:name="_Toc364155246"/>
      <w:bookmarkStart w:id="6" w:name="_Toc364155295"/>
      <w:bookmarkStart w:id="7" w:name="_Toc364155842"/>
      <w:bookmarkStart w:id="8" w:name="_Toc385944118"/>
      <w:r w:rsidRPr="006C085A">
        <w:t>Farm Finance</w:t>
      </w:r>
      <w:bookmarkEnd w:id="5"/>
      <w:bookmarkEnd w:id="6"/>
      <w:bookmarkEnd w:id="7"/>
      <w:bookmarkEnd w:id="8"/>
      <w:r w:rsidRPr="006C085A">
        <w:t xml:space="preserve"> Concessional Loans scheme</w:t>
      </w:r>
    </w:p>
    <w:p w:rsidR="006C085A" w:rsidRPr="00834B7C" w:rsidRDefault="00E4630A" w:rsidP="00834B7C">
      <w:pPr>
        <w:pStyle w:val="BodyText"/>
      </w:pPr>
      <w:r>
        <w:t>In November </w:t>
      </w:r>
      <w:r w:rsidR="006C085A" w:rsidRPr="00A1483C">
        <w:t>2013, the Aust</w:t>
      </w:r>
      <w:r w:rsidR="006C085A" w:rsidRPr="00C031D5">
        <w:t>ralian Government announced the reallocation of scheme funds following a review of the Farm Finance Concessional Loans Scheme</w:t>
      </w:r>
      <w:r w:rsidR="0085096F">
        <w:t xml:space="preserve"> </w:t>
      </w:r>
      <w:r w:rsidR="0085096F" w:rsidRPr="00EA32A6">
        <w:t>(Joyce 2013</w:t>
      </w:r>
      <w:r w:rsidR="0085096F">
        <w:t>a</w:t>
      </w:r>
      <w:r w:rsidR="0085096F" w:rsidRPr="00EA32A6">
        <w:t>)</w:t>
      </w:r>
      <w:r w:rsidR="006C085A" w:rsidRPr="00C031D5">
        <w:t>.</w:t>
      </w:r>
    </w:p>
    <w:p w:rsidR="006C085A" w:rsidRPr="00EA32A6" w:rsidRDefault="006C085A" w:rsidP="00834B7C">
      <w:pPr>
        <w:pStyle w:val="BodyText"/>
      </w:pPr>
      <w:r w:rsidRPr="00834B7C">
        <w:t>Under the previous allocation, funds for concessional loans had been allocated equally between the states and the Northern Territory.</w:t>
      </w:r>
      <w:r w:rsidR="001E6F34">
        <w:t xml:space="preserve"> </w:t>
      </w:r>
      <w:r w:rsidRPr="00EA32A6">
        <w:t xml:space="preserve">The new allocation increased the availability of loans in jurisdictions with a higher number of farm businesses and where farm businesses are faced with worsening conditions. </w:t>
      </w:r>
      <w:r w:rsidR="00E4630A">
        <w:t>Under the new allocation, a $40 </w:t>
      </w:r>
      <w:r w:rsidRPr="00EA32A6">
        <w:t>million reserve fund was established in 2014</w:t>
      </w:r>
      <w:r w:rsidR="00E4630A">
        <w:noBreakHyphen/>
      </w:r>
      <w:r w:rsidRPr="00EA32A6">
        <w:t>15 to enable the Australian Government to respond</w:t>
      </w:r>
      <w:r w:rsidR="00EA32A6" w:rsidRPr="00EA32A6">
        <w:t xml:space="preserve"> to emerging issues</w:t>
      </w:r>
      <w:r w:rsidR="001E6F34">
        <w:t xml:space="preserve"> (Joyce 2013b)</w:t>
      </w:r>
      <w:r w:rsidRPr="00EA32A6">
        <w:t>.</w:t>
      </w:r>
    </w:p>
    <w:p w:rsidR="00393A5C" w:rsidRDefault="00393A5C" w:rsidP="00210800">
      <w:pPr>
        <w:pStyle w:val="Heading3"/>
      </w:pPr>
      <w:r>
        <w:t>P</w:t>
      </w:r>
      <w:r w:rsidRPr="00746311">
        <w:t>ost-entry quarantine facility</w:t>
      </w:r>
    </w:p>
    <w:p w:rsidR="000813B1" w:rsidRPr="00A60115" w:rsidRDefault="00110D58" w:rsidP="00F6402C">
      <w:pPr>
        <w:pStyle w:val="BodyText"/>
      </w:pPr>
      <w:r w:rsidRPr="00F6402C">
        <w:rPr>
          <w:lang w:val="en"/>
        </w:rPr>
        <w:t>In the 2012</w:t>
      </w:r>
      <w:r w:rsidR="00E4630A">
        <w:rPr>
          <w:lang w:val="en"/>
        </w:rPr>
        <w:noBreakHyphen/>
      </w:r>
      <w:r w:rsidRPr="00F6402C">
        <w:rPr>
          <w:lang w:val="en"/>
        </w:rPr>
        <w:t xml:space="preserve">13 </w:t>
      </w:r>
      <w:r w:rsidR="00525843">
        <w:rPr>
          <w:lang w:val="en"/>
        </w:rPr>
        <w:t>federal b</w:t>
      </w:r>
      <w:r w:rsidR="00525843" w:rsidRPr="00F6402C">
        <w:rPr>
          <w:lang w:val="en"/>
        </w:rPr>
        <w:t>udget</w:t>
      </w:r>
      <w:r w:rsidRPr="00F6402C">
        <w:rPr>
          <w:lang w:val="en"/>
        </w:rPr>
        <w:t>, the</w:t>
      </w:r>
      <w:r w:rsidR="00491E33">
        <w:rPr>
          <w:lang w:val="en"/>
        </w:rPr>
        <w:t xml:space="preserve"> </w:t>
      </w:r>
      <w:r w:rsidRPr="00F6402C">
        <w:rPr>
          <w:lang w:val="en"/>
        </w:rPr>
        <w:t>Government made a commitment of $379.9</w:t>
      </w:r>
      <w:r w:rsidR="008C61B2">
        <w:rPr>
          <w:lang w:val="en"/>
        </w:rPr>
        <w:t> </w:t>
      </w:r>
      <w:r w:rsidRPr="00F6402C">
        <w:rPr>
          <w:lang w:val="en"/>
        </w:rPr>
        <w:t xml:space="preserve">million over seven years to fund </w:t>
      </w:r>
      <w:r w:rsidR="008C61B2">
        <w:rPr>
          <w:lang w:val="en"/>
        </w:rPr>
        <w:t xml:space="preserve">the </w:t>
      </w:r>
      <w:r w:rsidR="006F23B7">
        <w:rPr>
          <w:lang w:val="en"/>
        </w:rPr>
        <w:t xml:space="preserve">design and </w:t>
      </w:r>
      <w:r w:rsidRPr="00F6402C">
        <w:rPr>
          <w:lang w:val="en"/>
        </w:rPr>
        <w:t xml:space="preserve">construction of a new </w:t>
      </w:r>
      <w:r w:rsidR="00FB2EA2">
        <w:rPr>
          <w:lang w:val="en"/>
        </w:rPr>
        <w:t>g</w:t>
      </w:r>
      <w:r w:rsidRPr="00F6402C">
        <w:rPr>
          <w:lang w:val="en"/>
        </w:rPr>
        <w:t>overnment–owned and operated post</w:t>
      </w:r>
      <w:r w:rsidR="008C61B2">
        <w:rPr>
          <w:lang w:val="en"/>
        </w:rPr>
        <w:t>-</w:t>
      </w:r>
      <w:r w:rsidRPr="00F6402C">
        <w:rPr>
          <w:lang w:val="en"/>
        </w:rPr>
        <w:t>entry</w:t>
      </w:r>
      <w:r w:rsidR="00491E33">
        <w:rPr>
          <w:lang w:val="en"/>
        </w:rPr>
        <w:t xml:space="preserve"> quarantine </w:t>
      </w:r>
      <w:r w:rsidR="006F23B7">
        <w:rPr>
          <w:lang w:val="en"/>
        </w:rPr>
        <w:t>facility</w:t>
      </w:r>
      <w:r w:rsidR="00491E33">
        <w:rPr>
          <w:lang w:val="en"/>
        </w:rPr>
        <w:t xml:space="preserve"> in </w:t>
      </w:r>
      <w:r w:rsidR="006F23B7">
        <w:rPr>
          <w:lang w:val="en"/>
        </w:rPr>
        <w:t xml:space="preserve">Mickleham, </w:t>
      </w:r>
      <w:r w:rsidR="00491E33" w:rsidRPr="00A60115">
        <w:t xml:space="preserve">Victoria. </w:t>
      </w:r>
      <w:r w:rsidR="00AC17E7">
        <w:t>The</w:t>
      </w:r>
      <w:r w:rsidR="00F6402C" w:rsidRPr="00A60115">
        <w:t xml:space="preserve"> 2013</w:t>
      </w:r>
      <w:r w:rsidR="00E4630A" w:rsidRPr="00A60115">
        <w:noBreakHyphen/>
      </w:r>
      <w:r w:rsidR="00F6402C" w:rsidRPr="00A60115">
        <w:t xml:space="preserve">14 </w:t>
      </w:r>
      <w:r w:rsidR="00525843" w:rsidRPr="00A60115">
        <w:t>federal budget</w:t>
      </w:r>
      <w:r w:rsidR="00AC17E7">
        <w:t xml:space="preserve"> made</w:t>
      </w:r>
      <w:r w:rsidR="00491E33" w:rsidRPr="00A60115">
        <w:t xml:space="preserve"> </w:t>
      </w:r>
      <w:r w:rsidRPr="00A60115">
        <w:t>$60.6</w:t>
      </w:r>
      <w:r w:rsidR="008C61B2" w:rsidRPr="00A60115">
        <w:t> </w:t>
      </w:r>
      <w:r w:rsidRPr="00A60115">
        <w:t>million</w:t>
      </w:r>
      <w:r w:rsidR="006F23B7" w:rsidRPr="00A60115">
        <w:t xml:space="preserve"> available for initial expenditures on this project</w:t>
      </w:r>
      <w:r w:rsidR="00491E33" w:rsidRPr="00A60115">
        <w:t xml:space="preserve"> </w:t>
      </w:r>
      <w:r w:rsidR="00717548" w:rsidRPr="00A60115">
        <w:t>(</w:t>
      </w:r>
      <w:r w:rsidR="00326619">
        <w:t>DAFF</w:t>
      </w:r>
      <w:r w:rsidR="0010006C">
        <w:t> </w:t>
      </w:r>
      <w:r w:rsidR="00326619">
        <w:t>2014</w:t>
      </w:r>
      <w:r w:rsidR="00921D5E">
        <w:t>a</w:t>
      </w:r>
      <w:r w:rsidR="00717548" w:rsidRPr="00A60115">
        <w:t>)</w:t>
      </w:r>
      <w:r w:rsidR="00A60115" w:rsidRPr="00A60115">
        <w:t xml:space="preserve">. </w:t>
      </w:r>
      <w:r w:rsidR="00491E33" w:rsidRPr="00A60115">
        <w:t>P</w:t>
      </w:r>
      <w:r w:rsidRPr="00A60115">
        <w:t>ost-entry quarantine</w:t>
      </w:r>
      <w:r w:rsidR="00F6402C" w:rsidRPr="00A60115">
        <w:t xml:space="preserve"> </w:t>
      </w:r>
      <w:r w:rsidR="006F23B7" w:rsidRPr="00A60115">
        <w:t>facilitates the importation of</w:t>
      </w:r>
      <w:r w:rsidR="00F6402C" w:rsidRPr="00A60115">
        <w:t xml:space="preserve"> high</w:t>
      </w:r>
      <w:r w:rsidR="00CF707A" w:rsidRPr="00A60115">
        <w:t>-</w:t>
      </w:r>
      <w:r w:rsidR="00F6402C" w:rsidRPr="00A60115">
        <w:t xml:space="preserve">risk animal and plant </w:t>
      </w:r>
      <w:r w:rsidR="006F23B7" w:rsidRPr="00A60115">
        <w:t>commodities. It</w:t>
      </w:r>
      <w:r w:rsidR="00F6402C" w:rsidRPr="00A60115">
        <w:t xml:space="preserve"> </w:t>
      </w:r>
      <w:r w:rsidR="006F23B7" w:rsidRPr="00A60115">
        <w:t>is</w:t>
      </w:r>
      <w:r w:rsidR="00F6402C" w:rsidRPr="00A60115">
        <w:t xml:space="preserve"> a key component of Australia’s biosecurity system</w:t>
      </w:r>
      <w:r w:rsidR="00CF707A" w:rsidRPr="00A60115">
        <w:t xml:space="preserve"> that</w:t>
      </w:r>
      <w:r w:rsidR="006F23B7" w:rsidRPr="00A60115">
        <w:t xml:space="preserve"> is intended to support the competitiveness and productivity of Australian agriculture</w:t>
      </w:r>
      <w:r w:rsidR="00F6402C" w:rsidRPr="00A60115">
        <w:t>.</w:t>
      </w:r>
      <w:r w:rsidR="00BD2633" w:rsidRPr="00A60115">
        <w:t xml:space="preserve"> The new facility will consolidate all existing </w:t>
      </w:r>
      <w:r w:rsidR="00BD2633" w:rsidRPr="00A60115">
        <w:lastRenderedPageBreak/>
        <w:t>Department of Agriculture, Fisheries and Forestry-operated post-entry quarantine facilities at a single integrated site.</w:t>
      </w:r>
      <w:r w:rsidR="00A60115">
        <w:t xml:space="preserve"> </w:t>
      </w:r>
      <w:r w:rsidR="000813B1" w:rsidRPr="00A60115">
        <w:t>The Department of Agriculture, Fisheries and Forestry recoups a portion of the costs associated with post-entry quarantine arrangements through user fees.</w:t>
      </w:r>
    </w:p>
    <w:p w:rsidR="00393A5C" w:rsidRDefault="00393A5C" w:rsidP="00210800">
      <w:pPr>
        <w:pStyle w:val="Heading3"/>
      </w:pPr>
      <w:r w:rsidRPr="00AD7E13">
        <w:t>National Food Plan</w:t>
      </w:r>
    </w:p>
    <w:p w:rsidR="00466F51" w:rsidRDefault="00D413C4" w:rsidP="000F7906">
      <w:pPr>
        <w:pStyle w:val="BodyText"/>
      </w:pPr>
      <w:r>
        <w:t xml:space="preserve">In </w:t>
      </w:r>
      <w:r w:rsidR="00525843">
        <w:t>July </w:t>
      </w:r>
      <w:r>
        <w:t xml:space="preserve">2012, the </w:t>
      </w:r>
      <w:r w:rsidR="00466F51">
        <w:t xml:space="preserve">then </w:t>
      </w:r>
      <w:r>
        <w:t>Au</w:t>
      </w:r>
      <w:r w:rsidR="00110D58">
        <w:t>stralian Government released the</w:t>
      </w:r>
      <w:r>
        <w:t xml:space="preserve"> </w:t>
      </w:r>
      <w:r w:rsidRPr="00A90D08">
        <w:t>National Food Plan green pa</w:t>
      </w:r>
      <w:r w:rsidR="00110D58" w:rsidRPr="00A90D08">
        <w:t>per</w:t>
      </w:r>
      <w:r w:rsidR="00110D58">
        <w:t xml:space="preserve"> </w:t>
      </w:r>
      <w:r w:rsidR="00AC17E7">
        <w:t>(DAFF</w:t>
      </w:r>
      <w:r w:rsidR="0010006C">
        <w:t> </w:t>
      </w:r>
      <w:r w:rsidR="00AC17E7">
        <w:t>2012)</w:t>
      </w:r>
      <w:r w:rsidR="001D3114">
        <w:t>, which presented a series of policy options for</w:t>
      </w:r>
      <w:r>
        <w:t xml:space="preserve"> </w:t>
      </w:r>
      <w:r w:rsidR="00491E33">
        <w:t>‘</w:t>
      </w:r>
      <w:r>
        <w:t>Australia’s food future</w:t>
      </w:r>
      <w:r w:rsidR="00491E33">
        <w:t>’</w:t>
      </w:r>
      <w:r w:rsidR="007B4522">
        <w:t xml:space="preserve"> </w:t>
      </w:r>
      <w:r w:rsidR="00491E33">
        <w:t>(Ludwig 2012)</w:t>
      </w:r>
      <w:r>
        <w:t>.</w:t>
      </w:r>
      <w:r w:rsidR="00005CCC">
        <w:t xml:space="preserve"> </w:t>
      </w:r>
      <w:r w:rsidR="006763A6">
        <w:t>T</w:t>
      </w:r>
      <w:r>
        <w:t>he</w:t>
      </w:r>
      <w:r w:rsidR="00491E33">
        <w:t xml:space="preserve"> </w:t>
      </w:r>
      <w:r w:rsidR="00C33516">
        <w:t xml:space="preserve">then </w:t>
      </w:r>
      <w:r w:rsidR="00491E33">
        <w:t xml:space="preserve">Australian Government </w:t>
      </w:r>
      <w:r w:rsidR="006763A6">
        <w:t xml:space="preserve">subsequently </w:t>
      </w:r>
      <w:r w:rsidR="00491E33">
        <w:t>released the</w:t>
      </w:r>
      <w:r>
        <w:t xml:space="preserve"> </w:t>
      </w:r>
      <w:r w:rsidR="000F7906" w:rsidRPr="00A90D08">
        <w:t>National Food Plan</w:t>
      </w:r>
      <w:r w:rsidR="00491E33">
        <w:t xml:space="preserve"> </w:t>
      </w:r>
      <w:r w:rsidR="00005CCC">
        <w:t>in May </w:t>
      </w:r>
      <w:r w:rsidR="006763A6">
        <w:t>2013</w:t>
      </w:r>
      <w:r w:rsidR="00704933">
        <w:t xml:space="preserve"> (DAFF</w:t>
      </w:r>
      <w:r w:rsidR="0002075F">
        <w:t> </w:t>
      </w:r>
      <w:r w:rsidR="00704933">
        <w:t>2013)</w:t>
      </w:r>
      <w:r w:rsidR="006763A6">
        <w:t xml:space="preserve">. </w:t>
      </w:r>
      <w:r w:rsidR="00491E33">
        <w:t>The plan specifie</w:t>
      </w:r>
      <w:r w:rsidR="00466F51">
        <w:t>d</w:t>
      </w:r>
      <w:r>
        <w:t xml:space="preserve"> 16</w:t>
      </w:r>
      <w:r w:rsidR="00E4630A">
        <w:t> </w:t>
      </w:r>
      <w:r>
        <w:t xml:space="preserve">goals and </w:t>
      </w:r>
      <w:r w:rsidR="00466F51">
        <w:t>was</w:t>
      </w:r>
      <w:r>
        <w:t xml:space="preserve"> supp</w:t>
      </w:r>
      <w:r w:rsidR="00005CCC">
        <w:t>orted by several new</w:t>
      </w:r>
      <w:r w:rsidR="008C61B2" w:rsidRPr="008C61B2">
        <w:t xml:space="preserve"> </w:t>
      </w:r>
      <w:r w:rsidR="008C61B2">
        <w:t>measures</w:t>
      </w:r>
      <w:r w:rsidR="00EF5590">
        <w:t xml:space="preserve"> (</w:t>
      </w:r>
      <w:r w:rsidR="0010006C">
        <w:t>Ludwig </w:t>
      </w:r>
      <w:r w:rsidR="00EF5590">
        <w:t>2013</w:t>
      </w:r>
      <w:r w:rsidR="00802827">
        <w:t>b</w:t>
      </w:r>
      <w:r w:rsidR="00EF5590">
        <w:t>)</w:t>
      </w:r>
      <w:r w:rsidR="00466F51">
        <w:t>.</w:t>
      </w:r>
    </w:p>
    <w:p w:rsidR="00466F51" w:rsidRDefault="00466F51" w:rsidP="00466F51">
      <w:pPr>
        <w:pStyle w:val="BodyText"/>
      </w:pPr>
      <w:r>
        <w:t xml:space="preserve">Following the 2013 </w:t>
      </w:r>
      <w:r w:rsidR="00AC17E7">
        <w:t>f</w:t>
      </w:r>
      <w:r>
        <w:t xml:space="preserve">ederal </w:t>
      </w:r>
      <w:r w:rsidR="00AC17E7">
        <w:t>e</w:t>
      </w:r>
      <w:r>
        <w:t xml:space="preserve">lection, the Government </w:t>
      </w:r>
      <w:r w:rsidR="0010006C">
        <w:t>commenced the</w:t>
      </w:r>
      <w:r>
        <w:t xml:space="preserve"> develop</w:t>
      </w:r>
      <w:r w:rsidR="0010006C">
        <w:t>ment of</w:t>
      </w:r>
      <w:r>
        <w:t xml:space="preserve"> a White Paper on Agricultural Competitiveness, taking into account the work undertaken in the preparation of the National Food Plan.</w:t>
      </w:r>
    </w:p>
    <w:p w:rsidR="00466F51" w:rsidRPr="00466F51" w:rsidRDefault="00466F51" w:rsidP="007D0859">
      <w:pPr>
        <w:pStyle w:val="Heading3"/>
      </w:pPr>
      <w:r w:rsidRPr="00466F51">
        <w:t>Agriculture Competitiveness White Paper</w:t>
      </w:r>
    </w:p>
    <w:p w:rsidR="00D413C4" w:rsidRDefault="00466F51" w:rsidP="00A21D44">
      <w:pPr>
        <w:pStyle w:val="BodyText"/>
      </w:pPr>
      <w:r w:rsidRPr="00466F51">
        <w:t>In December 2013, the Australian Government announced the terms of reference for an Agriculture Competitiveness White Paper. The White Paper will ‘consider issues including food security, improving farmgate returns, debt, drought management, supply chain competitiveness, investment, job creation, infrastructure, skills and training, research and development, regulatory effectiveness and market access’ (Joyce 2013</w:t>
      </w:r>
      <w:r w:rsidR="001C3786">
        <w:t>c</w:t>
      </w:r>
      <w:r w:rsidRPr="00466F51">
        <w:t>).</w:t>
      </w:r>
    </w:p>
    <w:p w:rsidR="000028E8" w:rsidRDefault="00D13809" w:rsidP="00210800">
      <w:pPr>
        <w:pStyle w:val="Heading3"/>
      </w:pPr>
      <w:r>
        <w:t>Creation of the Australian</w:t>
      </w:r>
      <w:r w:rsidR="000028E8">
        <w:t xml:space="preserve"> Grape and Wine </w:t>
      </w:r>
      <w:r>
        <w:t>Authority</w:t>
      </w:r>
    </w:p>
    <w:p w:rsidR="00370590" w:rsidRPr="00EA32A6" w:rsidRDefault="006605DE" w:rsidP="00A1483C">
      <w:pPr>
        <w:pStyle w:val="BodyText"/>
      </w:pPr>
      <w:r w:rsidRPr="00FB7B4F">
        <w:t xml:space="preserve">In </w:t>
      </w:r>
      <w:r w:rsidR="00D13809" w:rsidRPr="00FB7B4F">
        <w:t>December</w:t>
      </w:r>
      <w:r w:rsidR="00525843" w:rsidRPr="00FB7B4F">
        <w:t> </w:t>
      </w:r>
      <w:r w:rsidR="000F7906" w:rsidRPr="00FB7B4F">
        <w:t>2013</w:t>
      </w:r>
      <w:r w:rsidRPr="00FB7B4F">
        <w:t>,</w:t>
      </w:r>
      <w:r w:rsidR="00D13809" w:rsidRPr="00FB7B4F">
        <w:t xml:space="preserve"> the Australian Parliament passed legislation to create the Australian Grape and Wine Authority. The new Authority, </w:t>
      </w:r>
      <w:r w:rsidR="005E7E56" w:rsidRPr="00FB7B4F">
        <w:t>which will commence on 1 July 2014, will replace</w:t>
      </w:r>
      <w:r w:rsidR="00D13809" w:rsidRPr="00FB7B4F">
        <w:t xml:space="preserve"> the Grape and Wine Research and Development Corporation</w:t>
      </w:r>
      <w:r w:rsidR="005E7E56" w:rsidRPr="00FB7B4F">
        <w:t xml:space="preserve"> (GWRDC)</w:t>
      </w:r>
      <w:r w:rsidR="00D13809" w:rsidRPr="00FB7B4F">
        <w:t xml:space="preserve"> and the Wine Aus</w:t>
      </w:r>
      <w:r w:rsidR="005E7E56" w:rsidRPr="00FB7B4F">
        <w:t>tralia Corporation. It will</w:t>
      </w:r>
      <w:r w:rsidR="00D13809" w:rsidRPr="00FB7B4F">
        <w:t xml:space="preserve"> be the </w:t>
      </w:r>
      <w:r w:rsidR="000F7906" w:rsidRPr="00FB7B4F">
        <w:t>single statutory authority for the wine industry</w:t>
      </w:r>
      <w:r w:rsidRPr="00FB7B4F">
        <w:t>, covering activities such as R&amp;D and market</w:t>
      </w:r>
      <w:r w:rsidR="00E51E30" w:rsidRPr="00FB7B4F">
        <w:t>ing</w:t>
      </w:r>
      <w:r w:rsidRPr="00FB7B4F">
        <w:t xml:space="preserve"> </w:t>
      </w:r>
      <w:r w:rsidR="00E51E30" w:rsidRPr="00FB7B4F">
        <w:t>(</w:t>
      </w:r>
      <w:r w:rsidR="00525843" w:rsidRPr="00FB7B4F">
        <w:t>Ludwig </w:t>
      </w:r>
      <w:r w:rsidR="00E51E30" w:rsidRPr="00FB7B4F">
        <w:t>2013</w:t>
      </w:r>
      <w:r w:rsidR="00802827" w:rsidRPr="00FB7B4F">
        <w:t>c</w:t>
      </w:r>
      <w:r w:rsidR="00E51E30" w:rsidRPr="00FB7B4F">
        <w:t>).</w:t>
      </w:r>
    </w:p>
    <w:p w:rsidR="000F7906" w:rsidRPr="00A1483C" w:rsidRDefault="00370590" w:rsidP="00C031D5">
      <w:pPr>
        <w:pStyle w:val="BodyText"/>
      </w:pPr>
      <w:r w:rsidRPr="0057101C">
        <w:t>GWRDC is funded by grapegrowers and winemakers, who pay levies on the annual winegrape crush, and the Australian Government, which provides matching funds.</w:t>
      </w:r>
      <w:r w:rsidR="00525843" w:rsidRPr="00A1483C">
        <w:t xml:space="preserve"> </w:t>
      </w:r>
      <w:r w:rsidRPr="0057101C">
        <w:t xml:space="preserve">The Australian Grape and Wine Authority will undertake the same functions as the two </w:t>
      </w:r>
      <w:r w:rsidR="00AF0650" w:rsidRPr="0057101C">
        <w:t xml:space="preserve">merged </w:t>
      </w:r>
      <w:r w:rsidRPr="0057101C">
        <w:t>organisation</w:t>
      </w:r>
      <w:r w:rsidR="00AF0650" w:rsidRPr="0057101C">
        <w:t>s</w:t>
      </w:r>
      <w:r w:rsidR="005E7E56" w:rsidRPr="0057101C">
        <w:t xml:space="preserve"> and</w:t>
      </w:r>
      <w:r w:rsidRPr="0057101C">
        <w:t xml:space="preserve"> operate under the e</w:t>
      </w:r>
      <w:r w:rsidR="00AF0650" w:rsidRPr="0057101C">
        <w:t>xisting levy and fees structure.</w:t>
      </w:r>
    </w:p>
    <w:p w:rsidR="000028E8" w:rsidRDefault="000028E8" w:rsidP="00210800">
      <w:pPr>
        <w:pStyle w:val="Heading3"/>
      </w:pPr>
      <w:r>
        <w:lastRenderedPageBreak/>
        <w:t>Animal welfare projects</w:t>
      </w:r>
    </w:p>
    <w:p w:rsidR="000F7906" w:rsidRDefault="00491E33" w:rsidP="000F7906">
      <w:pPr>
        <w:pStyle w:val="BodyText"/>
      </w:pPr>
      <w:r>
        <w:t>In</w:t>
      </w:r>
      <w:r w:rsidR="000F7906">
        <w:t xml:space="preserve"> </w:t>
      </w:r>
      <w:r w:rsidR="00525843">
        <w:t>July </w:t>
      </w:r>
      <w:r w:rsidR="000F7906">
        <w:t>2013</w:t>
      </w:r>
      <w:r>
        <w:t xml:space="preserve">, the </w:t>
      </w:r>
      <w:r w:rsidR="00C33516">
        <w:t xml:space="preserve">then </w:t>
      </w:r>
      <w:r>
        <w:t>Au</w:t>
      </w:r>
      <w:r w:rsidR="00005CCC">
        <w:t>stralian Government announced funding of $1.8</w:t>
      </w:r>
      <w:r w:rsidR="00525843">
        <w:t> </w:t>
      </w:r>
      <w:r w:rsidR="00005CCC">
        <w:t xml:space="preserve">million for seven projects </w:t>
      </w:r>
      <w:r w:rsidR="005B602F">
        <w:t>intended to</w:t>
      </w:r>
      <w:r w:rsidR="00434E0D">
        <w:t xml:space="preserve"> support improvements </w:t>
      </w:r>
      <w:r w:rsidR="00005CCC">
        <w:t xml:space="preserve">in animal welfare </w:t>
      </w:r>
      <w:r w:rsidR="00D751BB">
        <w:t>in Australia’s overseas livestock export markets</w:t>
      </w:r>
      <w:r>
        <w:t>. Recipients of</w:t>
      </w:r>
      <w:r w:rsidR="00434E0D">
        <w:t xml:space="preserve"> funding include</w:t>
      </w:r>
      <w:r w:rsidR="00525843">
        <w:t>:</w:t>
      </w:r>
      <w:r w:rsidR="00434E0D">
        <w:t xml:space="preserve"> Meat and Livestock Australia</w:t>
      </w:r>
      <w:r w:rsidR="00525843">
        <w:t>;</w:t>
      </w:r>
      <w:r w:rsidR="00434E0D">
        <w:t xml:space="preserve"> the Australi</w:t>
      </w:r>
      <w:r w:rsidR="00E51E30">
        <w:t>an Livestock Exporters’ Council</w:t>
      </w:r>
      <w:r w:rsidR="00841274">
        <w:t>; and the World Organisation for Animal Health</w:t>
      </w:r>
      <w:r w:rsidR="00E51E30">
        <w:t xml:space="preserve"> (</w:t>
      </w:r>
      <w:r w:rsidR="00525843">
        <w:t>Fitzgibbon </w:t>
      </w:r>
      <w:r w:rsidR="00E51E30">
        <w:t>2013).</w:t>
      </w:r>
    </w:p>
    <w:p w:rsidR="00DE0829" w:rsidRPr="00DE0829" w:rsidRDefault="00DE0829" w:rsidP="007D0859">
      <w:pPr>
        <w:pStyle w:val="Heading3"/>
      </w:pPr>
      <w:r w:rsidRPr="00DE0829">
        <w:t>Farm Management Deposits Scheme</w:t>
      </w:r>
    </w:p>
    <w:p w:rsidR="00F04F8F" w:rsidRPr="00834B7C" w:rsidRDefault="00F04F8F" w:rsidP="00834B7C">
      <w:pPr>
        <w:pStyle w:val="BodyText"/>
      </w:pPr>
      <w:r w:rsidRPr="00A1483C">
        <w:t>The Australian Government is currently legislating to amend the Farm Management Deposits (FMD) Scheme. The FMD Scheme is a risk management tool that supports farmers’ ability to prepare for climate variability and market fluctuations</w:t>
      </w:r>
      <w:r w:rsidRPr="00C031D5">
        <w:t xml:space="preserve"> (National Rural Advisory Council 2012). It allows primary producers to set aside pre-tax primary production income in one income tax year and withdraw it as </w:t>
      </w:r>
      <w:r w:rsidRPr="00834B7C">
        <w:t>taxable income in a later year.</w:t>
      </w:r>
    </w:p>
    <w:p w:rsidR="00DE0829" w:rsidRPr="00A1483C" w:rsidRDefault="00F04F8F" w:rsidP="00834B7C">
      <w:pPr>
        <w:pStyle w:val="BodyText"/>
      </w:pPr>
      <w:r w:rsidRPr="00834B7C">
        <w:t>The proposed amendments are intended to allow more farmers to acce</w:t>
      </w:r>
      <w:r w:rsidRPr="00E22FE6">
        <w:t>ss the FMD Scheme and make existing FMD accou</w:t>
      </w:r>
      <w:r w:rsidR="00E4630A">
        <w:t>nts easier to manage (Joyce </w:t>
      </w:r>
      <w:r w:rsidRPr="00E22FE6">
        <w:t>2014</w:t>
      </w:r>
      <w:r w:rsidR="00732D0D">
        <w:t>a</w:t>
      </w:r>
      <w:r w:rsidRPr="00E22FE6">
        <w:t xml:space="preserve">). The </w:t>
      </w:r>
      <w:r w:rsidRPr="00EA32A6">
        <w:t>off</w:t>
      </w:r>
      <w:r w:rsidR="00AA0123">
        <w:noBreakHyphen/>
      </w:r>
      <w:r w:rsidRPr="00EA32A6">
        <w:t>farm income threshold would be increased from $65 000 to $100 000, thus allowing primary producers to earn a higher level of off-farm income as part of their risk management strategy and still place p</w:t>
      </w:r>
      <w:r w:rsidR="00BD2633">
        <w:t>rimary production income into a</w:t>
      </w:r>
      <w:r w:rsidRPr="00EA32A6">
        <w:t xml:space="preserve"> FMD. Allowing primary producers to consolidate existing FMD accounts without taxation penalties will simplify the management of FMDs for both primary producers and deposit ta</w:t>
      </w:r>
      <w:r w:rsidR="00F6567C" w:rsidRPr="00EA32A6">
        <w:t>king institutions. The changes</w:t>
      </w:r>
      <w:r w:rsidR="00E4630A">
        <w:t xml:space="preserve"> are due to take </w:t>
      </w:r>
      <w:r w:rsidR="00C41586">
        <w:t>e</w:t>
      </w:r>
      <w:r w:rsidR="00E4630A">
        <w:t>ffect from 1 July </w:t>
      </w:r>
      <w:r w:rsidRPr="00EA32A6">
        <w:t>2014 once the legislation has passed the Australian Parliament.</w:t>
      </w:r>
    </w:p>
    <w:bookmarkEnd w:id="4"/>
    <w:p w:rsidR="00ED78EF" w:rsidRPr="00ED78EF" w:rsidRDefault="00036D9A" w:rsidP="007D0859">
      <w:pPr>
        <w:pStyle w:val="Heading2"/>
      </w:pPr>
      <w:r>
        <w:t>5.</w:t>
      </w:r>
      <w:r w:rsidR="00F04E7E">
        <w:rPr>
          <w:noProof/>
        </w:rPr>
        <w:t>3</w:t>
      </w:r>
      <w:r w:rsidR="00ED78EF" w:rsidRPr="00ED78EF">
        <w:tab/>
        <w:t>Manufacturing sector</w:t>
      </w:r>
    </w:p>
    <w:p w:rsidR="00ED78EF" w:rsidRDefault="00ED78EF" w:rsidP="00C61814">
      <w:pPr>
        <w:pStyle w:val="BodyText"/>
      </w:pPr>
      <w:r w:rsidRPr="00ED78EF">
        <w:t xml:space="preserve">Australian Government support for the manufacturing sector comprised around </w:t>
      </w:r>
      <w:r w:rsidR="00341958">
        <w:t>21</w:t>
      </w:r>
      <w:r w:rsidRPr="00ED78EF">
        <w:t> per cent of to</w:t>
      </w:r>
      <w:r>
        <w:t xml:space="preserve">tal </w:t>
      </w:r>
      <w:r w:rsidR="00AA0123">
        <w:t xml:space="preserve">federal </w:t>
      </w:r>
      <w:r>
        <w:t>budgetary assistance in 2012</w:t>
      </w:r>
      <w:r w:rsidR="00E4630A">
        <w:noBreakHyphen/>
      </w:r>
      <w:r>
        <w:t>13</w:t>
      </w:r>
      <w:r w:rsidRPr="00ED78EF">
        <w:t xml:space="preserve"> (chapter </w:t>
      </w:r>
      <w:r w:rsidR="00BD2633">
        <w:t>4</w:t>
      </w:r>
      <w:r w:rsidRPr="00ED78EF">
        <w:t xml:space="preserve">). </w:t>
      </w:r>
      <w:r w:rsidR="00A244CC" w:rsidRPr="00ED78EF">
        <w:t xml:space="preserve">This section reports on developments directly affecting </w:t>
      </w:r>
      <w:r w:rsidR="00A244CC">
        <w:t xml:space="preserve">the manufacturing sector </w:t>
      </w:r>
      <w:r w:rsidR="00AA0123">
        <w:t>since May</w:t>
      </w:r>
      <w:r w:rsidR="0010006C">
        <w:t> </w:t>
      </w:r>
      <w:r w:rsidR="00AA0123">
        <w:t>2013</w:t>
      </w:r>
      <w:r w:rsidR="00A244CC" w:rsidRPr="00ED78EF">
        <w:t>.</w:t>
      </w:r>
    </w:p>
    <w:p w:rsidR="009E3369" w:rsidRPr="009E3369" w:rsidRDefault="009E3369" w:rsidP="009E3369">
      <w:pPr>
        <w:pStyle w:val="Heading3"/>
      </w:pPr>
      <w:r>
        <w:t>Ta Ann Tasmania</w:t>
      </w:r>
    </w:p>
    <w:p w:rsidR="009E3369" w:rsidRDefault="009E3369" w:rsidP="002E6A13">
      <w:pPr>
        <w:pStyle w:val="BodyText"/>
        <w:spacing w:before="200"/>
        <w:rPr>
          <w:lang w:val="en"/>
        </w:rPr>
      </w:pPr>
      <w:r w:rsidRPr="009E3369">
        <w:t xml:space="preserve">In June 2013, the then Australian Government announced funding of $26 million for Ta Ann Tasmania Pty Ltd, a veneer maker, to support the company to stay in production following timber supply losses </w:t>
      </w:r>
      <w:r w:rsidR="00AA0123">
        <w:t>arising from</w:t>
      </w:r>
      <w:r w:rsidRPr="009E3369">
        <w:t xml:space="preserve"> the Tasmanian Forests Agreement</w:t>
      </w:r>
      <w:r>
        <w:t xml:space="preserve"> (section 5.2)</w:t>
      </w:r>
      <w:r w:rsidRPr="009E3369">
        <w:t xml:space="preserve">. The funds are intended to help the company to </w:t>
      </w:r>
      <w:r w:rsidRPr="009E3369">
        <w:rPr>
          <w:lang w:val="en"/>
        </w:rPr>
        <w:t xml:space="preserve">adjust to a </w:t>
      </w:r>
      <w:r w:rsidRPr="009E3369">
        <w:rPr>
          <w:lang w:val="en"/>
        </w:rPr>
        <w:lastRenderedPageBreak/>
        <w:t>108 000 cubic metre a year reduction in peeler billets and to diversify its product base.</w:t>
      </w:r>
    </w:p>
    <w:p w:rsidR="000D6750" w:rsidRDefault="000D6750" w:rsidP="002E6A13">
      <w:pPr>
        <w:pStyle w:val="BodyText"/>
        <w:spacing w:before="200"/>
        <w:rPr>
          <w:lang w:val="en"/>
        </w:rPr>
      </w:pPr>
      <w:r>
        <w:rPr>
          <w:lang w:val="en"/>
        </w:rPr>
        <w:t>The funding is in addition to existing Australian Government commitments made under the TFIGA 2013 (</w:t>
      </w:r>
      <w:r>
        <w:t>Burke, Collins and Sidebottom</w:t>
      </w:r>
      <w:r>
        <w:rPr>
          <w:lang w:val="en"/>
        </w:rPr>
        <w:t> 2013).</w:t>
      </w:r>
    </w:p>
    <w:p w:rsidR="0011127E" w:rsidRPr="0011127E" w:rsidRDefault="0011127E" w:rsidP="007D0859">
      <w:pPr>
        <w:pStyle w:val="Heading3"/>
      </w:pPr>
      <w:r w:rsidRPr="0011127E">
        <w:t xml:space="preserve">Safeguards inquiries into imports of processed tomato products and </w:t>
      </w:r>
      <w:r w:rsidRPr="0011127E">
        <w:rPr>
          <w:lang w:val="en"/>
        </w:rPr>
        <w:t>processed fruit products</w:t>
      </w:r>
    </w:p>
    <w:p w:rsidR="0011127E" w:rsidRPr="0011127E" w:rsidRDefault="009E3369" w:rsidP="002E6A13">
      <w:pPr>
        <w:pStyle w:val="BodyText"/>
        <w:spacing w:before="200"/>
        <w:rPr>
          <w:lang w:val="en"/>
        </w:rPr>
      </w:pPr>
      <w:r>
        <w:rPr>
          <w:lang w:val="en"/>
        </w:rPr>
        <w:t xml:space="preserve">In </w:t>
      </w:r>
      <w:r w:rsidR="00525843" w:rsidRPr="0011127E">
        <w:rPr>
          <w:lang w:val="en"/>
        </w:rPr>
        <w:t>June</w:t>
      </w:r>
      <w:r w:rsidR="00525843">
        <w:rPr>
          <w:lang w:val="en"/>
        </w:rPr>
        <w:t> </w:t>
      </w:r>
      <w:r w:rsidR="0011127E" w:rsidRPr="0011127E">
        <w:rPr>
          <w:lang w:val="en"/>
        </w:rPr>
        <w:t xml:space="preserve">2013, the </w:t>
      </w:r>
      <w:r w:rsidR="00C33516">
        <w:rPr>
          <w:lang w:val="en"/>
        </w:rPr>
        <w:t xml:space="preserve">then </w:t>
      </w:r>
      <w:r w:rsidR="0011127E" w:rsidRPr="0011127E">
        <w:rPr>
          <w:lang w:val="en"/>
        </w:rPr>
        <w:t>Australian Government asked the Productivity Commission to undertake two 6-month inquiries into whether safeguard action is warranted against imports of processed tomato products and imports of processed fruit products.</w:t>
      </w:r>
    </w:p>
    <w:p w:rsidR="0011127E" w:rsidRPr="0011127E" w:rsidRDefault="0011127E" w:rsidP="002E6A13">
      <w:pPr>
        <w:pStyle w:val="BodyText"/>
        <w:spacing w:before="200"/>
      </w:pPr>
      <w:r w:rsidRPr="0011127E">
        <w:t>The inquiries were undertaken in accordance with the World Trade Organization (WTO) safeguard investigation procedure.</w:t>
      </w:r>
    </w:p>
    <w:p w:rsidR="0011127E" w:rsidRDefault="00525843" w:rsidP="002E6A13">
      <w:pPr>
        <w:pStyle w:val="BodyText"/>
        <w:spacing w:before="200"/>
        <w:rPr>
          <w:lang w:val="en"/>
        </w:rPr>
      </w:pPr>
      <w:r>
        <w:t>In</w:t>
      </w:r>
      <w:r w:rsidRPr="0011127E">
        <w:t xml:space="preserve"> December</w:t>
      </w:r>
      <w:r>
        <w:t> </w:t>
      </w:r>
      <w:r w:rsidR="0011127E" w:rsidRPr="0011127E">
        <w:t xml:space="preserve">2013, the final reports of the Productivity Commission safeguards inquiries into the import of processed fruit </w:t>
      </w:r>
      <w:r w:rsidR="000623D4">
        <w:t>and</w:t>
      </w:r>
      <w:r w:rsidR="0011127E" w:rsidRPr="0011127E">
        <w:t xml:space="preserve"> processed tomato product</w:t>
      </w:r>
      <w:r w:rsidR="00BD2633">
        <w:t>s</w:t>
      </w:r>
      <w:r w:rsidR="0011127E" w:rsidRPr="0011127E">
        <w:t xml:space="preserve"> were publicly released. The Commission found, in both cases, </w:t>
      </w:r>
      <w:r w:rsidR="0011127E" w:rsidRPr="0011127E">
        <w:rPr>
          <w:lang w:val="en"/>
        </w:rPr>
        <w:t xml:space="preserve">conditions were not such that safeguard measures would be justified under the WTO </w:t>
      </w:r>
      <w:r w:rsidR="00642676">
        <w:rPr>
          <w:lang w:val="en"/>
        </w:rPr>
        <w:t>a</w:t>
      </w:r>
      <w:r w:rsidR="00642676" w:rsidRPr="0011127E">
        <w:rPr>
          <w:lang w:val="en"/>
        </w:rPr>
        <w:t xml:space="preserve">greement </w:t>
      </w:r>
      <w:r w:rsidR="0011127E" w:rsidRPr="0011127E">
        <w:rPr>
          <w:lang w:val="en"/>
        </w:rPr>
        <w:t>(</w:t>
      </w:r>
      <w:r w:rsidRPr="0011127E">
        <w:rPr>
          <w:lang w:val="en"/>
        </w:rPr>
        <w:t>PC</w:t>
      </w:r>
      <w:r>
        <w:rPr>
          <w:lang w:val="en"/>
        </w:rPr>
        <w:t> </w:t>
      </w:r>
      <w:r w:rsidR="0011127E" w:rsidRPr="0011127E">
        <w:rPr>
          <w:lang w:val="en"/>
        </w:rPr>
        <w:t>2013a, 2013b).</w:t>
      </w:r>
    </w:p>
    <w:p w:rsidR="00642676" w:rsidRDefault="00642676" w:rsidP="00642676">
      <w:pPr>
        <w:pStyle w:val="Heading3"/>
      </w:pPr>
      <w:r>
        <w:t>SPC Ardmona</w:t>
      </w:r>
    </w:p>
    <w:p w:rsidR="00642676" w:rsidRDefault="00642676" w:rsidP="002E6A13">
      <w:pPr>
        <w:pStyle w:val="BodyText"/>
        <w:spacing w:before="200"/>
      </w:pPr>
      <w:r>
        <w:t>In</w:t>
      </w:r>
      <w:r w:rsidRPr="00AA00CA">
        <w:t xml:space="preserve"> December</w:t>
      </w:r>
      <w:r>
        <w:t> </w:t>
      </w:r>
      <w:r w:rsidRPr="00AA00CA">
        <w:t>2013, the Minister for Industry announced the formation of a high</w:t>
      </w:r>
      <w:r w:rsidR="000623D4">
        <w:noBreakHyphen/>
      </w:r>
      <w:r w:rsidRPr="00AA00CA">
        <w:t xml:space="preserve">level panel to advise the </w:t>
      </w:r>
      <w:r w:rsidR="00CB5B89">
        <w:t>G</w:t>
      </w:r>
      <w:r w:rsidRPr="00AA00CA">
        <w:t>overnment on assistance to SPC</w:t>
      </w:r>
      <w:r>
        <w:t> </w:t>
      </w:r>
      <w:r w:rsidRPr="00AA00CA">
        <w:t xml:space="preserve">Ardmona </w:t>
      </w:r>
      <w:r w:rsidR="002471D6">
        <w:t xml:space="preserve">Operations Limited </w:t>
      </w:r>
      <w:r w:rsidRPr="00AA00CA">
        <w:t>following a ‘specific request’ from the company</w:t>
      </w:r>
      <w:r>
        <w:t xml:space="preserve"> (Macfarlane 2013a)</w:t>
      </w:r>
      <w:r w:rsidRPr="00AA00CA">
        <w:t>.</w:t>
      </w:r>
      <w:r>
        <w:t xml:space="preserve"> </w:t>
      </w:r>
      <w:r w:rsidRPr="00AA00CA">
        <w:t xml:space="preserve">At a </w:t>
      </w:r>
      <w:r>
        <w:t xml:space="preserve">joint </w:t>
      </w:r>
      <w:r w:rsidRPr="00AA00CA">
        <w:t>press conference</w:t>
      </w:r>
      <w:r w:rsidR="00334B5F">
        <w:t xml:space="preserve"> held</w:t>
      </w:r>
      <w:r>
        <w:t xml:space="preserve"> by</w:t>
      </w:r>
      <w:r w:rsidRPr="00AA00CA">
        <w:t xml:space="preserve"> the </w:t>
      </w:r>
      <w:r>
        <w:t xml:space="preserve">Prime Minister and the </w:t>
      </w:r>
      <w:r w:rsidRPr="00AA00CA">
        <w:t>Minister for Industry in January</w:t>
      </w:r>
      <w:r>
        <w:t> </w:t>
      </w:r>
      <w:r w:rsidRPr="00AA00CA">
        <w:t>2014</w:t>
      </w:r>
      <w:r>
        <w:t>, the Minister for Industry stated</w:t>
      </w:r>
      <w:r w:rsidRPr="00AA00CA">
        <w:t xml:space="preserve"> that SPC</w:t>
      </w:r>
      <w:r>
        <w:t> </w:t>
      </w:r>
      <w:r w:rsidRPr="00AA00CA">
        <w:t xml:space="preserve">Ardmona’s request had been rejected </w:t>
      </w:r>
      <w:r>
        <w:t>(ABC 2014a).</w:t>
      </w:r>
    </w:p>
    <w:p w:rsidR="006B751A" w:rsidRDefault="00E4630A" w:rsidP="002E6A13">
      <w:pPr>
        <w:pStyle w:val="BodyText"/>
        <w:spacing w:before="200"/>
      </w:pPr>
      <w:r>
        <w:t>In February </w:t>
      </w:r>
      <w:r w:rsidR="006B751A">
        <w:t xml:space="preserve">2014, the Victorian Government announced </w:t>
      </w:r>
      <w:r w:rsidR="00821ECF">
        <w:t xml:space="preserve">it had committed </w:t>
      </w:r>
      <w:r w:rsidR="006B751A">
        <w:t>funding</w:t>
      </w:r>
      <w:r w:rsidR="00821ECF">
        <w:t xml:space="preserve"> of $22 million towards a $100 million ‘co-investment’ in SPC</w:t>
      </w:r>
      <w:r w:rsidR="000623D4">
        <w:t> </w:t>
      </w:r>
      <w:r w:rsidR="00821ECF">
        <w:t xml:space="preserve">Ardmona, </w:t>
      </w:r>
      <w:r w:rsidR="006B751A">
        <w:t xml:space="preserve">intended to </w:t>
      </w:r>
      <w:r w:rsidR="00821ECF">
        <w:t xml:space="preserve">‘transform [the company’s] operations, modernise food processing and increase its </w:t>
      </w:r>
      <w:r w:rsidR="001C0DB6">
        <w:t xml:space="preserve">… </w:t>
      </w:r>
      <w:r w:rsidR="00821ECF">
        <w:t>product range</w:t>
      </w:r>
      <w:r w:rsidR="001A0D07">
        <w:t>’</w:t>
      </w:r>
      <w:r>
        <w:t xml:space="preserve"> (Napthine </w:t>
      </w:r>
      <w:r w:rsidR="00821ECF">
        <w:t>2014)</w:t>
      </w:r>
      <w:r w:rsidR="006B751A">
        <w:t>.</w:t>
      </w:r>
    </w:p>
    <w:p w:rsidR="00B9704E" w:rsidRDefault="00B9704E" w:rsidP="00210800">
      <w:pPr>
        <w:pStyle w:val="Heading3"/>
      </w:pPr>
      <w:r>
        <w:t>Cadbury</w:t>
      </w:r>
    </w:p>
    <w:p w:rsidR="00A416F2" w:rsidRPr="002A4CB3" w:rsidRDefault="00A416F2" w:rsidP="002A4CB3">
      <w:pPr>
        <w:pStyle w:val="BodyText"/>
        <w:rPr>
          <w:rStyle w:val="Strong"/>
          <w:b w:val="0"/>
          <w:bCs w:val="0"/>
          <w:sz w:val="26"/>
          <w:szCs w:val="20"/>
          <w:bdr w:val="none" w:sz="0" w:space="0" w:color="auto"/>
        </w:rPr>
      </w:pPr>
      <w:r w:rsidRPr="002A4CB3">
        <w:t xml:space="preserve">In </w:t>
      </w:r>
      <w:r w:rsidR="002E6C4F">
        <w:t>February 2014,</w:t>
      </w:r>
      <w:r w:rsidRPr="002A4CB3">
        <w:t xml:space="preserve"> </w:t>
      </w:r>
      <w:r w:rsidRPr="00A416F2">
        <w:t xml:space="preserve">the Prime Minister </w:t>
      </w:r>
      <w:r w:rsidR="006C6013">
        <w:rPr>
          <w:rStyle w:val="Strong"/>
          <w:b w:val="0"/>
          <w:bCs w:val="0"/>
          <w:sz w:val="26"/>
          <w:szCs w:val="20"/>
          <w:bdr w:val="none" w:sz="0" w:space="0" w:color="auto"/>
        </w:rPr>
        <w:t>stat</w:t>
      </w:r>
      <w:r w:rsidR="002E6C4F">
        <w:rPr>
          <w:rStyle w:val="Strong"/>
          <w:b w:val="0"/>
          <w:bCs w:val="0"/>
          <w:sz w:val="26"/>
          <w:szCs w:val="20"/>
          <w:bdr w:val="none" w:sz="0" w:space="0" w:color="auto"/>
        </w:rPr>
        <w:t>ed that</w:t>
      </w:r>
      <w:r w:rsidRPr="00A416F2">
        <w:rPr>
          <w:rStyle w:val="Strong"/>
          <w:b w:val="0"/>
          <w:bCs w:val="0"/>
          <w:sz w:val="26"/>
          <w:szCs w:val="20"/>
          <w:bdr w:val="none" w:sz="0" w:space="0" w:color="auto"/>
        </w:rPr>
        <w:t xml:space="preserve"> the </w:t>
      </w:r>
      <w:r w:rsidR="00151665">
        <w:rPr>
          <w:rStyle w:val="Strong"/>
          <w:b w:val="0"/>
          <w:bCs w:val="0"/>
          <w:sz w:val="26"/>
          <w:szCs w:val="20"/>
          <w:bdr w:val="none" w:sz="0" w:space="0" w:color="auto"/>
        </w:rPr>
        <w:t xml:space="preserve">Australian </w:t>
      </w:r>
      <w:r w:rsidRPr="00A416F2">
        <w:rPr>
          <w:rStyle w:val="Strong"/>
          <w:b w:val="0"/>
          <w:bCs w:val="0"/>
          <w:sz w:val="26"/>
          <w:szCs w:val="20"/>
          <w:bdr w:val="none" w:sz="0" w:space="0" w:color="auto"/>
        </w:rPr>
        <w:t>Government would proceed with an election commitment to provide $16 million to Cadbury</w:t>
      </w:r>
      <w:r w:rsidR="00607AE8">
        <w:rPr>
          <w:rStyle w:val="Strong"/>
          <w:b w:val="0"/>
          <w:bCs w:val="0"/>
          <w:sz w:val="26"/>
          <w:szCs w:val="20"/>
          <w:bdr w:val="none" w:sz="0" w:space="0" w:color="auto"/>
        </w:rPr>
        <w:t xml:space="preserve"> Australia</w:t>
      </w:r>
      <w:r w:rsidRPr="00A416F2">
        <w:rPr>
          <w:rStyle w:val="Strong"/>
          <w:b w:val="0"/>
          <w:bCs w:val="0"/>
          <w:sz w:val="26"/>
          <w:szCs w:val="20"/>
          <w:bdr w:val="none" w:sz="0" w:space="0" w:color="auto"/>
        </w:rPr>
        <w:t xml:space="preserve"> </w:t>
      </w:r>
      <w:r w:rsidRPr="00A416F2">
        <w:lastRenderedPageBreak/>
        <w:t>(</w:t>
      </w:r>
      <w:r w:rsidR="002E6C4F">
        <w:t>Abbott</w:t>
      </w:r>
      <w:r w:rsidRPr="002A4CB3">
        <w:t> 2014</w:t>
      </w:r>
      <w:r w:rsidR="00970F42">
        <w:t>b</w:t>
      </w:r>
      <w:r w:rsidRPr="002A4CB3">
        <w:t>)</w:t>
      </w:r>
      <w:r w:rsidRPr="002A4CB3">
        <w:rPr>
          <w:rStyle w:val="Strong"/>
          <w:b w:val="0"/>
          <w:bCs w:val="0"/>
          <w:sz w:val="26"/>
          <w:szCs w:val="20"/>
          <w:bdr w:val="none" w:sz="0" w:space="0" w:color="auto"/>
        </w:rPr>
        <w:t xml:space="preserve">. The funding is intended mainly to support an upgrade of tourism facilities at </w:t>
      </w:r>
      <w:r w:rsidR="002A4CB3">
        <w:rPr>
          <w:rStyle w:val="Strong"/>
          <w:b w:val="0"/>
          <w:bCs w:val="0"/>
          <w:sz w:val="26"/>
          <w:szCs w:val="20"/>
          <w:bdr w:val="none" w:sz="0" w:space="0" w:color="auto"/>
        </w:rPr>
        <w:t>the company’s</w:t>
      </w:r>
      <w:r w:rsidRPr="002A4CB3">
        <w:rPr>
          <w:rStyle w:val="Strong"/>
          <w:b w:val="0"/>
          <w:bCs w:val="0"/>
          <w:sz w:val="26"/>
          <w:szCs w:val="20"/>
          <w:bdr w:val="none" w:sz="0" w:space="0" w:color="auto"/>
        </w:rPr>
        <w:t xml:space="preserve"> </w:t>
      </w:r>
      <w:r w:rsidR="002A4CB3">
        <w:rPr>
          <w:rStyle w:val="Strong"/>
          <w:b w:val="0"/>
          <w:bCs w:val="0"/>
          <w:sz w:val="26"/>
          <w:szCs w:val="20"/>
          <w:bdr w:val="none" w:sz="0" w:space="0" w:color="auto"/>
        </w:rPr>
        <w:t xml:space="preserve">chocolate </w:t>
      </w:r>
      <w:r w:rsidRPr="002A4CB3">
        <w:rPr>
          <w:rStyle w:val="Strong"/>
          <w:b w:val="0"/>
          <w:bCs w:val="0"/>
          <w:sz w:val="26"/>
          <w:szCs w:val="20"/>
          <w:bdr w:val="none" w:sz="0" w:space="0" w:color="auto"/>
        </w:rPr>
        <w:t>factory in Claremont, Tasmania.</w:t>
      </w:r>
      <w:r w:rsidRPr="002A4CB3">
        <w:t xml:space="preserve"> The 2014</w:t>
      </w:r>
      <w:r w:rsidR="00FD6600">
        <w:noBreakHyphen/>
      </w:r>
      <w:r w:rsidRPr="002A4CB3">
        <w:t xml:space="preserve">15 federal </w:t>
      </w:r>
      <w:r w:rsidR="00AF7F66">
        <w:t>budget confirmed funding of $16 </w:t>
      </w:r>
      <w:r w:rsidRPr="002A4CB3">
        <w:t>million t</w:t>
      </w:r>
      <w:r w:rsidR="002A4CB3">
        <w:t>o Cadbury (DFAT</w:t>
      </w:r>
      <w:r w:rsidR="00AF7F66">
        <w:t> </w:t>
      </w:r>
      <w:r w:rsidRPr="002A4CB3">
        <w:t>2014</w:t>
      </w:r>
      <w:r w:rsidR="00970F42">
        <w:t>a</w:t>
      </w:r>
      <w:r w:rsidRPr="002A4CB3">
        <w:t>).</w:t>
      </w:r>
    </w:p>
    <w:p w:rsidR="00AE2D5D" w:rsidRPr="00AE2D5D" w:rsidRDefault="006823CB" w:rsidP="002E6A13">
      <w:pPr>
        <w:pStyle w:val="Heading3"/>
        <w:spacing w:before="520"/>
        <w:rPr>
          <w:szCs w:val="20"/>
        </w:rPr>
      </w:pPr>
      <w:r>
        <w:rPr>
          <w:szCs w:val="20"/>
        </w:rPr>
        <w:t xml:space="preserve">Passenger </w:t>
      </w:r>
      <w:r w:rsidR="0011127E">
        <w:rPr>
          <w:szCs w:val="20"/>
        </w:rPr>
        <w:t>m</w:t>
      </w:r>
      <w:r w:rsidR="00AE2D5D" w:rsidRPr="00AE2D5D">
        <w:rPr>
          <w:szCs w:val="20"/>
        </w:rPr>
        <w:t>otor vehicle industry</w:t>
      </w:r>
    </w:p>
    <w:p w:rsidR="00FD2224" w:rsidRDefault="00C41586" w:rsidP="002E6A13">
      <w:pPr>
        <w:pStyle w:val="Heading4"/>
        <w:spacing w:before="400"/>
      </w:pPr>
      <w:r>
        <w:t xml:space="preserve">Productivity </w:t>
      </w:r>
      <w:r w:rsidR="00FD2224">
        <w:t>Commission inquiry on automotive manufacturing</w:t>
      </w:r>
    </w:p>
    <w:p w:rsidR="00FD2224" w:rsidRDefault="00FD2224" w:rsidP="002E6A13">
      <w:pPr>
        <w:pStyle w:val="BodyText"/>
        <w:spacing w:before="200"/>
      </w:pPr>
      <w:r>
        <w:t>In October 2013, t</w:t>
      </w:r>
      <w:r w:rsidRPr="0011127E">
        <w:t>he Australian Government asked the Commission to undertake an inquiry into public support for Australia</w:t>
      </w:r>
      <w:r w:rsidR="00FD6600">
        <w:t>’</w:t>
      </w:r>
      <w:r w:rsidRPr="0011127E">
        <w:t>s automotive manufacturing industry, including passenger motor vehicle and automotive component production.</w:t>
      </w:r>
      <w:r>
        <w:t xml:space="preserve"> </w:t>
      </w:r>
    </w:p>
    <w:p w:rsidR="00FD2224" w:rsidRDefault="00FD2224" w:rsidP="002E6A13">
      <w:pPr>
        <w:pStyle w:val="BodyText"/>
        <w:spacing w:before="200"/>
        <w:rPr>
          <w:szCs w:val="24"/>
        </w:rPr>
      </w:pPr>
      <w:r>
        <w:t xml:space="preserve">The Commission </w:t>
      </w:r>
      <w:r w:rsidR="00C33516">
        <w:t xml:space="preserve">published </w:t>
      </w:r>
      <w:r>
        <w:t>a Position Paper on 31 January 2014</w:t>
      </w:r>
      <w:r w:rsidR="001E4A9F">
        <w:t xml:space="preserve"> (PC 2014a)</w:t>
      </w:r>
      <w:r>
        <w:t xml:space="preserve">. </w:t>
      </w:r>
      <w:r w:rsidR="00C33516">
        <w:t xml:space="preserve">In that </w:t>
      </w:r>
      <w:r>
        <w:t>paper</w:t>
      </w:r>
      <w:r w:rsidR="00C33516">
        <w:t xml:space="preserve">, it </w:t>
      </w:r>
      <w:r>
        <w:t>noted that Australia’s automotive manufacturing industry is undergoing significant change, with Ford</w:t>
      </w:r>
      <w:r w:rsidR="005B29B0">
        <w:t xml:space="preserve"> Motor Company of Australia</w:t>
      </w:r>
      <w:r>
        <w:t xml:space="preserve"> and </w:t>
      </w:r>
      <w:r w:rsidR="005B29B0">
        <w:t xml:space="preserve">General Motors </w:t>
      </w:r>
      <w:r>
        <w:t xml:space="preserve">Holden having announced </w:t>
      </w:r>
      <w:r w:rsidR="00C33516">
        <w:t xml:space="preserve">that </w:t>
      </w:r>
      <w:r>
        <w:t xml:space="preserve">their manufacturing plants will close by the end of 2017. </w:t>
      </w:r>
      <w:r w:rsidR="00C41586">
        <w:rPr>
          <w:szCs w:val="24"/>
        </w:rPr>
        <w:t>Following</w:t>
      </w:r>
      <w:r>
        <w:rPr>
          <w:szCs w:val="24"/>
        </w:rPr>
        <w:t xml:space="preserve"> the release of the Position Paper, Toyota </w:t>
      </w:r>
      <w:r w:rsidR="005B29B0">
        <w:rPr>
          <w:szCs w:val="24"/>
        </w:rPr>
        <w:t xml:space="preserve">Motor Corporation </w:t>
      </w:r>
      <w:r w:rsidR="000B0E0F">
        <w:rPr>
          <w:szCs w:val="24"/>
        </w:rPr>
        <w:t>Australia</w:t>
      </w:r>
      <w:r w:rsidR="005B29B0">
        <w:rPr>
          <w:szCs w:val="24"/>
        </w:rPr>
        <w:t xml:space="preserve"> </w:t>
      </w:r>
      <w:r>
        <w:rPr>
          <w:szCs w:val="24"/>
        </w:rPr>
        <w:t>announced its manufacturing plants w</w:t>
      </w:r>
      <w:r w:rsidR="00C33516">
        <w:rPr>
          <w:szCs w:val="24"/>
        </w:rPr>
        <w:t>ould</w:t>
      </w:r>
      <w:r>
        <w:rPr>
          <w:szCs w:val="24"/>
        </w:rPr>
        <w:t xml:space="preserve"> also close by the end of 2017.</w:t>
      </w:r>
    </w:p>
    <w:p w:rsidR="00FD2224" w:rsidRDefault="00FD2224" w:rsidP="002E6A13">
      <w:pPr>
        <w:pStyle w:val="BodyText"/>
        <w:spacing w:before="200"/>
      </w:pPr>
      <w:r>
        <w:t>The Commission’s final report was sent to</w:t>
      </w:r>
      <w:r w:rsidR="00CB5B89">
        <w:t xml:space="preserve"> the Australian</w:t>
      </w:r>
      <w:r>
        <w:t xml:space="preserve"> Government on 31 March 2014. Under the </w:t>
      </w:r>
      <w:r w:rsidRPr="002E6A13">
        <w:rPr>
          <w:i/>
        </w:rPr>
        <w:t>Productivity Commission Act 1998</w:t>
      </w:r>
      <w:r w:rsidRPr="00D3551A">
        <w:t>,</w:t>
      </w:r>
      <w:r>
        <w:t xml:space="preserve"> the Government is required to table the final report in each House of the Parliament within 25</w:t>
      </w:r>
      <w:r w:rsidR="00E4630A">
        <w:t> </w:t>
      </w:r>
      <w:r>
        <w:t>sitting days of receipt.</w:t>
      </w:r>
    </w:p>
    <w:p w:rsidR="00FD2224" w:rsidRDefault="00FD2224" w:rsidP="002E6A13">
      <w:pPr>
        <w:pStyle w:val="Heading4"/>
        <w:spacing w:before="400"/>
      </w:pPr>
      <w:r>
        <w:t>2013</w:t>
      </w:r>
      <w:r>
        <w:noBreakHyphen/>
        <w:t>14 Mid</w:t>
      </w:r>
      <w:r>
        <w:noBreakHyphen/>
        <w:t>Year Economic and Fiscal Outlook</w:t>
      </w:r>
    </w:p>
    <w:p w:rsidR="00FD2224" w:rsidRDefault="00FD2224" w:rsidP="002E6A13">
      <w:pPr>
        <w:pStyle w:val="BodyText"/>
        <w:spacing w:before="200"/>
      </w:pPr>
      <w:r>
        <w:t>In December 2013, the Australian Government released the 2013</w:t>
      </w:r>
      <w:r>
        <w:noBreakHyphen/>
        <w:t>14 Mid</w:t>
      </w:r>
      <w:r>
        <w:noBreakHyphen/>
        <w:t xml:space="preserve">Year Economic and Fiscal Outlook. It included budgetary reductions </w:t>
      </w:r>
      <w:r w:rsidR="00EC6164">
        <w:t>of $</w:t>
      </w:r>
      <w:r w:rsidR="000F48A8">
        <w:t>500</w:t>
      </w:r>
      <w:r w:rsidR="00EC6164">
        <w:t xml:space="preserve"> million </w:t>
      </w:r>
      <w:r>
        <w:t xml:space="preserve">in </w:t>
      </w:r>
      <w:r w:rsidR="000F48A8">
        <w:t>funding for the Automotive Transformation Scheme from 2014</w:t>
      </w:r>
      <w:r w:rsidR="000F48A8">
        <w:noBreakHyphen/>
        <w:t>15 to 2017</w:t>
      </w:r>
      <w:r w:rsidR="000F48A8">
        <w:noBreakHyphen/>
        <w:t xml:space="preserve">18. The scheme has provided </w:t>
      </w:r>
      <w:r>
        <w:t>assistance to</w:t>
      </w:r>
      <w:r w:rsidR="000F48A8">
        <w:t xml:space="preserve"> the automotive manufacturing industry since 2011, when it replaced the Automotive Competitive</w:t>
      </w:r>
      <w:r w:rsidR="00A55EEF">
        <w:t>ness and Investment Scheme</w:t>
      </w:r>
      <w:r>
        <w:t>.</w:t>
      </w:r>
    </w:p>
    <w:p w:rsidR="007011B0" w:rsidRDefault="007011B0" w:rsidP="002E6A13">
      <w:pPr>
        <w:pStyle w:val="Heading3"/>
        <w:spacing w:before="520"/>
      </w:pPr>
      <w:r>
        <w:t>Energy White Paper</w:t>
      </w:r>
    </w:p>
    <w:p w:rsidR="0034300E" w:rsidRDefault="007011B0" w:rsidP="002E6A13">
      <w:pPr>
        <w:pStyle w:val="BodyText"/>
        <w:spacing w:before="200"/>
      </w:pPr>
      <w:r>
        <w:t>In</w:t>
      </w:r>
      <w:r w:rsidRPr="007011B0">
        <w:t xml:space="preserve"> </w:t>
      </w:r>
      <w:r w:rsidR="00397ADB" w:rsidRPr="007011B0">
        <w:t>December</w:t>
      </w:r>
      <w:r w:rsidR="00397ADB">
        <w:t> </w:t>
      </w:r>
      <w:r w:rsidRPr="007011B0">
        <w:t>2013, the Minister for Industry, Ian Macfarlane, released an issues paper to begin consultation on the Australian Government’s Energy White Paper</w:t>
      </w:r>
      <w:r w:rsidR="000165B2">
        <w:t>, which is scheduled for completion in September</w:t>
      </w:r>
      <w:r w:rsidR="00E4630A">
        <w:t> </w:t>
      </w:r>
      <w:r w:rsidR="000165B2">
        <w:t>2014 (</w:t>
      </w:r>
      <w:r w:rsidR="00EC6164">
        <w:t>Macfarlane </w:t>
      </w:r>
      <w:r w:rsidR="000165B2">
        <w:t>2013b)</w:t>
      </w:r>
      <w:r w:rsidRPr="007011B0">
        <w:t>.</w:t>
      </w:r>
      <w:r w:rsidR="000165B2">
        <w:t xml:space="preserve"> </w:t>
      </w:r>
    </w:p>
    <w:p w:rsidR="007F0C57" w:rsidRDefault="000165B2" w:rsidP="002E6A13">
      <w:pPr>
        <w:pStyle w:val="BodyText"/>
        <w:spacing w:before="200"/>
      </w:pPr>
      <w:r>
        <w:t xml:space="preserve">Amongst other things, the White Paper will consider: policy and regulatory reform to secure reliable, competitively and transparently priced energy for a growing population and productive economy, including the efficiency and effectiveness of </w:t>
      </w:r>
      <w:r>
        <w:lastRenderedPageBreak/>
        <w:t xml:space="preserve">regulatory bodies; [and] the appropriate role for government in the energy sector </w:t>
      </w:r>
      <w:r w:rsidR="00845F9A">
        <w:t>(</w:t>
      </w:r>
      <w:r>
        <w:t xml:space="preserve">Department of </w:t>
      </w:r>
      <w:r w:rsidR="00C17B54">
        <w:t>Industry </w:t>
      </w:r>
      <w:r w:rsidR="00C41586">
        <w:t>2014</w:t>
      </w:r>
      <w:r w:rsidR="00035396">
        <w:t>a</w:t>
      </w:r>
      <w:r>
        <w:t>)</w:t>
      </w:r>
      <w:r w:rsidR="00845F9A">
        <w:t>.</w:t>
      </w:r>
    </w:p>
    <w:p w:rsidR="007011B0" w:rsidRDefault="007011B0" w:rsidP="00210800">
      <w:pPr>
        <w:pStyle w:val="Heading3"/>
      </w:pPr>
      <w:r>
        <w:t>Cooperative Research Centres</w:t>
      </w:r>
    </w:p>
    <w:p w:rsidR="007011B0" w:rsidRDefault="00845F9A" w:rsidP="007011B0">
      <w:pPr>
        <w:pStyle w:val="BodyText"/>
      </w:pPr>
      <w:r>
        <w:t>In</w:t>
      </w:r>
      <w:r w:rsidR="007011B0">
        <w:t xml:space="preserve"> February</w:t>
      </w:r>
      <w:r w:rsidR="00397ADB">
        <w:t> </w:t>
      </w:r>
      <w:r>
        <w:t>2014</w:t>
      </w:r>
      <w:r w:rsidR="007011B0">
        <w:t xml:space="preserve">, the Australian Government announced the creation of three new </w:t>
      </w:r>
      <w:r w:rsidR="00D3551A">
        <w:t>Cooperative Research Centres (</w:t>
      </w:r>
      <w:r w:rsidR="007011B0">
        <w:t>CRCs</w:t>
      </w:r>
      <w:r w:rsidR="00D3551A">
        <w:t>)</w:t>
      </w:r>
      <w:r w:rsidR="007011B0">
        <w:t xml:space="preserve"> and the extension of four existing CRCs. CRCs are intended to bring together industry, researchers, the community and governments to create opportunities and develop solutions to assist Australian industry</w:t>
      </w:r>
      <w:r w:rsidR="0034300E">
        <w:t xml:space="preserve"> (</w:t>
      </w:r>
      <w:r w:rsidR="00397ADB">
        <w:t>Macfarlane </w:t>
      </w:r>
      <w:r w:rsidR="0034300E">
        <w:t>2014)</w:t>
      </w:r>
      <w:r w:rsidR="007011B0">
        <w:t>.</w:t>
      </w:r>
    </w:p>
    <w:p w:rsidR="007011B0" w:rsidRDefault="007011B0" w:rsidP="007011B0">
      <w:pPr>
        <w:pStyle w:val="BodyText"/>
      </w:pPr>
      <w:r>
        <w:t>The three new CRCs are:</w:t>
      </w:r>
    </w:p>
    <w:p w:rsidR="007011B0" w:rsidRDefault="00845F9A" w:rsidP="0062151C">
      <w:pPr>
        <w:pStyle w:val="ListBullet"/>
      </w:pPr>
      <w:r>
        <w:t>t</w:t>
      </w:r>
      <w:r w:rsidR="007011B0">
        <w:t>he Rail Manufacturing CRC ($</w:t>
      </w:r>
      <w:r w:rsidR="00397ADB">
        <w:t>31 </w:t>
      </w:r>
      <w:r w:rsidR="007011B0">
        <w:t xml:space="preserve">million) which will </w:t>
      </w:r>
      <w:r>
        <w:t xml:space="preserve">seek to </w:t>
      </w:r>
      <w:r w:rsidR="007011B0">
        <w:t>develop products, technologies and supply chain networks to increase the capability and global competitive</w:t>
      </w:r>
      <w:r w:rsidR="003766EA">
        <w:t>ness</w:t>
      </w:r>
      <w:r w:rsidR="007011B0">
        <w:t xml:space="preserve"> of the rail industry</w:t>
      </w:r>
      <w:r>
        <w:t>;</w:t>
      </w:r>
    </w:p>
    <w:p w:rsidR="007011B0" w:rsidRDefault="00845F9A" w:rsidP="0062151C">
      <w:pPr>
        <w:pStyle w:val="ListBullet"/>
      </w:pPr>
      <w:r>
        <w:t>t</w:t>
      </w:r>
      <w:r w:rsidR="007011B0">
        <w:t>he Data to Decisions CRC ($</w:t>
      </w:r>
      <w:r w:rsidR="00397ADB">
        <w:t>25 </w:t>
      </w:r>
      <w:r w:rsidR="007011B0">
        <w:t xml:space="preserve">million) which will </w:t>
      </w:r>
      <w:r>
        <w:t xml:space="preserve">seek to </w:t>
      </w:r>
      <w:r w:rsidR="007011B0">
        <w:t xml:space="preserve">develop tools to </w:t>
      </w:r>
      <w:r>
        <w:t>enhance</w:t>
      </w:r>
      <w:r w:rsidR="007011B0">
        <w:t xml:space="preserve"> Australia’s defence and national security sector</w:t>
      </w:r>
      <w:r>
        <w:t>’s capability to</w:t>
      </w:r>
      <w:r w:rsidR="007011B0">
        <w:t xml:space="preserve"> </w:t>
      </w:r>
      <w:r w:rsidR="003766EA">
        <w:t xml:space="preserve">use </w:t>
      </w:r>
      <w:r w:rsidR="00397ADB">
        <w:t>‘</w:t>
      </w:r>
      <w:r w:rsidR="007011B0">
        <w:t>big data</w:t>
      </w:r>
      <w:r w:rsidR="00397ADB">
        <w:t>’</w:t>
      </w:r>
      <w:r w:rsidR="007011B0">
        <w:t xml:space="preserve"> to reduce national security threats</w:t>
      </w:r>
      <w:r>
        <w:t>; and</w:t>
      </w:r>
    </w:p>
    <w:p w:rsidR="007011B0" w:rsidRDefault="00845F9A" w:rsidP="0062151C">
      <w:pPr>
        <w:pStyle w:val="ListBullet"/>
      </w:pPr>
      <w:r>
        <w:t>t</w:t>
      </w:r>
      <w:r w:rsidR="007011B0">
        <w:t>he Space Environment Management CRC ($19.</w:t>
      </w:r>
      <w:r w:rsidR="00397ADB">
        <w:t>8 </w:t>
      </w:r>
      <w:r w:rsidR="007011B0">
        <w:t xml:space="preserve">million) which will </w:t>
      </w:r>
      <w:r>
        <w:t xml:space="preserve">seek to </w:t>
      </w:r>
      <w:r w:rsidR="007011B0">
        <w:t xml:space="preserve">monitor, analyse and manage space debris and develop new technologies and strategies to </w:t>
      </w:r>
      <w:r>
        <w:t xml:space="preserve">help </w:t>
      </w:r>
      <w:r w:rsidR="007011B0">
        <w:t>preserve the space environment for the benefit of Australia.</w:t>
      </w:r>
    </w:p>
    <w:p w:rsidR="007011B0" w:rsidRPr="00A21D44" w:rsidRDefault="007011B0" w:rsidP="00761D7A">
      <w:pPr>
        <w:pStyle w:val="BodyText"/>
      </w:pPr>
      <w:r w:rsidRPr="00761D7A">
        <w:t xml:space="preserve">The four </w:t>
      </w:r>
      <w:r w:rsidR="00876617" w:rsidRPr="00761D7A">
        <w:t xml:space="preserve">extended </w:t>
      </w:r>
      <w:r w:rsidRPr="00761D7A">
        <w:t>CRCs are:</w:t>
      </w:r>
    </w:p>
    <w:p w:rsidR="007011B0" w:rsidRDefault="00845F9A" w:rsidP="0062151C">
      <w:pPr>
        <w:pStyle w:val="ListBullet"/>
      </w:pPr>
      <w:r>
        <w:t>t</w:t>
      </w:r>
      <w:r w:rsidR="007011B0">
        <w:t>he Hearing CRC ($</w:t>
      </w:r>
      <w:r w:rsidR="00397ADB">
        <w:t>28 </w:t>
      </w:r>
      <w:r w:rsidR="007011B0">
        <w:t xml:space="preserve">million) </w:t>
      </w:r>
      <w:r w:rsidR="003D7B9B">
        <w:t xml:space="preserve">which </w:t>
      </w:r>
      <w:r w:rsidR="0010006C">
        <w:t>intends</w:t>
      </w:r>
      <w:r w:rsidR="003D7B9B">
        <w:t xml:space="preserve"> </w:t>
      </w:r>
      <w:r>
        <w:t>to</w:t>
      </w:r>
      <w:r w:rsidR="007011B0">
        <w:t xml:space="preserve"> develop new devices, therapies and service delivery models to improve the prevention, detection and remediation of hearing disorders</w:t>
      </w:r>
      <w:r w:rsidR="00A55EEF">
        <w:t>;</w:t>
      </w:r>
    </w:p>
    <w:p w:rsidR="007011B0" w:rsidRDefault="00845F9A" w:rsidP="0062151C">
      <w:pPr>
        <w:pStyle w:val="ListBullet"/>
      </w:pPr>
      <w:r>
        <w:t>t</w:t>
      </w:r>
      <w:r w:rsidR="007011B0">
        <w:t>he Cancer Therapeutics CRC ($</w:t>
      </w:r>
      <w:r w:rsidR="00397ADB">
        <w:t>34 </w:t>
      </w:r>
      <w:r w:rsidR="007011B0">
        <w:t xml:space="preserve">million) </w:t>
      </w:r>
      <w:r w:rsidR="003D7B9B">
        <w:t xml:space="preserve">which </w:t>
      </w:r>
      <w:r w:rsidR="0010006C">
        <w:t>intends</w:t>
      </w:r>
      <w:r w:rsidR="00BE1751">
        <w:t xml:space="preserve"> to translate cancer biology research into lead and preclinical stage drug candidates for a range of different cancers;</w:t>
      </w:r>
    </w:p>
    <w:p w:rsidR="007011B0" w:rsidRDefault="00845F9A" w:rsidP="0062151C">
      <w:pPr>
        <w:pStyle w:val="ListBullet"/>
      </w:pPr>
      <w:r>
        <w:t>t</w:t>
      </w:r>
      <w:r w:rsidR="007011B0">
        <w:t>he Capital Markets CRC ($32.</w:t>
      </w:r>
      <w:r w:rsidR="00397ADB">
        <w:t>4 </w:t>
      </w:r>
      <w:r w:rsidR="007011B0">
        <w:t xml:space="preserve">million) </w:t>
      </w:r>
      <w:r w:rsidR="003D7B9B">
        <w:t xml:space="preserve">which </w:t>
      </w:r>
      <w:r w:rsidR="0010006C">
        <w:t>intends</w:t>
      </w:r>
      <w:r w:rsidR="003D7B9B">
        <w:t xml:space="preserve"> </w:t>
      </w:r>
      <w:r>
        <w:t xml:space="preserve">to </w:t>
      </w:r>
      <w:r w:rsidR="007011B0">
        <w:t>develop operational technolog</w:t>
      </w:r>
      <w:r w:rsidR="00397ADB">
        <w:t>ies</w:t>
      </w:r>
      <w:r w:rsidR="007011B0">
        <w:t xml:space="preserve"> </w:t>
      </w:r>
      <w:r>
        <w:t>that</w:t>
      </w:r>
      <w:r w:rsidR="007011B0">
        <w:t xml:space="preserve"> enhance the integrity and efficiency of </w:t>
      </w:r>
      <w:r w:rsidR="00866625">
        <w:t>capital</w:t>
      </w:r>
      <w:r w:rsidR="007011B0">
        <w:t xml:space="preserve"> markets in Australia and globally</w:t>
      </w:r>
      <w:r>
        <w:t>; and</w:t>
      </w:r>
    </w:p>
    <w:p w:rsidR="007F0C57" w:rsidRDefault="00845F9A" w:rsidP="0062151C">
      <w:pPr>
        <w:pStyle w:val="ListBullet"/>
      </w:pPr>
      <w:r>
        <w:t>t</w:t>
      </w:r>
      <w:r w:rsidR="007011B0">
        <w:t xml:space="preserve">he Sheep Industry Innovation </w:t>
      </w:r>
      <w:r w:rsidR="00397ADB">
        <w:t xml:space="preserve">CRC </w:t>
      </w:r>
      <w:r w:rsidR="007011B0">
        <w:t>($15.5</w:t>
      </w:r>
      <w:r w:rsidR="00E4630A">
        <w:t> </w:t>
      </w:r>
      <w:r w:rsidR="007011B0">
        <w:t xml:space="preserve">million) </w:t>
      </w:r>
      <w:r w:rsidR="003D7B9B">
        <w:t xml:space="preserve">which </w:t>
      </w:r>
      <w:r w:rsidR="0010006C">
        <w:t>intends</w:t>
      </w:r>
      <w:r w:rsidR="003D7B9B">
        <w:t xml:space="preserve"> </w:t>
      </w:r>
      <w:r>
        <w:t xml:space="preserve">to </w:t>
      </w:r>
      <w:r w:rsidR="007011B0">
        <w:t xml:space="preserve">enhance sheep wellbeing and productivity, value-based trading of sheep meat and </w:t>
      </w:r>
      <w:r>
        <w:t xml:space="preserve">the </w:t>
      </w:r>
      <w:r w:rsidR="007011B0">
        <w:t>deliver</w:t>
      </w:r>
      <w:r>
        <w:t>y of</w:t>
      </w:r>
      <w:r w:rsidR="007011B0">
        <w:t xml:space="preserve"> affordable technologies </w:t>
      </w:r>
      <w:r w:rsidR="00EB1D79">
        <w:t>for</w:t>
      </w:r>
      <w:r w:rsidR="007011B0">
        <w:t xml:space="preserve"> the Australian sheep industry</w:t>
      </w:r>
      <w:r w:rsidR="0034300E">
        <w:t xml:space="preserve"> (</w:t>
      </w:r>
      <w:r w:rsidR="00397ADB">
        <w:t>Macfarlane </w:t>
      </w:r>
      <w:r w:rsidR="0034300E">
        <w:t>2014)</w:t>
      </w:r>
      <w:r w:rsidR="007011B0">
        <w:t>.</w:t>
      </w:r>
    </w:p>
    <w:p w:rsidR="00ED78EF" w:rsidRPr="00ED78EF" w:rsidRDefault="00036D9A" w:rsidP="007D0859">
      <w:pPr>
        <w:pStyle w:val="Heading2"/>
      </w:pPr>
      <w:r>
        <w:lastRenderedPageBreak/>
        <w:t>5.</w:t>
      </w:r>
      <w:r w:rsidR="00F04E7E">
        <w:rPr>
          <w:noProof/>
        </w:rPr>
        <w:t>4</w:t>
      </w:r>
      <w:r w:rsidR="00ED78EF" w:rsidRPr="00ED78EF">
        <w:tab/>
        <w:t>Carbon emissions reduction and energy efficiency</w:t>
      </w:r>
    </w:p>
    <w:p w:rsidR="00ED78EF" w:rsidRPr="00ED78EF" w:rsidRDefault="00ED78EF" w:rsidP="00C61814">
      <w:pPr>
        <w:pStyle w:val="BodyText"/>
      </w:pPr>
      <w:r w:rsidRPr="00ED78EF">
        <w:t>As reported in</w:t>
      </w:r>
      <w:r w:rsidR="000B2E19">
        <w:t xml:space="preserve"> </w:t>
      </w:r>
      <w:r w:rsidR="00397ADB">
        <w:t>chapter </w:t>
      </w:r>
      <w:r w:rsidR="00A55EEF">
        <w:t>4</w:t>
      </w:r>
      <w:r w:rsidR="000B2E19">
        <w:t xml:space="preserve">, </w:t>
      </w:r>
      <w:r w:rsidRPr="00ED78EF">
        <w:t>assistance measures in</w:t>
      </w:r>
      <w:r w:rsidR="000B2E19">
        <w:t xml:space="preserve"> the area of carbon emissions reduction and energy efficiency</w:t>
      </w:r>
      <w:r w:rsidR="00062DA2">
        <w:t xml:space="preserve"> amount</w:t>
      </w:r>
      <w:r w:rsidR="004750DC">
        <w:t>ed</w:t>
      </w:r>
      <w:r w:rsidR="00062DA2">
        <w:t xml:space="preserve"> to around $</w:t>
      </w:r>
      <w:r w:rsidR="00E64111">
        <w:t>326</w:t>
      </w:r>
      <w:r w:rsidR="00B72CC1">
        <w:t> </w:t>
      </w:r>
      <w:r w:rsidR="00E64111">
        <w:t>m</w:t>
      </w:r>
      <w:r w:rsidR="00B72CC1">
        <w:t>illion</w:t>
      </w:r>
      <w:r w:rsidR="004750DC">
        <w:t xml:space="preserve"> in 2012</w:t>
      </w:r>
      <w:r w:rsidR="004750DC" w:rsidRPr="00ED78EF">
        <w:noBreakHyphen/>
      </w:r>
      <w:r w:rsidR="004750DC">
        <w:t>13</w:t>
      </w:r>
      <w:r w:rsidR="00B72CC1">
        <w:t xml:space="preserve">, that is, </w:t>
      </w:r>
      <w:r w:rsidR="00E64111">
        <w:t>4</w:t>
      </w:r>
      <w:r w:rsidRPr="00ED78EF">
        <w:t xml:space="preserve"> per cent of Australian Government assistance to industry. </w:t>
      </w:r>
    </w:p>
    <w:p w:rsidR="00ED78EF" w:rsidRPr="00ED78EF" w:rsidRDefault="00ED78EF" w:rsidP="00C61814">
      <w:pPr>
        <w:pStyle w:val="BodyText"/>
      </w:pPr>
      <w:r w:rsidRPr="00ED78EF">
        <w:t>This section reports on more recent announcements relating to carbon emissions reduction and energy efficiency programs. While reporting focuses on announcements of new programs or variations of pre-exi</w:t>
      </w:r>
      <w:r w:rsidR="00E642C1">
        <w:t>s</w:t>
      </w:r>
      <w:r w:rsidRPr="00ED78EF">
        <w:t xml:space="preserve">ting programs, some items cover major outlays under previously announced programs. </w:t>
      </w:r>
    </w:p>
    <w:p w:rsidR="008C7608" w:rsidRPr="008C7608" w:rsidRDefault="008C7608" w:rsidP="007D0859">
      <w:pPr>
        <w:pStyle w:val="Heading3"/>
      </w:pPr>
      <w:r>
        <w:t xml:space="preserve">Carbon tax, </w:t>
      </w:r>
      <w:r w:rsidRPr="008C7608">
        <w:t>Jobs and Competitiveness Program; Energy Security Measures and Steel Transformation Plan</w:t>
      </w:r>
    </w:p>
    <w:p w:rsidR="00076D50" w:rsidRDefault="008C7608" w:rsidP="00A21D44">
      <w:pPr>
        <w:pStyle w:val="BodyText"/>
      </w:pPr>
      <w:r w:rsidRPr="008C7608">
        <w:t xml:space="preserve">In November 2013, the Australian Government introduced </w:t>
      </w:r>
      <w:r w:rsidR="00A55EEF">
        <w:t>in</w:t>
      </w:r>
      <w:r w:rsidRPr="008C7608">
        <w:t xml:space="preserve">to the Parliament the </w:t>
      </w:r>
      <w:r w:rsidRPr="00E4630A">
        <w:rPr>
          <w:iCs/>
        </w:rPr>
        <w:t>Clean Energy Legis</w:t>
      </w:r>
      <w:r w:rsidR="00E4630A" w:rsidRPr="00E4630A">
        <w:rPr>
          <w:iCs/>
        </w:rPr>
        <w:t>lation (Carbon Tax Repeal) Bill </w:t>
      </w:r>
      <w:r w:rsidRPr="00E4630A">
        <w:rPr>
          <w:iCs/>
        </w:rPr>
        <w:t>2013</w:t>
      </w:r>
      <w:r w:rsidRPr="008C7608">
        <w:t xml:space="preserve"> and related bills</w:t>
      </w:r>
      <w:r w:rsidR="003D7B9B">
        <w:t>,</w:t>
      </w:r>
      <w:r w:rsidRPr="008C7608">
        <w:t xml:space="preserve"> with the intention</w:t>
      </w:r>
      <w:r w:rsidR="002C3139">
        <w:t xml:space="preserve"> of abolishing the carbon tax. </w:t>
      </w:r>
      <w:r w:rsidRPr="008C7608">
        <w:t xml:space="preserve">These bills provide that </w:t>
      </w:r>
      <w:r w:rsidR="00BF614B">
        <w:t xml:space="preserve">the </w:t>
      </w:r>
      <w:r w:rsidR="00076D50">
        <w:t xml:space="preserve">business compensation measures </w:t>
      </w:r>
      <w:r w:rsidRPr="008C7608">
        <w:t>related to the carbon tax under the J</w:t>
      </w:r>
      <w:r w:rsidR="008D7303">
        <w:t>obs and Competitiveness Program, Energy Security Fund and</w:t>
      </w:r>
      <w:r w:rsidRPr="008C7608">
        <w:t xml:space="preserve"> Steel Transformation Plan would cease. The package of bills was </w:t>
      </w:r>
      <w:r w:rsidR="00E4630A">
        <w:t>defeated in the Senate in March </w:t>
      </w:r>
      <w:r w:rsidRPr="008C7608">
        <w:t>2014. The Government intends to reintroduce the carbon tax repeal bill</w:t>
      </w:r>
      <w:r w:rsidR="00E4630A">
        <w:t>s.</w:t>
      </w:r>
      <w:r w:rsidR="00076D50">
        <w:t xml:space="preserve"> </w:t>
      </w:r>
    </w:p>
    <w:p w:rsidR="008C7608" w:rsidRPr="008C7608" w:rsidRDefault="00076D50" w:rsidP="00A21D44">
      <w:pPr>
        <w:pStyle w:val="BodyText"/>
      </w:pPr>
      <w:r>
        <w:t>While these measures were intended as compensation for the carbon tax, they will have had industry assistance implications to the extent that they favoured some activities over others.</w:t>
      </w:r>
    </w:p>
    <w:p w:rsidR="008C7608" w:rsidRPr="008C7608" w:rsidRDefault="005C488F" w:rsidP="007D0859">
      <w:pPr>
        <w:pStyle w:val="Heading3"/>
      </w:pPr>
      <w:r>
        <w:t>Other carbon tax-</w:t>
      </w:r>
      <w:r w:rsidR="008C7608" w:rsidRPr="008C7608">
        <w:t>related industry assistance programs</w:t>
      </w:r>
    </w:p>
    <w:p w:rsidR="008C7608" w:rsidRDefault="008D7303" w:rsidP="000B1801">
      <w:pPr>
        <w:pStyle w:val="BodyText"/>
      </w:pPr>
      <w:r>
        <w:t xml:space="preserve">The Australian Government’s </w:t>
      </w:r>
      <w:r w:rsidR="00E4630A">
        <w:t>2013</w:t>
      </w:r>
      <w:r w:rsidR="00E4630A">
        <w:noBreakHyphen/>
        <w:t>14 Mid-</w:t>
      </w:r>
      <w:r>
        <w:t xml:space="preserve">Year Economic and Fiscal Outlook contained details of </w:t>
      </w:r>
      <w:r w:rsidR="00A55EEF">
        <w:t>the cessation</w:t>
      </w:r>
      <w:r>
        <w:t xml:space="preserve"> of other</w:t>
      </w:r>
      <w:r w:rsidR="008C7608" w:rsidRPr="000B1801">
        <w:t xml:space="preserve"> </w:t>
      </w:r>
      <w:r w:rsidR="00076D50">
        <w:t xml:space="preserve">business compensation </w:t>
      </w:r>
      <w:r w:rsidR="008C7608" w:rsidRPr="000B1801">
        <w:t xml:space="preserve">measures </w:t>
      </w:r>
      <w:r>
        <w:t xml:space="preserve">that had been </w:t>
      </w:r>
      <w:r w:rsidR="008C7608" w:rsidRPr="000B1801">
        <w:t xml:space="preserve">introduced as part of the former Government’s carbon tax package. </w:t>
      </w:r>
      <w:r w:rsidR="005C488F">
        <w:t>Among t</w:t>
      </w:r>
      <w:r>
        <w:t xml:space="preserve">he </w:t>
      </w:r>
      <w:r w:rsidR="009209D0">
        <w:t>measures</w:t>
      </w:r>
      <w:r>
        <w:t xml:space="preserve"> to be abolished</w:t>
      </w:r>
      <w:r w:rsidR="005C488F">
        <w:t xml:space="preserve"> ar</w:t>
      </w:r>
      <w:r w:rsidR="008C7608" w:rsidRPr="000B1801">
        <w:t>e the Energy Effici</w:t>
      </w:r>
      <w:r w:rsidR="002C3139" w:rsidRPr="000B1801">
        <w:t>ency Information Grants,</w:t>
      </w:r>
      <w:r w:rsidR="008C7608" w:rsidRPr="000B1801">
        <w:t xml:space="preserve"> </w:t>
      </w:r>
      <w:r w:rsidR="002C3139" w:rsidRPr="000B1801">
        <w:t xml:space="preserve">the </w:t>
      </w:r>
      <w:r>
        <w:t xml:space="preserve">Clean Energy Skills </w:t>
      </w:r>
      <w:r w:rsidR="00D872B5">
        <w:t>P</w:t>
      </w:r>
      <w:r>
        <w:t>ackage</w:t>
      </w:r>
      <w:r w:rsidR="00986F91">
        <w:t>, the Coal Sector Jobs Package</w:t>
      </w:r>
      <w:r>
        <w:t xml:space="preserve"> and</w:t>
      </w:r>
      <w:r w:rsidR="002C3139" w:rsidRPr="000B1801">
        <w:t xml:space="preserve"> Clean Technology Program</w:t>
      </w:r>
      <w:r w:rsidR="009209D0">
        <w:t>mes</w:t>
      </w:r>
      <w:r w:rsidR="002C3139" w:rsidRPr="000B1801">
        <w:t>.</w:t>
      </w:r>
    </w:p>
    <w:p w:rsidR="00076D50" w:rsidRPr="000B1801" w:rsidRDefault="00076D50" w:rsidP="000B1801">
      <w:pPr>
        <w:pStyle w:val="BodyText"/>
      </w:pPr>
      <w:r w:rsidRPr="00076D50">
        <w:t>While these measures were intended as compensation for the carbon tax, they will have had industry assistance implications to the extent that they favoured some activities over others.</w:t>
      </w:r>
    </w:p>
    <w:p w:rsidR="00BB6F71" w:rsidRDefault="00BB6F71" w:rsidP="00BB6F71">
      <w:pPr>
        <w:pStyle w:val="Heading3"/>
      </w:pPr>
      <w:r>
        <w:lastRenderedPageBreak/>
        <w:t>Clean Energy Finance Corporation</w:t>
      </w:r>
    </w:p>
    <w:p w:rsidR="00BB6F71" w:rsidRDefault="00BB6F71" w:rsidP="00BB6F71">
      <w:pPr>
        <w:pStyle w:val="BodyText"/>
      </w:pPr>
      <w:r>
        <w:t xml:space="preserve">In </w:t>
      </w:r>
      <w:r w:rsidR="00397ADB">
        <w:t>April </w:t>
      </w:r>
      <w:r>
        <w:t xml:space="preserve">2013, the </w:t>
      </w:r>
      <w:r w:rsidR="003D7B9B">
        <w:t xml:space="preserve">then </w:t>
      </w:r>
      <w:r w:rsidR="00CB5B89">
        <w:t>Australian G</w:t>
      </w:r>
      <w:r w:rsidR="003D7B9B">
        <w:t xml:space="preserve">overnment issued the </w:t>
      </w:r>
      <w:r>
        <w:t>investment mandate of the Clean Energy Finance Corporation (CEFC)</w:t>
      </w:r>
      <w:r w:rsidR="006B6F89">
        <w:t xml:space="preserve"> </w:t>
      </w:r>
      <w:r>
        <w:t>(</w:t>
      </w:r>
      <w:r w:rsidR="00397ADB">
        <w:t>Swan</w:t>
      </w:r>
      <w:r w:rsidR="00FD6B55">
        <w:t>, Combet and Wong</w:t>
      </w:r>
      <w:r w:rsidR="00397ADB">
        <w:t> </w:t>
      </w:r>
      <w:r>
        <w:t xml:space="preserve">2013). </w:t>
      </w:r>
      <w:r w:rsidR="00EC6164">
        <w:t xml:space="preserve">The </w:t>
      </w:r>
      <w:r>
        <w:t>CEFC is a $</w:t>
      </w:r>
      <w:r w:rsidR="006B6F89">
        <w:t>10 </w:t>
      </w:r>
      <w:r>
        <w:t>billion fund that is intended to provide concessional finance for qualifying projects in the areas of energy</w:t>
      </w:r>
      <w:r w:rsidR="006B6F89">
        <w:t xml:space="preserve"> supply</w:t>
      </w:r>
      <w:r>
        <w:t xml:space="preserve">, energy </w:t>
      </w:r>
      <w:r w:rsidR="00A55EEF">
        <w:t>use</w:t>
      </w:r>
      <w:r>
        <w:t xml:space="preserve"> and </w:t>
      </w:r>
      <w:r w:rsidR="006B6F89">
        <w:t xml:space="preserve">designated clean energy </w:t>
      </w:r>
      <w:r>
        <w:t>technolog</w:t>
      </w:r>
      <w:r w:rsidR="006B6F89">
        <w:t>ies</w:t>
      </w:r>
      <w:r>
        <w:t>.</w:t>
      </w:r>
    </w:p>
    <w:p w:rsidR="00BB6F71" w:rsidRPr="00433239" w:rsidRDefault="00BB6F71" w:rsidP="00BB6F71">
      <w:pPr>
        <w:pStyle w:val="BodyText"/>
        <w:rPr>
          <w:lang w:val="en"/>
        </w:rPr>
      </w:pPr>
      <w:r w:rsidRPr="00433239">
        <w:rPr>
          <w:lang w:val="en"/>
        </w:rPr>
        <w:t>Und</w:t>
      </w:r>
      <w:r>
        <w:rPr>
          <w:lang w:val="en"/>
        </w:rPr>
        <w:t xml:space="preserve">er its enabling legislation — the </w:t>
      </w:r>
      <w:r w:rsidRPr="00A317A0">
        <w:rPr>
          <w:i/>
        </w:rPr>
        <w:t>Clean Energy Finance Corporation</w:t>
      </w:r>
      <w:r w:rsidRPr="00973365">
        <w:rPr>
          <w:i/>
          <w:lang w:val="en"/>
        </w:rPr>
        <w:t xml:space="preserve"> Act</w:t>
      </w:r>
      <w:r w:rsidR="003D7B9B">
        <w:rPr>
          <w:i/>
          <w:lang w:val="en"/>
        </w:rPr>
        <w:t> </w:t>
      </w:r>
      <w:r w:rsidRPr="00973365">
        <w:rPr>
          <w:i/>
          <w:lang w:val="en"/>
        </w:rPr>
        <w:t>2012</w:t>
      </w:r>
      <w:r w:rsidR="003D7B9B">
        <w:rPr>
          <w:lang w:val="en"/>
        </w:rPr>
        <w:t> (Cw</w:t>
      </w:r>
      <w:r w:rsidR="0031515F">
        <w:rPr>
          <w:lang w:val="en"/>
        </w:rPr>
        <w:t>l</w:t>
      </w:r>
      <w:r w:rsidR="003D7B9B">
        <w:rPr>
          <w:lang w:val="en"/>
        </w:rPr>
        <w:t xml:space="preserve">th) </w:t>
      </w:r>
      <w:r>
        <w:rPr>
          <w:lang w:val="en"/>
        </w:rPr>
        <w:t>— CEFC’s financing</w:t>
      </w:r>
      <w:r w:rsidRPr="00433239">
        <w:rPr>
          <w:lang w:val="en"/>
        </w:rPr>
        <w:t xml:space="preserve"> activities </w:t>
      </w:r>
      <w:r w:rsidR="00117F3D">
        <w:rPr>
          <w:lang w:val="en"/>
        </w:rPr>
        <w:t>were to</w:t>
      </w:r>
      <w:r w:rsidRPr="00433239">
        <w:rPr>
          <w:lang w:val="en"/>
        </w:rPr>
        <w:t xml:space="preserve"> be funded through a special appropriation </w:t>
      </w:r>
      <w:r>
        <w:rPr>
          <w:lang w:val="en"/>
        </w:rPr>
        <w:t xml:space="preserve">from the Australian Government </w:t>
      </w:r>
      <w:r w:rsidRPr="00433239">
        <w:rPr>
          <w:lang w:val="en"/>
        </w:rPr>
        <w:t>of $2</w:t>
      </w:r>
      <w:r>
        <w:rPr>
          <w:lang w:val="en"/>
        </w:rPr>
        <w:t> </w:t>
      </w:r>
      <w:r w:rsidRPr="00433239">
        <w:rPr>
          <w:lang w:val="en"/>
        </w:rPr>
        <w:t>bi</w:t>
      </w:r>
      <w:r>
        <w:rPr>
          <w:lang w:val="en"/>
        </w:rPr>
        <w:t>llion to a special account each</w:t>
      </w:r>
      <w:r w:rsidRPr="00433239">
        <w:rPr>
          <w:lang w:val="en"/>
        </w:rPr>
        <w:t xml:space="preserve"> year for five years, commencing from 1</w:t>
      </w:r>
      <w:r w:rsidR="00E4630A">
        <w:rPr>
          <w:lang w:val="en"/>
        </w:rPr>
        <w:t> </w:t>
      </w:r>
      <w:r w:rsidRPr="00433239">
        <w:rPr>
          <w:lang w:val="en"/>
        </w:rPr>
        <w:t>July</w:t>
      </w:r>
      <w:r w:rsidR="00E4630A">
        <w:rPr>
          <w:lang w:val="en"/>
        </w:rPr>
        <w:t> </w:t>
      </w:r>
      <w:r w:rsidRPr="00433239">
        <w:rPr>
          <w:lang w:val="en"/>
        </w:rPr>
        <w:t>2013.</w:t>
      </w:r>
    </w:p>
    <w:p w:rsidR="00830434" w:rsidRDefault="00EC6164" w:rsidP="00BB6F71">
      <w:pPr>
        <w:pStyle w:val="BodyText"/>
        <w:rPr>
          <w:lang w:val="en"/>
        </w:rPr>
      </w:pPr>
      <w:r>
        <w:rPr>
          <w:lang w:val="en"/>
        </w:rPr>
        <w:t xml:space="preserve">The </w:t>
      </w:r>
      <w:r w:rsidR="00BB6F71">
        <w:rPr>
          <w:lang w:val="en"/>
        </w:rPr>
        <w:t>CEFC work</w:t>
      </w:r>
      <w:r w:rsidR="000B1801">
        <w:rPr>
          <w:lang w:val="en"/>
        </w:rPr>
        <w:t>s</w:t>
      </w:r>
      <w:r w:rsidR="00BB6F71">
        <w:rPr>
          <w:lang w:val="en"/>
        </w:rPr>
        <w:t xml:space="preserve"> with project proponents and any co-financiers to secure finance for </w:t>
      </w:r>
      <w:r w:rsidR="006B6F89">
        <w:rPr>
          <w:lang w:val="en"/>
        </w:rPr>
        <w:t>qualifying</w:t>
      </w:r>
      <w:r w:rsidR="00BB6F71">
        <w:rPr>
          <w:lang w:val="en"/>
        </w:rPr>
        <w:t xml:space="preserve"> projects. It may provide concessional finance in the form of lower pricing, higher risk</w:t>
      </w:r>
      <w:r w:rsidR="006B6F89">
        <w:rPr>
          <w:lang w:val="en"/>
        </w:rPr>
        <w:t xml:space="preserve"> </w:t>
      </w:r>
      <w:r w:rsidR="00BB6F71">
        <w:rPr>
          <w:lang w:val="en"/>
        </w:rPr>
        <w:t xml:space="preserve">and/or longer duration </w:t>
      </w:r>
      <w:r w:rsidR="006B6F89">
        <w:rPr>
          <w:lang w:val="en"/>
        </w:rPr>
        <w:t xml:space="preserve">packages </w:t>
      </w:r>
      <w:r w:rsidR="00BB6F71">
        <w:rPr>
          <w:lang w:val="en"/>
        </w:rPr>
        <w:t>(</w:t>
      </w:r>
      <w:r w:rsidR="00BB6F71">
        <w:t xml:space="preserve">Clean Energy Finance </w:t>
      </w:r>
      <w:r w:rsidR="006B6F89">
        <w:t>Corporation </w:t>
      </w:r>
      <w:r w:rsidR="00BB6F71">
        <w:t>2013a</w:t>
      </w:r>
      <w:r w:rsidR="00BB6F71">
        <w:rPr>
          <w:lang w:val="en"/>
        </w:rPr>
        <w:t>).</w:t>
      </w:r>
      <w:r w:rsidR="006B6F89">
        <w:rPr>
          <w:lang w:val="en"/>
        </w:rPr>
        <w:t xml:space="preserve"> </w:t>
      </w:r>
      <w:r w:rsidR="00BB6F71">
        <w:rPr>
          <w:lang w:val="en"/>
        </w:rPr>
        <w:t xml:space="preserve">To do this, the CEFC accepts a higher level of risk — relative to expected returns — than do project financiers </w:t>
      </w:r>
      <w:r w:rsidR="006B6F89">
        <w:rPr>
          <w:lang w:val="en"/>
        </w:rPr>
        <w:t xml:space="preserve">with which </w:t>
      </w:r>
      <w:r w:rsidR="00BB6F71">
        <w:rPr>
          <w:lang w:val="en"/>
        </w:rPr>
        <w:t>the CEFC directly competes (box </w:t>
      </w:r>
      <w:r w:rsidR="00250E4C">
        <w:rPr>
          <w:lang w:val="en"/>
        </w:rPr>
        <w:t>5.1</w:t>
      </w:r>
      <w:r w:rsidR="00BB6F71">
        <w:rPr>
          <w:lang w:val="en"/>
        </w:rPr>
        <w:t xml:space="preserve">). </w:t>
      </w:r>
      <w:r w:rsidR="006B6F89">
        <w:rPr>
          <w:lang w:val="en"/>
        </w:rPr>
        <w:t xml:space="preserve">The </w:t>
      </w:r>
      <w:r w:rsidR="00BB6F71">
        <w:rPr>
          <w:lang w:val="en"/>
        </w:rPr>
        <w:t>higher level of risk is borne by the Australian Government.</w:t>
      </w:r>
    </w:p>
    <w:p w:rsidR="00BB6F71" w:rsidRDefault="00BB6F71" w:rsidP="00BB6F7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B6F71" w:rsidTr="004D6B6E">
        <w:tc>
          <w:tcPr>
            <w:tcW w:w="8771" w:type="dxa"/>
            <w:tcBorders>
              <w:top w:val="single" w:sz="6" w:space="0" w:color="auto"/>
              <w:bottom w:val="nil"/>
            </w:tcBorders>
          </w:tcPr>
          <w:p w:rsidR="00BB6F71" w:rsidRDefault="00BB6F71" w:rsidP="0002075F">
            <w:pPr>
              <w:pStyle w:val="BoxTitle"/>
            </w:pPr>
            <w:r>
              <w:rPr>
                <w:b w:val="0"/>
              </w:rPr>
              <w:t xml:space="preserve">Box </w:t>
            </w:r>
            <w:bookmarkStart w:id="9" w:name="OLE_LINK2"/>
            <w:r w:rsidR="004363F7">
              <w:rPr>
                <w:b w:val="0"/>
              </w:rPr>
              <w:t>5.</w:t>
            </w:r>
            <w:r w:rsidR="00F04E7E">
              <w:rPr>
                <w:b w:val="0"/>
                <w:noProof/>
              </w:rPr>
              <w:t>1</w:t>
            </w:r>
            <w:bookmarkEnd w:id="9"/>
            <w:r>
              <w:tab/>
              <w:t xml:space="preserve">Clean Energy Finance Corporation’s funding of the </w:t>
            </w:r>
            <w:r>
              <w:rPr>
                <w:lang w:val="en"/>
              </w:rPr>
              <w:t>Macarthur Wind Farm</w:t>
            </w:r>
          </w:p>
        </w:tc>
      </w:tr>
      <w:tr w:rsidR="00BB6F71" w:rsidTr="004D6B6E">
        <w:trPr>
          <w:cantSplit/>
        </w:trPr>
        <w:tc>
          <w:tcPr>
            <w:tcW w:w="8771" w:type="dxa"/>
            <w:tcBorders>
              <w:top w:val="nil"/>
              <w:left w:val="single" w:sz="6" w:space="0" w:color="auto"/>
              <w:bottom w:val="nil"/>
              <w:right w:val="single" w:sz="6" w:space="0" w:color="auto"/>
            </w:tcBorders>
          </w:tcPr>
          <w:p w:rsidR="00BB6F71" w:rsidRPr="000E50D2" w:rsidRDefault="00BB6F71" w:rsidP="004D6B6E">
            <w:pPr>
              <w:pStyle w:val="Box"/>
            </w:pPr>
            <w:r>
              <w:t xml:space="preserve">In July 2013, </w:t>
            </w:r>
            <w:r w:rsidR="00EC6164">
              <w:t xml:space="preserve">the </w:t>
            </w:r>
            <w:r w:rsidRPr="000E50D2">
              <w:t xml:space="preserve">CEFC </w:t>
            </w:r>
            <w:r>
              <w:t>announced details of its first transaction — a $50 million</w:t>
            </w:r>
            <w:r w:rsidRPr="000E50D2">
              <w:t xml:space="preserve"> refinancing</w:t>
            </w:r>
            <w:r>
              <w:t xml:space="preserve"> </w:t>
            </w:r>
            <w:r w:rsidRPr="000E50D2">
              <w:t xml:space="preserve">of </w:t>
            </w:r>
            <w:r>
              <w:t>the</w:t>
            </w:r>
            <w:r w:rsidRPr="000E50D2">
              <w:t xml:space="preserve"> $1</w:t>
            </w:r>
            <w:r>
              <w:t> </w:t>
            </w:r>
            <w:r w:rsidRPr="000E50D2">
              <w:t>b</w:t>
            </w:r>
            <w:r>
              <w:t>illio</w:t>
            </w:r>
            <w:r w:rsidRPr="000E50D2">
              <w:t>n</w:t>
            </w:r>
            <w:r>
              <w:t xml:space="preserve"> Macarthur Wind Farm in Victoria</w:t>
            </w:r>
            <w:r w:rsidRPr="000E50D2">
              <w:t>.</w:t>
            </w:r>
          </w:p>
          <w:p w:rsidR="00BB6F71" w:rsidRDefault="00BB6F71" w:rsidP="004D6B6E">
            <w:pPr>
              <w:pStyle w:val="Box"/>
            </w:pPr>
            <w:r>
              <w:t>P</w:t>
            </w:r>
            <w:r w:rsidRPr="000E50D2">
              <w:t xml:space="preserve">rivate investors </w:t>
            </w:r>
            <w:r>
              <w:t xml:space="preserve">had </w:t>
            </w:r>
            <w:r w:rsidRPr="000E50D2">
              <w:t xml:space="preserve">offered </w:t>
            </w:r>
            <w:r>
              <w:t xml:space="preserve">to provide </w:t>
            </w:r>
            <w:r w:rsidRPr="000E50D2">
              <w:t xml:space="preserve">the </w:t>
            </w:r>
            <w:r>
              <w:t xml:space="preserve">additional </w:t>
            </w:r>
            <w:r w:rsidRPr="000E50D2">
              <w:t xml:space="preserve">finance </w:t>
            </w:r>
            <w:r>
              <w:t xml:space="preserve">that </w:t>
            </w:r>
            <w:r w:rsidRPr="000E50D2">
              <w:t xml:space="preserve">the </w:t>
            </w:r>
            <w:r>
              <w:t>Macarthur Wind Farm</w:t>
            </w:r>
            <w:r w:rsidRPr="000E50D2">
              <w:t xml:space="preserve"> </w:t>
            </w:r>
            <w:r>
              <w:t>sought — at an</w:t>
            </w:r>
            <w:r w:rsidRPr="000E50D2">
              <w:t xml:space="preserve"> interest rate</w:t>
            </w:r>
            <w:r>
              <w:t xml:space="preserve"> that </w:t>
            </w:r>
            <w:r w:rsidRPr="000E50D2">
              <w:t>reflect</w:t>
            </w:r>
            <w:r>
              <w:t>ed</w:t>
            </w:r>
            <w:r w:rsidRPr="000E50D2">
              <w:t xml:space="preserve"> the </w:t>
            </w:r>
            <w:r>
              <w:t>risks associated with a project of this type</w:t>
            </w:r>
            <w:r w:rsidRPr="000E50D2">
              <w:t>.</w:t>
            </w:r>
            <w:r>
              <w:t xml:space="preserve"> The (then) co-owners of the wind farm</w:t>
            </w:r>
            <w:r w:rsidRPr="000E50D2">
              <w:t xml:space="preserve"> </w:t>
            </w:r>
            <w:r>
              <w:t xml:space="preserve">— AGL Energy </w:t>
            </w:r>
            <w:r w:rsidR="00A22A5D">
              <w:t xml:space="preserve">Limited </w:t>
            </w:r>
            <w:r>
              <w:t>and the New Zealand</w:t>
            </w:r>
            <w:r w:rsidRPr="000E50D2">
              <w:t xml:space="preserve"> </w:t>
            </w:r>
            <w:r w:rsidR="00CB5B89">
              <w:t>G</w:t>
            </w:r>
            <w:r>
              <w:t xml:space="preserve">overnment-owned Meridian Energy — instead received funding from </w:t>
            </w:r>
            <w:r w:rsidR="00EC6164">
              <w:t xml:space="preserve">the </w:t>
            </w:r>
            <w:r>
              <w:t xml:space="preserve">CEFC, which offered to provide finance at a lower interest rate than offered by private investors. (Meridian Energy subsequently sold its share of the venture to </w:t>
            </w:r>
            <w:r w:rsidRPr="002D331C">
              <w:t>Malakoff Corporation Berhad</w:t>
            </w:r>
            <w:r>
              <w:t>, a Malaysian company.)</w:t>
            </w:r>
          </w:p>
          <w:p w:rsidR="00BB6F71" w:rsidRDefault="00EC6164" w:rsidP="004D6B6E">
            <w:pPr>
              <w:pStyle w:val="Box"/>
            </w:pPr>
            <w:r>
              <w:t xml:space="preserve">The </w:t>
            </w:r>
            <w:r w:rsidR="00BB6F71">
              <w:t>CEFC effectively provided assistance to the venture in the form of an interest rate subsidy.</w:t>
            </w:r>
          </w:p>
        </w:tc>
      </w:tr>
      <w:tr w:rsidR="00BB6F71" w:rsidTr="004D6B6E">
        <w:trPr>
          <w:cantSplit/>
        </w:trPr>
        <w:tc>
          <w:tcPr>
            <w:tcW w:w="8771" w:type="dxa"/>
            <w:tcBorders>
              <w:top w:val="nil"/>
              <w:left w:val="single" w:sz="6" w:space="0" w:color="auto"/>
              <w:bottom w:val="nil"/>
              <w:right w:val="single" w:sz="6" w:space="0" w:color="auto"/>
            </w:tcBorders>
          </w:tcPr>
          <w:p w:rsidR="00BB6F71" w:rsidRPr="00553258" w:rsidRDefault="00BB6F71" w:rsidP="00EC6164">
            <w:pPr>
              <w:pStyle w:val="BoxSource"/>
            </w:pPr>
            <w:r>
              <w:rPr>
                <w:i/>
              </w:rPr>
              <w:t>Source</w:t>
            </w:r>
            <w:r>
              <w:t>: Clean Energy Finance Corporation</w:t>
            </w:r>
            <w:r w:rsidR="00EC6164">
              <w:t> </w:t>
            </w:r>
            <w:r w:rsidR="00AD6F37">
              <w:t>(</w:t>
            </w:r>
            <w:r>
              <w:t>2013b</w:t>
            </w:r>
            <w:r w:rsidR="00AD6F37">
              <w:t>)</w:t>
            </w:r>
            <w:r>
              <w:t>.</w:t>
            </w:r>
          </w:p>
        </w:tc>
      </w:tr>
      <w:tr w:rsidR="00BB6F71" w:rsidTr="004D6B6E">
        <w:trPr>
          <w:cantSplit/>
        </w:trPr>
        <w:tc>
          <w:tcPr>
            <w:tcW w:w="8771" w:type="dxa"/>
            <w:tcBorders>
              <w:top w:val="nil"/>
              <w:left w:val="single" w:sz="6" w:space="0" w:color="auto"/>
              <w:bottom w:val="single" w:sz="6" w:space="0" w:color="auto"/>
              <w:right w:val="single" w:sz="6" w:space="0" w:color="auto"/>
            </w:tcBorders>
          </w:tcPr>
          <w:p w:rsidR="00BB6F71" w:rsidRDefault="00BB6F71" w:rsidP="004D6B6E">
            <w:pPr>
              <w:pStyle w:val="Box"/>
              <w:spacing w:before="0" w:line="120" w:lineRule="exact"/>
            </w:pPr>
          </w:p>
        </w:tc>
      </w:tr>
      <w:tr w:rsidR="00BB6F71" w:rsidRPr="000863A5" w:rsidTr="004D6B6E">
        <w:tc>
          <w:tcPr>
            <w:tcW w:w="8771" w:type="dxa"/>
            <w:tcBorders>
              <w:top w:val="nil"/>
              <w:left w:val="nil"/>
              <w:bottom w:val="nil"/>
              <w:right w:val="nil"/>
            </w:tcBorders>
          </w:tcPr>
          <w:p w:rsidR="00BB6F71" w:rsidRPr="00626D32" w:rsidRDefault="00BB6F71" w:rsidP="004D6B6E">
            <w:pPr>
              <w:pStyle w:val="BoxSpaceBelow"/>
            </w:pPr>
          </w:p>
        </w:tc>
      </w:tr>
    </w:tbl>
    <w:p w:rsidR="00233164" w:rsidRDefault="00233164" w:rsidP="00233164">
      <w:pPr>
        <w:pStyle w:val="BodyText"/>
        <w:rPr>
          <w:lang w:val="en"/>
        </w:rPr>
      </w:pPr>
      <w:r w:rsidRPr="00C83B0A">
        <w:rPr>
          <w:lang w:val="en"/>
        </w:rPr>
        <w:t>In November 2013, the Australian Government introduced to Parliament the Clean Energy Finance Corporation (Abolition) Bill 2013 with the intention of abolishing the CEFC (Sinodinos 2013). The bill was defeated in the Senate in December 2013. The Clean Energy Finance Corporation (Abolition) Bill 2013 [No. 2] is currently before Parliament.</w:t>
      </w:r>
    </w:p>
    <w:p w:rsidR="00B95FE3" w:rsidRDefault="00B95FE3" w:rsidP="00210800">
      <w:pPr>
        <w:pStyle w:val="Heading3"/>
      </w:pPr>
      <w:r w:rsidRPr="00AA173F">
        <w:lastRenderedPageBreak/>
        <w:t>Regional Australia’s Renewables</w:t>
      </w:r>
      <w:r>
        <w:t xml:space="preserve"> initiative</w:t>
      </w:r>
    </w:p>
    <w:p w:rsidR="006605DE" w:rsidRDefault="006605DE" w:rsidP="00946AC0">
      <w:pPr>
        <w:pStyle w:val="BodyText"/>
      </w:pPr>
      <w:r>
        <w:t xml:space="preserve">In </w:t>
      </w:r>
      <w:r w:rsidR="00CE104B">
        <w:t>June </w:t>
      </w:r>
      <w:r>
        <w:t xml:space="preserve">2013, the </w:t>
      </w:r>
      <w:r w:rsidR="00CE104B">
        <w:t xml:space="preserve">then </w:t>
      </w:r>
      <w:r>
        <w:t>Australian Government announced the</w:t>
      </w:r>
      <w:r w:rsidR="00946AC0">
        <w:t xml:space="preserve"> $</w:t>
      </w:r>
      <w:r w:rsidR="00EC6164">
        <w:t>400 </w:t>
      </w:r>
      <w:r w:rsidR="00946AC0">
        <w:t xml:space="preserve">million </w:t>
      </w:r>
      <w:r w:rsidR="00946AC0" w:rsidRPr="00A90D08">
        <w:t>Regional Australia’s Renewables</w:t>
      </w:r>
      <w:r w:rsidR="00946AC0">
        <w:t xml:space="preserve"> (RAR) initiative </w:t>
      </w:r>
      <w:r w:rsidR="00AD6F37">
        <w:t>that</w:t>
      </w:r>
      <w:r w:rsidR="00A55EEF">
        <w:t xml:space="preserve"> is intended to support </w:t>
      </w:r>
      <w:r w:rsidR="00E642C1">
        <w:t xml:space="preserve">the </w:t>
      </w:r>
      <w:r w:rsidR="0036716B">
        <w:t xml:space="preserve">development of </w:t>
      </w:r>
      <w:r w:rsidR="00A55EEF">
        <w:t xml:space="preserve">qualifying </w:t>
      </w:r>
      <w:r w:rsidR="0036716B">
        <w:t>renewable energy in off-grid and fringe-of-grid areas</w:t>
      </w:r>
      <w:r w:rsidR="008D73F7">
        <w:t xml:space="preserve"> (Gray 2013</w:t>
      </w:r>
      <w:r w:rsidR="00C53A88">
        <w:t>a</w:t>
      </w:r>
      <w:r w:rsidR="008D73F7">
        <w:t>)</w:t>
      </w:r>
      <w:r w:rsidR="0036716B">
        <w:t>. The initiative comprises</w:t>
      </w:r>
      <w:r w:rsidR="008D73F7">
        <w:t xml:space="preserve"> </w:t>
      </w:r>
      <w:r w:rsidR="008D73F7" w:rsidRPr="00AD6F37">
        <w:t>the</w:t>
      </w:r>
      <w:r w:rsidR="00946AC0" w:rsidRPr="00AD6F37">
        <w:t xml:space="preserve"> </w:t>
      </w:r>
      <w:r w:rsidR="008D73F7" w:rsidRPr="00AD6F37">
        <w:t xml:space="preserve">RAR </w:t>
      </w:r>
      <w:r w:rsidR="00946AC0" w:rsidRPr="00AD6F37">
        <w:t xml:space="preserve">Industry </w:t>
      </w:r>
      <w:r w:rsidR="008D73F7" w:rsidRPr="00AD6F37">
        <w:t>P</w:t>
      </w:r>
      <w:r w:rsidR="00946AC0" w:rsidRPr="00AD6F37">
        <w:t xml:space="preserve">rogram and </w:t>
      </w:r>
      <w:r w:rsidR="008D73F7" w:rsidRPr="00AD6F37">
        <w:t>the</w:t>
      </w:r>
      <w:r w:rsidR="00946AC0" w:rsidRPr="00AD6F37">
        <w:t xml:space="preserve"> Community</w:t>
      </w:r>
      <w:r w:rsidR="008D73F7" w:rsidRPr="00AD6F37">
        <w:t xml:space="preserve"> and Regional Renewable Energy Program</w:t>
      </w:r>
      <w:r w:rsidRPr="00AD6F37">
        <w:t>.</w:t>
      </w:r>
      <w:r>
        <w:t xml:space="preserve"> </w:t>
      </w:r>
      <w:r w:rsidR="008D73F7">
        <w:rPr>
          <w:rFonts w:eastAsia="Calibri"/>
          <w:szCs w:val="24"/>
          <w:lang w:eastAsia="en-US"/>
        </w:rPr>
        <w:t xml:space="preserve">These programs support the application of renewable energy </w:t>
      </w:r>
      <w:r w:rsidR="00A55EEF">
        <w:rPr>
          <w:rFonts w:eastAsia="Calibri"/>
          <w:szCs w:val="24"/>
          <w:lang w:eastAsia="en-US"/>
        </w:rPr>
        <w:t>technology</w:t>
      </w:r>
      <w:r w:rsidR="008D73F7">
        <w:rPr>
          <w:rFonts w:eastAsia="Calibri"/>
          <w:szCs w:val="24"/>
          <w:lang w:eastAsia="en-US"/>
        </w:rPr>
        <w:t xml:space="preserve"> suitable for industrial applications and work</w:t>
      </w:r>
      <w:r w:rsidR="008D73F7">
        <w:t xml:space="preserve"> with electricity distributers to demonstrate </w:t>
      </w:r>
      <w:r w:rsidR="00A55EEF">
        <w:t>qualifying</w:t>
      </w:r>
      <w:r w:rsidR="008D73F7">
        <w:t xml:space="preserve"> energy technologies that can feed into community grids.</w:t>
      </w:r>
    </w:p>
    <w:p w:rsidR="006605DE" w:rsidRDefault="00946AC0" w:rsidP="00946AC0">
      <w:pPr>
        <w:pStyle w:val="BodyText"/>
      </w:pPr>
      <w:r>
        <w:t xml:space="preserve">The </w:t>
      </w:r>
      <w:r w:rsidR="00A55EEF">
        <w:t>measure</w:t>
      </w:r>
      <w:r>
        <w:t xml:space="preserve"> is funded by the $</w:t>
      </w:r>
      <w:r w:rsidR="00CE104B">
        <w:t>3 </w:t>
      </w:r>
      <w:r>
        <w:t xml:space="preserve">billion Australian Renewable Energy Agency (ARENA) </w:t>
      </w:r>
      <w:r w:rsidR="00897415">
        <w:t>that</w:t>
      </w:r>
      <w:r w:rsidR="00B72CC1">
        <w:t xml:space="preserve"> was </w:t>
      </w:r>
      <w:r>
        <w:t xml:space="preserve">established in </w:t>
      </w:r>
      <w:r w:rsidR="00CE104B">
        <w:t>July </w:t>
      </w:r>
      <w:r>
        <w:t>2012.</w:t>
      </w:r>
    </w:p>
    <w:p w:rsidR="00F6221D" w:rsidRPr="006016BE" w:rsidRDefault="00F6221D" w:rsidP="007D0859">
      <w:pPr>
        <w:pStyle w:val="Heading3"/>
      </w:pPr>
      <w:r w:rsidRPr="006016BE">
        <w:t>Emerging Renewables Program</w:t>
      </w:r>
    </w:p>
    <w:p w:rsidR="00946AC0" w:rsidRDefault="00E4630A" w:rsidP="00946AC0">
      <w:pPr>
        <w:pStyle w:val="BodyText"/>
      </w:pPr>
      <w:r>
        <w:t>In June </w:t>
      </w:r>
      <w:r w:rsidR="00F6221D">
        <w:t>2013</w:t>
      </w:r>
      <w:r w:rsidR="006605DE">
        <w:t xml:space="preserve">, the </w:t>
      </w:r>
      <w:r w:rsidR="00A55EEF">
        <w:t xml:space="preserve">then </w:t>
      </w:r>
      <w:r w:rsidR="006605DE">
        <w:t xml:space="preserve">Australian Government announced that </w:t>
      </w:r>
      <w:r w:rsidR="00F275F4">
        <w:t>ARENA ha</w:t>
      </w:r>
      <w:r w:rsidR="00F6221D">
        <w:t>d</w:t>
      </w:r>
      <w:r w:rsidR="00F275F4">
        <w:t xml:space="preserve"> increased</w:t>
      </w:r>
      <w:r w:rsidR="00946AC0">
        <w:t xml:space="preserve"> </w:t>
      </w:r>
      <w:r w:rsidR="00F275F4">
        <w:t xml:space="preserve">funding for </w:t>
      </w:r>
      <w:r w:rsidR="00946AC0">
        <w:t xml:space="preserve">the </w:t>
      </w:r>
      <w:r w:rsidR="00946AC0" w:rsidRPr="00AD6F37">
        <w:t>Emerging Renewables Program</w:t>
      </w:r>
      <w:r w:rsidR="00F275F4" w:rsidRPr="00AD6F37">
        <w:t xml:space="preserve"> to $</w:t>
      </w:r>
      <w:r w:rsidR="00CE104B" w:rsidRPr="00AD6F37">
        <w:t>215 </w:t>
      </w:r>
      <w:r w:rsidR="00F275F4" w:rsidRPr="00AD6F37">
        <w:t>million</w:t>
      </w:r>
      <w:r w:rsidR="009E3731" w:rsidRPr="00AD6F37">
        <w:t xml:space="preserve">. The </w:t>
      </w:r>
      <w:r w:rsidR="00897415">
        <w:t>p</w:t>
      </w:r>
      <w:r w:rsidR="00F6221D" w:rsidRPr="00AD6F37">
        <w:t>rogram</w:t>
      </w:r>
      <w:r w:rsidR="009E3731">
        <w:t xml:space="preserve"> is intended</w:t>
      </w:r>
      <w:r w:rsidR="00F275F4">
        <w:t xml:space="preserve"> to help prove the commercial potential of technologies (</w:t>
      </w:r>
      <w:r w:rsidR="00CE104B">
        <w:t>Gray </w:t>
      </w:r>
      <w:r w:rsidR="00F275F4">
        <w:t>2013</w:t>
      </w:r>
      <w:r w:rsidR="00C53A88">
        <w:t>a</w:t>
      </w:r>
      <w:r w:rsidR="00F275F4">
        <w:t>).</w:t>
      </w:r>
    </w:p>
    <w:p w:rsidR="00247D97" w:rsidRDefault="00247D97" w:rsidP="00210800">
      <w:pPr>
        <w:pStyle w:val="Heading3"/>
      </w:pPr>
      <w:r w:rsidRPr="00247D97">
        <w:rPr>
          <w:lang w:val="en-US"/>
        </w:rPr>
        <w:t>Advanced Biofuels Investment Readiness Program</w:t>
      </w:r>
    </w:p>
    <w:p w:rsidR="009B5CBC" w:rsidRPr="009B5CBC" w:rsidRDefault="009B5CBC" w:rsidP="009B5CBC">
      <w:pPr>
        <w:pStyle w:val="BodyText"/>
        <w:rPr>
          <w:lang w:val="en"/>
        </w:rPr>
      </w:pPr>
      <w:r w:rsidRPr="009B5CBC">
        <w:rPr>
          <w:lang w:val="en"/>
        </w:rPr>
        <w:t xml:space="preserve">In response to an Advanced Biofuels Study conducted in 2011, </w:t>
      </w:r>
      <w:r w:rsidR="00DC4A15">
        <w:rPr>
          <w:lang w:val="en"/>
        </w:rPr>
        <w:t xml:space="preserve">the Australian Government launched </w:t>
      </w:r>
      <w:r w:rsidRPr="009B5CBC">
        <w:rPr>
          <w:lang w:val="en"/>
        </w:rPr>
        <w:t>a $15 million competitive merit-</w:t>
      </w:r>
      <w:r w:rsidRPr="00AD6F37">
        <w:rPr>
          <w:lang w:val="en"/>
        </w:rPr>
        <w:t xml:space="preserve">based Advanced Biofuels Investment Readiness </w:t>
      </w:r>
      <w:r w:rsidR="00D872B5" w:rsidRPr="00AD6F37">
        <w:rPr>
          <w:lang w:val="en"/>
        </w:rPr>
        <w:t>(</w:t>
      </w:r>
      <w:r w:rsidR="00D872B5" w:rsidRPr="009B5CBC">
        <w:rPr>
          <w:lang w:val="en"/>
        </w:rPr>
        <w:t xml:space="preserve">ABIR) </w:t>
      </w:r>
      <w:r w:rsidRPr="00AD6F37">
        <w:rPr>
          <w:lang w:val="en"/>
        </w:rPr>
        <w:t xml:space="preserve">Program </w:t>
      </w:r>
      <w:r w:rsidRPr="009B5CBC">
        <w:rPr>
          <w:lang w:val="en"/>
        </w:rPr>
        <w:t xml:space="preserve">in </w:t>
      </w:r>
      <w:r w:rsidR="00CE104B" w:rsidRPr="009B5CBC">
        <w:rPr>
          <w:lang w:val="en"/>
        </w:rPr>
        <w:t>February</w:t>
      </w:r>
      <w:r w:rsidR="00CE104B">
        <w:rPr>
          <w:lang w:val="en"/>
        </w:rPr>
        <w:t> </w:t>
      </w:r>
      <w:r w:rsidRPr="009B5CBC">
        <w:rPr>
          <w:lang w:val="en"/>
        </w:rPr>
        <w:t>2012</w:t>
      </w:r>
      <w:r w:rsidR="00A22A5D">
        <w:rPr>
          <w:lang w:val="en"/>
        </w:rPr>
        <w:t xml:space="preserve"> (Ferguson</w:t>
      </w:r>
      <w:r w:rsidR="0031515F">
        <w:rPr>
          <w:lang w:val="en"/>
        </w:rPr>
        <w:t> </w:t>
      </w:r>
      <w:r w:rsidR="00A22A5D">
        <w:rPr>
          <w:lang w:val="en"/>
        </w:rPr>
        <w:t>2012)</w:t>
      </w:r>
      <w:r w:rsidRPr="009B5CBC">
        <w:rPr>
          <w:lang w:val="en"/>
        </w:rPr>
        <w:t>.</w:t>
      </w:r>
      <w:r w:rsidR="00CE104B">
        <w:rPr>
          <w:lang w:val="en"/>
        </w:rPr>
        <w:t xml:space="preserve"> </w:t>
      </w:r>
      <w:r w:rsidR="00215F9C">
        <w:rPr>
          <w:lang w:val="en"/>
        </w:rPr>
        <w:t>ARENA assumed responsib</w:t>
      </w:r>
      <w:r w:rsidR="00E4630A">
        <w:rPr>
          <w:lang w:val="en"/>
        </w:rPr>
        <w:t>ility for the ABIR Program on 1 </w:t>
      </w:r>
      <w:r w:rsidR="00215F9C">
        <w:rPr>
          <w:lang w:val="en"/>
        </w:rPr>
        <w:t>July</w:t>
      </w:r>
      <w:r w:rsidR="00E4630A">
        <w:rPr>
          <w:lang w:val="en"/>
        </w:rPr>
        <w:t> </w:t>
      </w:r>
      <w:r w:rsidR="00215F9C">
        <w:rPr>
          <w:lang w:val="en"/>
        </w:rPr>
        <w:t xml:space="preserve">2012. </w:t>
      </w:r>
      <w:r w:rsidR="005B602F">
        <w:rPr>
          <w:lang w:val="en"/>
        </w:rPr>
        <w:t xml:space="preserve">The </w:t>
      </w:r>
      <w:r w:rsidR="009E3731">
        <w:rPr>
          <w:lang w:val="en"/>
        </w:rPr>
        <w:t xml:space="preserve">ABIR Program </w:t>
      </w:r>
      <w:r w:rsidR="00215F9C">
        <w:rPr>
          <w:lang w:val="en"/>
        </w:rPr>
        <w:t>was</w:t>
      </w:r>
      <w:r w:rsidR="009E3731">
        <w:rPr>
          <w:lang w:val="en"/>
        </w:rPr>
        <w:t xml:space="preserve"> intended to </w:t>
      </w:r>
      <w:r w:rsidR="00215F9C" w:rsidRPr="009B5CBC">
        <w:rPr>
          <w:lang w:val="en"/>
        </w:rPr>
        <w:t>support pre-commercial demonstration projects</w:t>
      </w:r>
      <w:r w:rsidR="00215F9C">
        <w:rPr>
          <w:lang w:val="en"/>
        </w:rPr>
        <w:t xml:space="preserve"> that produce high energy renewable fuels that can be ‘dropped in’ to existing refining infrastructure</w:t>
      </w:r>
      <w:r w:rsidRPr="009B5CBC">
        <w:rPr>
          <w:lang w:val="en"/>
        </w:rPr>
        <w:t>.</w:t>
      </w:r>
    </w:p>
    <w:p w:rsidR="00215F9C" w:rsidRDefault="007B3141" w:rsidP="00215F9C">
      <w:pPr>
        <w:pStyle w:val="BodyText"/>
      </w:pPr>
      <w:r>
        <w:t>In</w:t>
      </w:r>
      <w:r w:rsidR="00E4630A">
        <w:t xml:space="preserve"> February </w:t>
      </w:r>
      <w:r w:rsidR="00215F9C">
        <w:t>2013, ARENA announced two successful projects under the ABIR Program:</w:t>
      </w:r>
    </w:p>
    <w:p w:rsidR="00215F9C" w:rsidRPr="00B7588D" w:rsidRDefault="00E4630A" w:rsidP="000B1801">
      <w:pPr>
        <w:pStyle w:val="ListBullet"/>
      </w:pPr>
      <w:r>
        <w:t>$4.4 </w:t>
      </w:r>
      <w:r w:rsidR="00215F9C" w:rsidRPr="00B7588D">
        <w:t>million to Muradel Pty Ltd for its Advancing Established and Integrated Marine Microalgae Biofuel to Commercialisation project in Whyalla, S</w:t>
      </w:r>
      <w:r w:rsidR="00215F9C">
        <w:t>outh Australia; and</w:t>
      </w:r>
    </w:p>
    <w:p w:rsidR="00215F9C" w:rsidRPr="00B7588D" w:rsidRDefault="00E4630A" w:rsidP="000B1801">
      <w:pPr>
        <w:pStyle w:val="ListBullet"/>
      </w:pPr>
      <w:r>
        <w:t>$5.4 </w:t>
      </w:r>
      <w:r w:rsidR="00215F9C" w:rsidRPr="006C085A">
        <w:t>million to Licella Pty Ltd for its Biomass to Bio-crude: Producing Advanced Drop-in Fuels for Australia project in Somersby, N</w:t>
      </w:r>
      <w:r w:rsidR="00215F9C">
        <w:t>ew South Wales</w:t>
      </w:r>
      <w:r w:rsidR="00215F9C" w:rsidRPr="00B7588D">
        <w:t>.</w:t>
      </w:r>
    </w:p>
    <w:p w:rsidR="00215F9C" w:rsidRDefault="00FD55BB" w:rsidP="00215F9C">
      <w:pPr>
        <w:pStyle w:val="BodyText"/>
      </w:pPr>
      <w:r>
        <w:lastRenderedPageBreak/>
        <w:t xml:space="preserve">The ABIR </w:t>
      </w:r>
      <w:r w:rsidR="005B11B0">
        <w:t>P</w:t>
      </w:r>
      <w:r>
        <w:t>rogram has been</w:t>
      </w:r>
      <w:r w:rsidR="00215F9C">
        <w:t xml:space="preserve"> closed and no further assessments under this program will be undertaken. However</w:t>
      </w:r>
      <w:r w:rsidR="00A55EEF">
        <w:t>,</w:t>
      </w:r>
      <w:r w:rsidR="00215F9C">
        <w:t xml:space="preserve"> proponents of biofuel projects are able to apply for funding under the Emerging Renewables Program</w:t>
      </w:r>
      <w:r w:rsidR="0042136B">
        <w:t xml:space="preserve"> </w:t>
      </w:r>
      <w:r w:rsidR="00E4630A">
        <w:t>(ARENA </w:t>
      </w:r>
      <w:r w:rsidR="007B3141">
        <w:t>2014)</w:t>
      </w:r>
      <w:r w:rsidR="00215F9C">
        <w:t>.</w:t>
      </w:r>
    </w:p>
    <w:p w:rsidR="00F12B66" w:rsidRDefault="00F12B66" w:rsidP="00A21D44">
      <w:pPr>
        <w:pStyle w:val="Heading3"/>
      </w:pPr>
      <w:r>
        <w:t>Carbon capture and storage research facilities</w:t>
      </w:r>
    </w:p>
    <w:p w:rsidR="00946AC0" w:rsidRDefault="00E86849" w:rsidP="00A21D44">
      <w:pPr>
        <w:pStyle w:val="BodyText"/>
      </w:pPr>
      <w:r>
        <w:t>In</w:t>
      </w:r>
      <w:r w:rsidR="00946AC0">
        <w:t xml:space="preserve"> </w:t>
      </w:r>
      <w:r w:rsidR="00CE104B">
        <w:t>July </w:t>
      </w:r>
      <w:r w:rsidR="00946AC0">
        <w:t>2013</w:t>
      </w:r>
      <w:r>
        <w:t xml:space="preserve">, the </w:t>
      </w:r>
      <w:r w:rsidR="00CE104B">
        <w:t xml:space="preserve">then </w:t>
      </w:r>
      <w:r>
        <w:t>Australian Government announced that t</w:t>
      </w:r>
      <w:r w:rsidR="00946AC0">
        <w:t xml:space="preserve">he </w:t>
      </w:r>
      <w:r w:rsidR="00B96E53">
        <w:t>CRC</w:t>
      </w:r>
      <w:r w:rsidR="00946AC0">
        <w:t xml:space="preserve"> for Greenhouse Gas Technologies</w:t>
      </w:r>
      <w:r w:rsidR="00D721FB">
        <w:t xml:space="preserve"> will be eligible to receive over $</w:t>
      </w:r>
      <w:r w:rsidR="00CE104B">
        <w:t>50 </w:t>
      </w:r>
      <w:r w:rsidR="00D721FB">
        <w:t>million to develop a new network of carbon capture and storage research facil</w:t>
      </w:r>
      <w:r w:rsidR="005B602F">
        <w:t>ities. The funding is intended to</w:t>
      </w:r>
      <w:r w:rsidR="00D721FB">
        <w:t xml:space="preserve"> support a series of field facilities, onshore and offshore monitoring systems and laboratories.</w:t>
      </w:r>
      <w:r w:rsidR="00901F00">
        <w:t xml:space="preserve"> The project falls under the Clean Energy Future package (</w:t>
      </w:r>
      <w:r w:rsidR="00CE104B">
        <w:t>Gray </w:t>
      </w:r>
      <w:r w:rsidR="00901F00">
        <w:t>2013</w:t>
      </w:r>
      <w:r w:rsidR="0083652C">
        <w:t>b</w:t>
      </w:r>
      <w:r w:rsidR="00901F00">
        <w:t>).</w:t>
      </w:r>
    </w:p>
    <w:p w:rsidR="00601F00" w:rsidRDefault="00601F00" w:rsidP="00210800">
      <w:pPr>
        <w:pStyle w:val="Heading3"/>
      </w:pPr>
      <w:r>
        <w:t>Renewable Energy Target</w:t>
      </w:r>
      <w:r w:rsidR="00210800">
        <w:t xml:space="preserve"> s</w:t>
      </w:r>
      <w:r w:rsidRPr="002A1C1B">
        <w:t>cheme</w:t>
      </w:r>
    </w:p>
    <w:p w:rsidR="002A1C1B" w:rsidRDefault="002A1C1B" w:rsidP="00244450">
      <w:pPr>
        <w:pStyle w:val="BodyText"/>
      </w:pPr>
      <w:r>
        <w:t>In</w:t>
      </w:r>
      <w:r w:rsidRPr="002A1C1B">
        <w:t xml:space="preserve"> </w:t>
      </w:r>
      <w:r w:rsidR="00CE104B" w:rsidRPr="002A1C1B">
        <w:t>February</w:t>
      </w:r>
      <w:r w:rsidR="00CE104B">
        <w:t> </w:t>
      </w:r>
      <w:r w:rsidRPr="002A1C1B">
        <w:t>2014, the Australian Government released the terms of reference for a review into the Renewable Energy Target (RET) Scheme. The review will ‘consider the contribution of the</w:t>
      </w:r>
      <w:r w:rsidR="00B96E53">
        <w:t xml:space="preserve"> </w:t>
      </w:r>
      <w:r w:rsidRPr="002A1C1B">
        <w:t>RET in reducing emissions</w:t>
      </w:r>
      <w:r w:rsidR="00B96E53">
        <w:t xml:space="preserve">, its impact on electricity prices and energy markets, </w:t>
      </w:r>
      <w:r w:rsidRPr="002A1C1B">
        <w:t xml:space="preserve">as well as its costs and benefits </w:t>
      </w:r>
      <w:r w:rsidR="00B96E53">
        <w:t>for</w:t>
      </w:r>
      <w:r w:rsidRPr="002A1C1B">
        <w:t xml:space="preserve"> the renewable energy sector, the manufacturing sector and Australian ho</w:t>
      </w:r>
      <w:r w:rsidR="005C7DAA">
        <w:t>useholds’ (</w:t>
      </w:r>
      <w:r w:rsidRPr="002A1C1B">
        <w:t>Macfarlane</w:t>
      </w:r>
      <w:r w:rsidR="005C7DAA">
        <w:t xml:space="preserve"> and </w:t>
      </w:r>
      <w:r w:rsidR="00CE104B">
        <w:t>Hunt </w:t>
      </w:r>
      <w:r w:rsidRPr="002A1C1B">
        <w:t>2014).</w:t>
      </w:r>
      <w:r w:rsidR="00A1420F">
        <w:t xml:space="preserve"> The review </w:t>
      </w:r>
      <w:r w:rsidR="00BB61AC">
        <w:t xml:space="preserve">is due to report </w:t>
      </w:r>
      <w:r w:rsidR="000B1801">
        <w:t>in</w:t>
      </w:r>
      <w:r w:rsidR="00BB61AC">
        <w:t xml:space="preserve"> </w:t>
      </w:r>
      <w:r w:rsidR="00A1420F">
        <w:t>mid</w:t>
      </w:r>
      <w:r w:rsidR="0031515F">
        <w:noBreakHyphen/>
      </w:r>
      <w:r w:rsidR="00A1420F">
        <w:t>2014.</w:t>
      </w:r>
    </w:p>
    <w:p w:rsidR="00884330" w:rsidRDefault="00884330" w:rsidP="00884330">
      <w:pPr>
        <w:pStyle w:val="Heading3"/>
      </w:pPr>
      <w:r>
        <w:t>Emissions Reduction Fund White Paper</w:t>
      </w:r>
    </w:p>
    <w:p w:rsidR="00884330" w:rsidRPr="00884330" w:rsidRDefault="00884330" w:rsidP="00884330">
      <w:pPr>
        <w:pStyle w:val="BodyText"/>
      </w:pPr>
      <w:r>
        <w:t>In April 2014, the Australian Government released the Emissions Reduction Fund White Paper. The White Paper</w:t>
      </w:r>
      <w:r w:rsidR="00762469">
        <w:t xml:space="preserve"> sets out the</w:t>
      </w:r>
      <w:r>
        <w:t xml:space="preserve"> design for the Emissions Reduction Fund, which is intended to be the main element of the Government’s climate change policy. According to the announcement, the forward estimates commitment to the Emissions Reduction Fund will be $2.55 billion, to be used largely for purchasing emissions reductions (Hunt 2014).</w:t>
      </w:r>
      <w:r w:rsidR="00A55EEF">
        <w:t xml:space="preserve"> While the program is </w:t>
      </w:r>
      <w:r w:rsidR="00076D50">
        <w:t xml:space="preserve">to be </w:t>
      </w:r>
      <w:r w:rsidR="00A55EEF">
        <w:t xml:space="preserve">directed at environmental goals, </w:t>
      </w:r>
      <w:r w:rsidR="00B33930">
        <w:t>it will have industry assistance implications to the extent that</w:t>
      </w:r>
      <w:r w:rsidR="00076D50">
        <w:t xml:space="preserve"> it</w:t>
      </w:r>
      <w:r w:rsidR="00B33930">
        <w:t xml:space="preserve"> favour</w:t>
      </w:r>
      <w:r w:rsidR="00076D50">
        <w:t>s</w:t>
      </w:r>
      <w:r w:rsidR="00B33930">
        <w:t xml:space="preserve"> some activities over others.</w:t>
      </w:r>
    </w:p>
    <w:p w:rsidR="00ED78EF" w:rsidRPr="00ED78EF" w:rsidRDefault="00036D9A" w:rsidP="00830731">
      <w:pPr>
        <w:pStyle w:val="Heading2"/>
      </w:pPr>
      <w:r>
        <w:t>5.</w:t>
      </w:r>
      <w:r w:rsidR="00F04E7E">
        <w:rPr>
          <w:noProof/>
        </w:rPr>
        <w:t>5</w:t>
      </w:r>
      <w:r w:rsidR="00ED78EF" w:rsidRPr="00ED78EF">
        <w:tab/>
        <w:t>Regional assistance programs</w:t>
      </w:r>
    </w:p>
    <w:p w:rsidR="00ED78EF" w:rsidRPr="00830731" w:rsidRDefault="00ED78EF" w:rsidP="00830731">
      <w:pPr>
        <w:pStyle w:val="BodyText"/>
      </w:pPr>
      <w:r w:rsidRPr="00830731">
        <w:t xml:space="preserve">This section reports on assistance announcements directed at regional activities, including assistance to regional business, infrastructure development and natural disaster recovery support that may have industry assistance implications. Federal </w:t>
      </w:r>
      <w:r w:rsidRPr="00830731">
        <w:lastRenderedPageBreak/>
        <w:t xml:space="preserve">support in regions is </w:t>
      </w:r>
      <w:r w:rsidR="00A25D9C">
        <w:t>often</w:t>
      </w:r>
      <w:r w:rsidRPr="00830731">
        <w:t xml:space="preserve"> associated with co-contributions by relevant state jurisdictions.</w:t>
      </w:r>
    </w:p>
    <w:p w:rsidR="00ED78EF" w:rsidRPr="00830731" w:rsidRDefault="00ED78EF" w:rsidP="00830731">
      <w:pPr>
        <w:pStyle w:val="BodyText"/>
      </w:pPr>
      <w:r w:rsidRPr="00830731">
        <w:t>While a</w:t>
      </w:r>
      <w:r w:rsidR="00BB61AC">
        <w:t>nnouncements</w:t>
      </w:r>
      <w:r w:rsidRPr="00830731">
        <w:t xml:space="preserve"> covered in this section </w:t>
      </w:r>
      <w:r w:rsidR="00BB61AC">
        <w:t>relate to measures with</w:t>
      </w:r>
      <w:r w:rsidRPr="00830731">
        <w:t xml:space="preserve"> a regional focus, including the maintenance of certain regional employment, the measures are often targeted at specific businesses, activities or industries. </w:t>
      </w:r>
      <w:r w:rsidR="00BB61AC">
        <w:t>T</w:t>
      </w:r>
      <w:r w:rsidRPr="00830731">
        <w:t>he level of assistance provided may not be large at the national level, but the subsidy equivalent to recipient businesses could be substantial.</w:t>
      </w:r>
    </w:p>
    <w:p w:rsidR="00CE104B" w:rsidRDefault="00CE104B" w:rsidP="00A03BB9">
      <w:pPr>
        <w:pStyle w:val="Heading3"/>
      </w:pPr>
      <w:r>
        <w:t>Adjustment assistance to passenger motor vehicle producing regions</w:t>
      </w:r>
    </w:p>
    <w:p w:rsidR="009E3731" w:rsidRPr="00A03BB9" w:rsidRDefault="009E3731" w:rsidP="0062425B">
      <w:pPr>
        <w:pStyle w:val="Heading4"/>
      </w:pPr>
      <w:r w:rsidRPr="00A03BB9">
        <w:t xml:space="preserve">Melbourne’s North Innovation and Investment Fund and Geelong </w:t>
      </w:r>
      <w:r w:rsidR="009B282A">
        <w:t>R</w:t>
      </w:r>
      <w:r w:rsidRPr="00A03BB9">
        <w:t>egion Innovation and Investment Fund</w:t>
      </w:r>
    </w:p>
    <w:p w:rsidR="009E3731" w:rsidRPr="009E3731" w:rsidRDefault="009E3731" w:rsidP="00A21D44">
      <w:pPr>
        <w:pStyle w:val="BodyText"/>
      </w:pPr>
      <w:r w:rsidRPr="009E3731">
        <w:t xml:space="preserve">The Melbourne’s North Innovation and Investment Fund was established to give effect to an announcement by the </w:t>
      </w:r>
      <w:r w:rsidR="00CE104B">
        <w:t xml:space="preserve">then </w:t>
      </w:r>
      <w:r w:rsidRPr="009E3731">
        <w:t xml:space="preserve">Australian </w:t>
      </w:r>
      <w:r w:rsidR="00CE104B">
        <w:t xml:space="preserve">Government </w:t>
      </w:r>
      <w:r w:rsidRPr="009E3731">
        <w:t xml:space="preserve">and </w:t>
      </w:r>
      <w:r w:rsidR="00CE104B">
        <w:t xml:space="preserve">the </w:t>
      </w:r>
      <w:r w:rsidRPr="009E3731">
        <w:t>Victorian Government</w:t>
      </w:r>
      <w:r w:rsidR="00CE104B">
        <w:t xml:space="preserve"> </w:t>
      </w:r>
      <w:r w:rsidRPr="009E3731">
        <w:t xml:space="preserve">on </w:t>
      </w:r>
      <w:r w:rsidR="00CE104B" w:rsidRPr="009E3731">
        <w:t>23</w:t>
      </w:r>
      <w:r w:rsidR="00CE104B">
        <w:t> </w:t>
      </w:r>
      <w:r w:rsidR="00CE104B" w:rsidRPr="009E3731">
        <w:t>May</w:t>
      </w:r>
      <w:r w:rsidR="00CE104B">
        <w:t> </w:t>
      </w:r>
      <w:r w:rsidRPr="009E3731">
        <w:t xml:space="preserve">2013 that they would provide funding support to regions affected by Ford </w:t>
      </w:r>
      <w:r w:rsidR="005B29B0">
        <w:t xml:space="preserve">Motor Company of </w:t>
      </w:r>
      <w:r w:rsidRPr="009E3731">
        <w:t xml:space="preserve">Australia’s </w:t>
      </w:r>
      <w:r w:rsidR="003E55C2">
        <w:t>cessation of</w:t>
      </w:r>
      <w:r w:rsidRPr="009E3731">
        <w:t xml:space="preserve"> vehicle and engine manufacturing operations in Australia</w:t>
      </w:r>
      <w:r w:rsidR="0031515F">
        <w:t>, which the company announced will occur by</w:t>
      </w:r>
      <w:r w:rsidRPr="009E3731">
        <w:t xml:space="preserve"> </w:t>
      </w:r>
      <w:r w:rsidR="00CE104B" w:rsidRPr="009E3731">
        <w:t>October</w:t>
      </w:r>
      <w:r w:rsidR="00CE104B">
        <w:t> </w:t>
      </w:r>
      <w:r w:rsidRPr="009E3731">
        <w:t>2016.</w:t>
      </w:r>
      <w:r w:rsidR="0043351F">
        <w:t xml:space="preserve"> </w:t>
      </w:r>
    </w:p>
    <w:p w:rsidR="009E3731" w:rsidRPr="00BC3CE9" w:rsidRDefault="009E3731" w:rsidP="00A21D44">
      <w:pPr>
        <w:pStyle w:val="BodyText"/>
      </w:pPr>
      <w:r w:rsidRPr="009E3731">
        <w:t>Funding over the three financial years from 2013</w:t>
      </w:r>
      <w:r w:rsidR="00A05FB8">
        <w:noBreakHyphen/>
      </w:r>
      <w:r w:rsidRPr="009E3731">
        <w:t>14 to 2015</w:t>
      </w:r>
      <w:r w:rsidR="00A05FB8">
        <w:noBreakHyphen/>
      </w:r>
      <w:r w:rsidRPr="009E3731">
        <w:t xml:space="preserve">16 will be provided to the Melbourne North region and </w:t>
      </w:r>
      <w:r w:rsidR="00EC2046">
        <w:t xml:space="preserve">the </w:t>
      </w:r>
      <w:r w:rsidRPr="009E3731">
        <w:t>Geelong region (funding to the latter will be through the Geelong Region Innovation and Investment Fund</w:t>
      </w:r>
      <w:r w:rsidR="001519D2">
        <w:t xml:space="preserve"> which was </w:t>
      </w:r>
      <w:r w:rsidR="001519D2" w:rsidRPr="00BC3CE9">
        <w:t>established in 2007</w:t>
      </w:r>
      <w:r w:rsidR="00273A41" w:rsidRPr="00BC3CE9">
        <w:t xml:space="preserve"> (</w:t>
      </w:r>
      <w:r w:rsidR="00273A41" w:rsidRPr="00BC3CE9">
        <w:rPr>
          <w:i/>
        </w:rPr>
        <w:t>Trade &amp; Assistance Review 2006</w:t>
      </w:r>
      <w:r w:rsidR="00A05FB8" w:rsidRPr="00BC3CE9">
        <w:rPr>
          <w:i/>
        </w:rPr>
        <w:noBreakHyphen/>
      </w:r>
      <w:r w:rsidR="00273A41" w:rsidRPr="00BC3CE9">
        <w:rPr>
          <w:i/>
        </w:rPr>
        <w:t>07)</w:t>
      </w:r>
      <w:r w:rsidRPr="00BC3CE9">
        <w:t>). The Australian Government will contribute $</w:t>
      </w:r>
      <w:r w:rsidR="00CE104B" w:rsidRPr="00BC3CE9">
        <w:t>30 </w:t>
      </w:r>
      <w:r w:rsidRPr="00BC3CE9">
        <w:t>million to the two funds; the Victorian Government $</w:t>
      </w:r>
      <w:r w:rsidR="00CE104B" w:rsidRPr="00BC3CE9">
        <w:t>9 </w:t>
      </w:r>
      <w:r w:rsidRPr="00BC3CE9">
        <w:t xml:space="preserve">million; and Ford </w:t>
      </w:r>
      <w:r w:rsidR="005B29B0" w:rsidRPr="00BC3CE9">
        <w:t xml:space="preserve">Motor Company of </w:t>
      </w:r>
      <w:r w:rsidRPr="00BC3CE9">
        <w:t>Australia $</w:t>
      </w:r>
      <w:r w:rsidR="00CE104B" w:rsidRPr="00BC3CE9">
        <w:t>10 </w:t>
      </w:r>
      <w:r w:rsidRPr="00BC3CE9">
        <w:t xml:space="preserve">million. </w:t>
      </w:r>
      <w:r w:rsidR="002F6AB4" w:rsidRPr="00BC3CE9">
        <w:t>T</w:t>
      </w:r>
      <w:r w:rsidRPr="00BC3CE9">
        <w:t>h</w:t>
      </w:r>
      <w:r w:rsidR="00CE104B" w:rsidRPr="00BC3CE9">
        <w:t>e</w:t>
      </w:r>
      <w:r w:rsidRPr="00BC3CE9">
        <w:t xml:space="preserve"> </w:t>
      </w:r>
      <w:r w:rsidR="00EA2D99" w:rsidRPr="00BC3CE9">
        <w:t xml:space="preserve">total funding of </w:t>
      </w:r>
      <w:r w:rsidRPr="00BC3CE9">
        <w:t>$</w:t>
      </w:r>
      <w:r w:rsidR="00CE104B" w:rsidRPr="00BC3CE9">
        <w:t>49 </w:t>
      </w:r>
      <w:r w:rsidRPr="00BC3CE9">
        <w:t>million</w:t>
      </w:r>
      <w:r w:rsidR="00CE104B" w:rsidRPr="00BC3CE9">
        <w:t xml:space="preserve"> </w:t>
      </w:r>
      <w:r w:rsidR="00A05FB8" w:rsidRPr="00BC3CE9">
        <w:t>is to</w:t>
      </w:r>
      <w:r w:rsidR="002F6AB4" w:rsidRPr="00BC3CE9">
        <w:t xml:space="preserve"> be split evenly between the two funds</w:t>
      </w:r>
      <w:r w:rsidRPr="00BC3CE9">
        <w:t xml:space="preserve">. The </w:t>
      </w:r>
      <w:r w:rsidR="00BC3CE9" w:rsidRPr="00BC3CE9">
        <w:t xml:space="preserve">Melbourne’s North Innovation and Investment Fund </w:t>
      </w:r>
      <w:r w:rsidRPr="00BC3CE9">
        <w:t>will provide grants of a minimum of $50 000 that are intended to support ‘innovative, job creation projects that strengthen and diversify the Melbourne North regional economy</w:t>
      </w:r>
      <w:r w:rsidR="004B6C9F">
        <w:t xml:space="preserve"> and employment base</w:t>
      </w:r>
      <w:r w:rsidRPr="00BC3CE9">
        <w:t>’ (AusIndustry</w:t>
      </w:r>
      <w:r w:rsidR="00A05FB8" w:rsidRPr="00BC3CE9">
        <w:t> </w:t>
      </w:r>
      <w:r w:rsidRPr="00BC3CE9">
        <w:t>2013).</w:t>
      </w:r>
    </w:p>
    <w:p w:rsidR="00CE104B" w:rsidRDefault="00B33E17" w:rsidP="00CE104B">
      <w:pPr>
        <w:pStyle w:val="Heading4"/>
      </w:pPr>
      <w:r>
        <w:t>National Industry Investment and Competitiveness Agenda</w:t>
      </w:r>
    </w:p>
    <w:p w:rsidR="00984A9B" w:rsidRDefault="00CE104B" w:rsidP="00CE104B">
      <w:pPr>
        <w:pStyle w:val="BodyText"/>
      </w:pPr>
      <w:r>
        <w:t>In</w:t>
      </w:r>
      <w:r w:rsidRPr="00AA00CA">
        <w:t xml:space="preserve"> December</w:t>
      </w:r>
      <w:r>
        <w:t> </w:t>
      </w:r>
      <w:r w:rsidRPr="00AA00CA">
        <w:t>2013, the Australian Government announced</w:t>
      </w:r>
      <w:r>
        <w:t>:</w:t>
      </w:r>
      <w:r w:rsidRPr="00AA00CA">
        <w:t xml:space="preserve"> </w:t>
      </w:r>
    </w:p>
    <w:p w:rsidR="00984A9B" w:rsidRDefault="00CE104B" w:rsidP="00834B7C">
      <w:pPr>
        <w:pStyle w:val="ListBullet"/>
      </w:pPr>
      <w:r>
        <w:t>measures intended to</w:t>
      </w:r>
      <w:r w:rsidRPr="00AA00CA">
        <w:t xml:space="preserve"> support regions impacted by the wind-down of </w:t>
      </w:r>
      <w:r w:rsidR="005B29B0">
        <w:t xml:space="preserve">General Motors </w:t>
      </w:r>
      <w:r w:rsidRPr="00AA00CA">
        <w:t>Holden’s manufacturing operations;</w:t>
      </w:r>
    </w:p>
    <w:p w:rsidR="00984A9B" w:rsidRDefault="00CE104B" w:rsidP="00834B7C">
      <w:pPr>
        <w:pStyle w:val="ListBullet"/>
      </w:pPr>
      <w:r w:rsidRPr="00AA00CA">
        <w:t>reviews of the South Australian and Victorian economies; and</w:t>
      </w:r>
    </w:p>
    <w:p w:rsidR="00984A9B" w:rsidRDefault="00CE104B" w:rsidP="00834B7C">
      <w:pPr>
        <w:pStyle w:val="ListBullet"/>
      </w:pPr>
      <w:r w:rsidRPr="00AA00CA">
        <w:lastRenderedPageBreak/>
        <w:t xml:space="preserve">development of a National Industry Investment and Competitiveness Agenda </w:t>
      </w:r>
      <w:r w:rsidR="00043837">
        <w:t xml:space="preserve">— to be released later in 2014 — </w:t>
      </w:r>
      <w:r w:rsidR="005E5205">
        <w:t xml:space="preserve">which </w:t>
      </w:r>
      <w:r w:rsidR="009B282A">
        <w:rPr>
          <w:lang w:val="en"/>
        </w:rPr>
        <w:t>will focus on measures intended</w:t>
      </w:r>
      <w:r w:rsidR="005E5205" w:rsidRPr="005E5205">
        <w:rPr>
          <w:lang w:val="en"/>
        </w:rPr>
        <w:t xml:space="preserve"> to promote national competitiveness and productivity</w:t>
      </w:r>
      <w:r w:rsidR="002F6AB4">
        <w:t xml:space="preserve"> (Abbott and </w:t>
      </w:r>
      <w:r w:rsidR="002F6AB4" w:rsidRPr="00B72E64">
        <w:t>Macfarlane</w:t>
      </w:r>
      <w:r w:rsidR="002F6AB4">
        <w:t> 2013).</w:t>
      </w:r>
    </w:p>
    <w:p w:rsidR="00984A9B" w:rsidRDefault="00324BA9" w:rsidP="0057101C">
      <w:pPr>
        <w:pStyle w:val="BodyText"/>
      </w:pPr>
      <w:r>
        <w:t>At the same time, t</w:t>
      </w:r>
      <w:r w:rsidR="008A6F9D">
        <w:t xml:space="preserve">he Australian Government announced its intention to develop a </w:t>
      </w:r>
      <w:r w:rsidR="000C4CEA">
        <w:t>Growth F</w:t>
      </w:r>
      <w:r w:rsidR="008A6F9D">
        <w:t xml:space="preserve">und </w:t>
      </w:r>
      <w:r w:rsidR="009B282A">
        <w:t>as part of the agenda</w:t>
      </w:r>
      <w:r w:rsidR="004F7B15">
        <w:t>,</w:t>
      </w:r>
      <w:r w:rsidR="009B282A">
        <w:t xml:space="preserve"> intended </w:t>
      </w:r>
      <w:r w:rsidR="008A6F9D" w:rsidRPr="00B72E64">
        <w:rPr>
          <w:lang w:val="en"/>
        </w:rPr>
        <w:t xml:space="preserve">to support </w:t>
      </w:r>
      <w:r w:rsidR="009B282A">
        <w:rPr>
          <w:lang w:val="en"/>
        </w:rPr>
        <w:t>projects</w:t>
      </w:r>
      <w:r w:rsidR="008A6F9D" w:rsidRPr="00B72E64">
        <w:rPr>
          <w:lang w:val="en"/>
        </w:rPr>
        <w:t xml:space="preserve"> in regions facing pressure in their manufacturing sectors</w:t>
      </w:r>
      <w:r w:rsidR="000C4CEA">
        <w:t>.</w:t>
      </w:r>
      <w:r w:rsidR="004F7B15">
        <w:t xml:space="preserve"> </w:t>
      </w:r>
      <w:r>
        <w:t xml:space="preserve">In April 2014, the Australian Government announced </w:t>
      </w:r>
      <w:r w:rsidR="000C4CEA">
        <w:t xml:space="preserve">that </w:t>
      </w:r>
      <w:r w:rsidR="0036716B">
        <w:t>the $155 million G</w:t>
      </w:r>
      <w:r w:rsidR="000C4CEA">
        <w:t>rowth</w:t>
      </w:r>
      <w:r w:rsidR="0036716B">
        <w:t xml:space="preserve"> Fund would</w:t>
      </w:r>
      <w:r w:rsidR="00A05FB8">
        <w:t xml:space="preserve"> commence in 2014</w:t>
      </w:r>
      <w:r w:rsidR="00A05FB8">
        <w:noBreakHyphen/>
      </w:r>
      <w:r w:rsidR="0036716B">
        <w:t>15 and</w:t>
      </w:r>
      <w:r w:rsidR="000C4CEA">
        <w:t xml:space="preserve"> include:</w:t>
      </w:r>
    </w:p>
    <w:p w:rsidR="000C4CEA" w:rsidRPr="0036716B" w:rsidRDefault="00A05FB8" w:rsidP="00834B7C">
      <w:pPr>
        <w:pStyle w:val="ListBullet"/>
      </w:pPr>
      <w:r>
        <w:t>a $30 </w:t>
      </w:r>
      <w:r w:rsidR="000C4CEA" w:rsidRPr="0036716B">
        <w:t xml:space="preserve">million Skills and Training Programme </w:t>
      </w:r>
      <w:r w:rsidR="00043837">
        <w:t xml:space="preserve">intended </w:t>
      </w:r>
      <w:r w:rsidR="000C4CEA" w:rsidRPr="0036716B">
        <w:t>to assist automotive employees to have their skills recognised and provide training for new jobs, while they are still employed;</w:t>
      </w:r>
    </w:p>
    <w:p w:rsidR="000C4CEA" w:rsidRPr="0036716B" w:rsidRDefault="00A05FB8" w:rsidP="00834B7C">
      <w:pPr>
        <w:pStyle w:val="ListBullet"/>
      </w:pPr>
      <w:r>
        <w:t>a $15 </w:t>
      </w:r>
      <w:r w:rsidR="000C4CEA" w:rsidRPr="0036716B">
        <w:t xml:space="preserve">million boost to the Automotive Industry Structural Adjustment Programme </w:t>
      </w:r>
      <w:r w:rsidR="00043837">
        <w:t xml:space="preserve">intended </w:t>
      </w:r>
      <w:r w:rsidR="000C4CEA" w:rsidRPr="0036716B">
        <w:t>to provide careers advice and assist automotive employees to secure new jobs;</w:t>
      </w:r>
    </w:p>
    <w:p w:rsidR="000C4CEA" w:rsidRPr="0036716B" w:rsidRDefault="000C4CEA" w:rsidP="00834B7C">
      <w:pPr>
        <w:pStyle w:val="ListBullet"/>
      </w:pPr>
      <w:r w:rsidRPr="0036716B">
        <w:t>a $2</w:t>
      </w:r>
      <w:r w:rsidR="00A05FB8">
        <w:t>0 </w:t>
      </w:r>
      <w:r w:rsidRPr="0036716B">
        <w:t xml:space="preserve">million Automotive Diversification Programme </w:t>
      </w:r>
      <w:r w:rsidR="00043837">
        <w:t xml:space="preserve">intended </w:t>
      </w:r>
      <w:r w:rsidRPr="0036716B">
        <w:t>to assist automotive supply chain firms capable of diversifying to enter new markets;</w:t>
      </w:r>
    </w:p>
    <w:p w:rsidR="000C4CEA" w:rsidRPr="0036716B" w:rsidRDefault="00A05FB8" w:rsidP="00834B7C">
      <w:pPr>
        <w:pStyle w:val="ListBullet"/>
      </w:pPr>
      <w:r>
        <w:t>a $60 </w:t>
      </w:r>
      <w:r w:rsidR="000C4CEA" w:rsidRPr="0036716B">
        <w:t xml:space="preserve">million Next Generation Manufacturing Investment Programme </w:t>
      </w:r>
      <w:r w:rsidR="00043837">
        <w:t xml:space="preserve">intended </w:t>
      </w:r>
      <w:r w:rsidR="000C4CEA" w:rsidRPr="0036716B">
        <w:t>to accelerate private sector investment in high value non-automotive manufacturing sectors in Victoria and South Australia; and</w:t>
      </w:r>
    </w:p>
    <w:p w:rsidR="00324BA9" w:rsidRPr="0036716B" w:rsidRDefault="00A05FB8" w:rsidP="00834B7C">
      <w:pPr>
        <w:pStyle w:val="ListBullet"/>
      </w:pPr>
      <w:r>
        <w:t>a $30 </w:t>
      </w:r>
      <w:r w:rsidR="000C4CEA" w:rsidRPr="0036716B">
        <w:t xml:space="preserve">million Regional Infrastructure Programme </w:t>
      </w:r>
      <w:r w:rsidR="00043837">
        <w:t xml:space="preserve">intended </w:t>
      </w:r>
      <w:r w:rsidR="000C4CEA" w:rsidRPr="0036716B">
        <w:t>to support investment in non</w:t>
      </w:r>
      <w:r w:rsidR="0080585A">
        <w:rPr>
          <w:rFonts w:eastAsia="MS Mincho"/>
        </w:rPr>
        <w:t>-</w:t>
      </w:r>
      <w:r w:rsidR="000C4CEA" w:rsidRPr="0036716B">
        <w:t>manufacturing opportunities in affected regions.</w:t>
      </w:r>
    </w:p>
    <w:p w:rsidR="00984A9B" w:rsidRDefault="005E5205" w:rsidP="00CE104B">
      <w:pPr>
        <w:pStyle w:val="BodyText"/>
      </w:pPr>
      <w:r>
        <w:t xml:space="preserve">The </w:t>
      </w:r>
      <w:r w:rsidR="004B6C9F">
        <w:t>Australian Government</w:t>
      </w:r>
      <w:r>
        <w:t xml:space="preserve"> will contribute $100 million to the Growth Fund, with the remainder to be provided by state government and company contributions (Abbott and </w:t>
      </w:r>
      <w:r w:rsidRPr="00B72E64">
        <w:t>Macfarlane</w:t>
      </w:r>
      <w:r>
        <w:t> 2014).</w:t>
      </w:r>
    </w:p>
    <w:p w:rsidR="00411D58" w:rsidRDefault="00411D58" w:rsidP="00CE104B">
      <w:pPr>
        <w:pStyle w:val="BodyText"/>
      </w:pPr>
      <w:r>
        <w:t xml:space="preserve">The </w:t>
      </w:r>
      <w:r w:rsidR="004B6C9F">
        <w:t xml:space="preserve">Productivity </w:t>
      </w:r>
      <w:r>
        <w:t>Commission</w:t>
      </w:r>
      <w:r w:rsidR="004B6C9F">
        <w:t xml:space="preserve"> submitted its report on</w:t>
      </w:r>
      <w:r>
        <w:t xml:space="preserve"> </w:t>
      </w:r>
      <w:r>
        <w:rPr>
          <w:i/>
        </w:rPr>
        <w:t>Australia’s Automotive Manufacturing Industry</w:t>
      </w:r>
      <w:r>
        <w:t xml:space="preserve"> to the Australian Government on </w:t>
      </w:r>
      <w:r w:rsidR="00307976">
        <w:t>31 March </w:t>
      </w:r>
      <w:r>
        <w:t xml:space="preserve">2014. </w:t>
      </w:r>
      <w:r w:rsidR="005B29B0">
        <w:t>Under the</w:t>
      </w:r>
      <w:r w:rsidR="005B29B0" w:rsidRPr="00AD6F37">
        <w:t xml:space="preserve"> </w:t>
      </w:r>
      <w:r w:rsidR="005B29B0" w:rsidRPr="002E6A13">
        <w:rPr>
          <w:i/>
        </w:rPr>
        <w:t>Productivity Commission Act 1998</w:t>
      </w:r>
      <w:r w:rsidR="00307976">
        <w:rPr>
          <w:i/>
        </w:rPr>
        <w:t xml:space="preserve"> </w:t>
      </w:r>
      <w:r w:rsidR="00307976">
        <w:rPr>
          <w:lang w:val="en"/>
        </w:rPr>
        <w:t>(Cwlth)</w:t>
      </w:r>
      <w:r w:rsidR="005B29B0" w:rsidRPr="00AD6F37">
        <w:t xml:space="preserve">, </w:t>
      </w:r>
      <w:r w:rsidR="005B29B0">
        <w:t>the Government is required to table the final report in each House of the Parliament within 25 sitting days of receipt</w:t>
      </w:r>
      <w:r>
        <w:t>.</w:t>
      </w:r>
    </w:p>
    <w:p w:rsidR="00A03BB9" w:rsidRPr="00A03BB9" w:rsidRDefault="00A03BB9" w:rsidP="007D0859">
      <w:pPr>
        <w:pStyle w:val="Heading3"/>
      </w:pPr>
      <w:r w:rsidRPr="00A03BB9">
        <w:t>McLaren Vale Water Plan</w:t>
      </w:r>
    </w:p>
    <w:p w:rsidR="00A03BB9" w:rsidRPr="00A03BB9" w:rsidRDefault="00A03BB9" w:rsidP="00A21D44">
      <w:pPr>
        <w:pStyle w:val="BodyText"/>
      </w:pPr>
      <w:r w:rsidRPr="00A03BB9">
        <w:t xml:space="preserve">In </w:t>
      </w:r>
      <w:r w:rsidR="00B33E17" w:rsidRPr="00A03BB9">
        <w:t>August</w:t>
      </w:r>
      <w:r w:rsidR="00B33E17">
        <w:t> </w:t>
      </w:r>
      <w:r w:rsidRPr="00A03BB9">
        <w:t>2013, the McLaren Vale Water Plan was launched</w:t>
      </w:r>
      <w:r w:rsidR="004B6C9F">
        <w:t>, with t</w:t>
      </w:r>
      <w:r w:rsidRPr="00A03BB9">
        <w:t xml:space="preserve">he </w:t>
      </w:r>
      <w:r w:rsidR="00B33E17">
        <w:t xml:space="preserve">then </w:t>
      </w:r>
      <w:r w:rsidRPr="00A03BB9">
        <w:t>Australian Government provid</w:t>
      </w:r>
      <w:r w:rsidR="004B6C9F">
        <w:t>ing</w:t>
      </w:r>
      <w:r w:rsidRPr="00A03BB9">
        <w:t xml:space="preserve"> $3.3 million in funding for the plan under t</w:t>
      </w:r>
      <w:r w:rsidRPr="00AD6F37">
        <w:t>he National Water Security Plan for Cities and Towns progra</w:t>
      </w:r>
      <w:r w:rsidRPr="00A03BB9">
        <w:t>m.</w:t>
      </w:r>
    </w:p>
    <w:p w:rsidR="00A03BB9" w:rsidRPr="00A03BB9" w:rsidRDefault="004F7B15" w:rsidP="00A21D44">
      <w:pPr>
        <w:pStyle w:val="BodyText"/>
      </w:pPr>
      <w:r>
        <w:lastRenderedPageBreak/>
        <w:t xml:space="preserve">Under the </w:t>
      </w:r>
      <w:r w:rsidR="00036759">
        <w:t>p</w:t>
      </w:r>
      <w:r>
        <w:t>lan, t</w:t>
      </w:r>
      <w:r w:rsidR="00A03BB9" w:rsidRPr="00A03BB9">
        <w:t xml:space="preserve">he </w:t>
      </w:r>
      <w:r w:rsidR="00036759">
        <w:t>Australian Government</w:t>
      </w:r>
      <w:r w:rsidR="00A03BB9" w:rsidRPr="00A03BB9">
        <w:t xml:space="preserve"> will provide one-off payments to eligible irrigators to connect to the recycled water pipeline and </w:t>
      </w:r>
      <w:r>
        <w:t>pay</w:t>
      </w:r>
      <w:r w:rsidR="00A03BB9" w:rsidRPr="00A03BB9">
        <w:t xml:space="preserve"> for half of the licensing fee charged by the Willunga Basin Water Company (</w:t>
      </w:r>
      <w:r w:rsidR="00B33E17" w:rsidRPr="00A03BB9">
        <w:t>Rishworth</w:t>
      </w:r>
      <w:r w:rsidR="00B33E17">
        <w:t> </w:t>
      </w:r>
      <w:r w:rsidR="00A03BB9" w:rsidRPr="00A03BB9">
        <w:t>2013).</w:t>
      </w:r>
    </w:p>
    <w:p w:rsidR="00D52DB4" w:rsidRDefault="00411D58" w:rsidP="0057101C">
      <w:pPr>
        <w:pStyle w:val="Heading3"/>
      </w:pPr>
      <w:r>
        <w:t xml:space="preserve">Productivity </w:t>
      </w:r>
      <w:r w:rsidR="00244450">
        <w:t xml:space="preserve">Commission inquiry </w:t>
      </w:r>
      <w:r w:rsidR="00036759">
        <w:t>into</w:t>
      </w:r>
      <w:r w:rsidR="00244450">
        <w:t xml:space="preserve"> Tasmanian </w:t>
      </w:r>
      <w:r w:rsidR="00036759">
        <w:t>s</w:t>
      </w:r>
      <w:r w:rsidR="00244450">
        <w:t xml:space="preserve">hipping and </w:t>
      </w:r>
      <w:r w:rsidR="00036759">
        <w:t>f</w:t>
      </w:r>
      <w:r w:rsidR="00244450">
        <w:t>reight</w:t>
      </w:r>
    </w:p>
    <w:p w:rsidR="00244450" w:rsidRDefault="00244450" w:rsidP="00244450">
      <w:pPr>
        <w:pStyle w:val="BodyText"/>
      </w:pPr>
      <w:r>
        <w:t>The Commission undertook an inquiry into Tasmanian shipping and freight. Its draft report was released on 24</w:t>
      </w:r>
      <w:r w:rsidR="003C2C5E">
        <w:t> </w:t>
      </w:r>
      <w:r>
        <w:t>January</w:t>
      </w:r>
      <w:r w:rsidR="003C2C5E">
        <w:t> </w:t>
      </w:r>
      <w:r>
        <w:t xml:space="preserve">2014 and the final report was sent to </w:t>
      </w:r>
      <w:r w:rsidR="00CB5B89">
        <w:t xml:space="preserve">the Australian </w:t>
      </w:r>
      <w:r>
        <w:t>Government on 7</w:t>
      </w:r>
      <w:r w:rsidR="003C2C5E">
        <w:t> </w:t>
      </w:r>
      <w:r>
        <w:t>March</w:t>
      </w:r>
      <w:r w:rsidR="003C2C5E">
        <w:t> </w:t>
      </w:r>
      <w:r>
        <w:t>2014</w:t>
      </w:r>
      <w:r w:rsidR="003C2C5E">
        <w:t>,</w:t>
      </w:r>
      <w:r>
        <w:t xml:space="preserve"> but has yet to be publicly released. </w:t>
      </w:r>
      <w:r w:rsidR="00036759">
        <w:t xml:space="preserve">Under </w:t>
      </w:r>
      <w:r w:rsidR="00036759" w:rsidRPr="00AD6F37">
        <w:t xml:space="preserve">the </w:t>
      </w:r>
      <w:r w:rsidR="00036759" w:rsidRPr="002E6A13">
        <w:rPr>
          <w:i/>
        </w:rPr>
        <w:t>Productivity Commission Act 1998</w:t>
      </w:r>
      <w:r w:rsidR="00307976">
        <w:rPr>
          <w:i/>
        </w:rPr>
        <w:t xml:space="preserve"> </w:t>
      </w:r>
      <w:r w:rsidR="00307976">
        <w:rPr>
          <w:lang w:val="en"/>
        </w:rPr>
        <w:t>(Cwlth)</w:t>
      </w:r>
      <w:r w:rsidR="00036759" w:rsidRPr="00AD6F37">
        <w:t>, the</w:t>
      </w:r>
      <w:r w:rsidR="00036759">
        <w:t xml:space="preserve"> Government is required to table the final report in each House of the Parliament within 25 sitting days of receipt.</w:t>
      </w:r>
    </w:p>
    <w:p w:rsidR="00244450" w:rsidRDefault="002377DE" w:rsidP="00EA7C0C">
      <w:pPr>
        <w:pStyle w:val="BodyText"/>
      </w:pPr>
      <w:r>
        <w:t>In t</w:t>
      </w:r>
      <w:r w:rsidR="00244450">
        <w:t>he draft report</w:t>
      </w:r>
      <w:r>
        <w:t xml:space="preserve">, the Commission considered that </w:t>
      </w:r>
      <w:r w:rsidR="00244450" w:rsidRPr="00244450">
        <w:t xml:space="preserve">the Australian Government should put less emphasis on freight subsidy schemes </w:t>
      </w:r>
      <w:r w:rsidR="00036759">
        <w:t>and more emphasis on</w:t>
      </w:r>
      <w:r>
        <w:t xml:space="preserve"> policy reforms that</w:t>
      </w:r>
      <w:r w:rsidR="00244450" w:rsidRPr="00244450">
        <w:t xml:space="preserve"> have national and Tasmanian benefits (such as coastal </w:t>
      </w:r>
      <w:r>
        <w:t>shipping reform) and those that</w:t>
      </w:r>
      <w:r w:rsidR="00244450" w:rsidRPr="00244450">
        <w:t xml:space="preserve"> directly enhance the competitiveness and productivity of the Tasmanian economy</w:t>
      </w:r>
      <w:r w:rsidR="004F7B15">
        <w:t xml:space="preserve"> (</w:t>
      </w:r>
      <w:r w:rsidR="004F4C35">
        <w:t>PC </w:t>
      </w:r>
      <w:r w:rsidR="004F7B15">
        <w:t>2014</w:t>
      </w:r>
      <w:r w:rsidR="001E4A9F">
        <w:t>b</w:t>
      </w:r>
      <w:r w:rsidR="004F7B15">
        <w:t>)</w:t>
      </w:r>
      <w:r w:rsidR="00244450" w:rsidRPr="00244450">
        <w:t>.</w:t>
      </w:r>
    </w:p>
    <w:p w:rsidR="00A56988" w:rsidRDefault="00A56988" w:rsidP="00176120">
      <w:pPr>
        <w:pStyle w:val="BodyText"/>
      </w:pPr>
      <w:r w:rsidRPr="00176120">
        <w:t xml:space="preserve">The Australian Government has stated its intention to retain the Tasmanian Freight Equalisation Scheme </w:t>
      </w:r>
      <w:r w:rsidRPr="00C41586">
        <w:t>and the Bass Strait Passenger Vehicle Equalisation Scheme.</w:t>
      </w:r>
    </w:p>
    <w:p w:rsidR="00761D7A" w:rsidRPr="00761D7A" w:rsidRDefault="00761D7A" w:rsidP="00761D7A">
      <w:pPr>
        <w:pStyle w:val="Heading3"/>
      </w:pPr>
      <w:r>
        <w:t>Tasmanian Jobs and Growth Package</w:t>
      </w:r>
    </w:p>
    <w:p w:rsidR="006416D7" w:rsidRDefault="006416D7" w:rsidP="00834B7C">
      <w:pPr>
        <w:pStyle w:val="BodyText"/>
      </w:pPr>
      <w:r>
        <w:t>In October 2013, the Australian Government announced a</w:t>
      </w:r>
      <w:r w:rsidR="00774799" w:rsidRPr="00834B7C">
        <w:t xml:space="preserve"> Tasmanian Jobs and Growth Package</w:t>
      </w:r>
      <w:r w:rsidR="004363F7">
        <w:t xml:space="preserve"> (box</w:t>
      </w:r>
      <w:r w:rsidR="00827BF5">
        <w:t> 5.2</w:t>
      </w:r>
      <w:r w:rsidR="004363F7">
        <w:t>)</w:t>
      </w:r>
      <w:r>
        <w:t xml:space="preserve">. The </w:t>
      </w:r>
      <w:r w:rsidR="005C0BDA">
        <w:t>package</w:t>
      </w:r>
      <w:r w:rsidR="00774799" w:rsidRPr="00834B7C">
        <w:t xml:space="preserve"> complements the Economic Growth Plan for Tasmania</w:t>
      </w:r>
      <w:r>
        <w:t xml:space="preserve">. It comprises </w:t>
      </w:r>
      <w:r w:rsidR="00774799" w:rsidRPr="00834B7C">
        <w:t xml:space="preserve">a package of measures </w:t>
      </w:r>
      <w:r>
        <w:t xml:space="preserve">totalling $106 million </w:t>
      </w:r>
      <w:r w:rsidR="00774799" w:rsidRPr="00834B7C">
        <w:t>aimed at stimulating Tasmania</w:t>
      </w:r>
      <w:r w:rsidR="00FD6600">
        <w:t>’</w:t>
      </w:r>
      <w:r w:rsidR="00774799" w:rsidRPr="00834B7C">
        <w:t>s economy by supporting growth and employment</w:t>
      </w:r>
      <w:r>
        <w:t xml:space="preserve"> (Truss</w:t>
      </w:r>
      <w:r w:rsidR="00A05FB8">
        <w:t> </w:t>
      </w:r>
      <w:r>
        <w:t>2013)</w:t>
      </w:r>
      <w:r w:rsidR="00774799" w:rsidRPr="00834B7C">
        <w:t xml:space="preserve">. </w:t>
      </w:r>
      <w:r w:rsidR="00B83C62">
        <w:t>The package supersedes the previous Government’s Tasmania</w:t>
      </w:r>
      <w:r w:rsidR="00A0346A">
        <w:t>n</w:t>
      </w:r>
      <w:r w:rsidR="00B83C62">
        <w:t xml:space="preserve"> Jobs and Growth Plan announced in July</w:t>
      </w:r>
      <w:r w:rsidR="00A05FB8">
        <w:t> </w:t>
      </w:r>
      <w:r w:rsidR="00B83C62">
        <w:t>2013 (King and Rudd</w:t>
      </w:r>
      <w:r w:rsidR="00A05FB8">
        <w:t> </w:t>
      </w:r>
      <w:r w:rsidR="00B83C62">
        <w:t>2013)</w:t>
      </w:r>
      <w:r w:rsidR="00FA4108">
        <w:t xml:space="preserve"> and has its origins in the Tasmanian Forests Intergovernmental Agreement 2013 (section 5.2 above)</w:t>
      </w:r>
      <w:r w:rsidR="00B83C62">
        <w:t>.</w:t>
      </w:r>
    </w:p>
    <w:p w:rsidR="00DB6397" w:rsidRPr="00614728" w:rsidRDefault="00DB6397" w:rsidP="00DB6397">
      <w:pPr>
        <w:pStyle w:val="BodyText"/>
      </w:pPr>
      <w:r w:rsidRPr="00614728">
        <w:t xml:space="preserve">A number of projects funded under the package provide direct assistance to businesses, while other elements of the package are directed at community activities. Business recipients include Ta Ann Tasmania Pty Ltd for a plywood mill, SFM Forest </w:t>
      </w:r>
      <w:r>
        <w:t>Products</w:t>
      </w:r>
      <w:r w:rsidRPr="00614728">
        <w:t xml:space="preserve"> for its ‘hydrowood’ project, Caterpillar Elphinstone</w:t>
      </w:r>
      <w:r>
        <w:t xml:space="preserve"> Pty Ltd</w:t>
      </w:r>
      <w:r w:rsidRPr="00614728">
        <w:t xml:space="preserve"> for advanced manufacturing development, Tassal </w:t>
      </w:r>
      <w:r>
        <w:t>Group Limited</w:t>
      </w:r>
      <w:r w:rsidRPr="00614728">
        <w:t xml:space="preserve"> for a fish protein and oil facility and Huon Aquaculture Group Pty Ltd for a processing facility (box </w:t>
      </w:r>
      <w:r w:rsidR="00250E4C">
        <w:t>5.2</w:t>
      </w:r>
      <w:r w:rsidRPr="00614728">
        <w:t>).</w:t>
      </w:r>
    </w:p>
    <w:p w:rsidR="00F97011" w:rsidRDefault="00F97011" w:rsidP="00F9701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97011" w:rsidTr="003D7B9B">
        <w:tc>
          <w:tcPr>
            <w:tcW w:w="8771" w:type="dxa"/>
            <w:tcBorders>
              <w:top w:val="single" w:sz="6" w:space="0" w:color="auto"/>
              <w:bottom w:val="nil"/>
            </w:tcBorders>
          </w:tcPr>
          <w:p w:rsidR="00F97011" w:rsidRDefault="004363F7" w:rsidP="003D7B9B">
            <w:pPr>
              <w:pStyle w:val="BoxTitle"/>
            </w:pPr>
            <w:r>
              <w:rPr>
                <w:b w:val="0"/>
              </w:rPr>
              <w:t xml:space="preserve">Box </w:t>
            </w:r>
            <w:bookmarkStart w:id="10" w:name="OLE_LINK3"/>
            <w:r>
              <w:rPr>
                <w:b w:val="0"/>
              </w:rPr>
              <w:t>5.</w:t>
            </w:r>
            <w:r w:rsidR="00F04E7E">
              <w:rPr>
                <w:b w:val="0"/>
                <w:noProof/>
              </w:rPr>
              <w:t>2</w:t>
            </w:r>
            <w:bookmarkEnd w:id="10"/>
            <w:r w:rsidR="00F97011">
              <w:tab/>
            </w:r>
            <w:r w:rsidR="00F97011" w:rsidRPr="0023019E">
              <w:t>Tasmanian Jobs and Growth Package</w:t>
            </w:r>
          </w:p>
        </w:tc>
      </w:tr>
      <w:tr w:rsidR="00F97011" w:rsidTr="003D7B9B">
        <w:trPr>
          <w:cantSplit/>
        </w:trPr>
        <w:tc>
          <w:tcPr>
            <w:tcW w:w="8771" w:type="dxa"/>
            <w:tcBorders>
              <w:top w:val="nil"/>
              <w:left w:val="single" w:sz="6" w:space="0" w:color="auto"/>
              <w:bottom w:val="nil"/>
              <w:right w:val="single" w:sz="6" w:space="0" w:color="auto"/>
            </w:tcBorders>
          </w:tcPr>
          <w:p w:rsidR="00F97011" w:rsidRPr="008610EF" w:rsidRDefault="00F97011" w:rsidP="003D7B9B">
            <w:pPr>
              <w:pStyle w:val="Box"/>
            </w:pPr>
            <w:r w:rsidRPr="008610EF">
              <w:t xml:space="preserve">The </w:t>
            </w:r>
            <w:r>
              <w:t>Tasmanian Jobs and Growth Package</w:t>
            </w:r>
            <w:r w:rsidRPr="008610EF">
              <w:t xml:space="preserve"> </w:t>
            </w:r>
            <w:r w:rsidRPr="001D5816">
              <w:t>includes f</w:t>
            </w:r>
            <w:r w:rsidRPr="00210800">
              <w:t>unding for a numbe</w:t>
            </w:r>
            <w:r w:rsidRPr="004267F4">
              <w:t xml:space="preserve">r of </w:t>
            </w:r>
            <w:r>
              <w:t xml:space="preserve">already </w:t>
            </w:r>
            <w:r w:rsidRPr="0011127E">
              <w:t>planne</w:t>
            </w:r>
            <w:r w:rsidRPr="002C57D8">
              <w:t>d projects that are intended to support the economic development of Tasmania.</w:t>
            </w:r>
            <w:r>
              <w:t xml:space="preserve"> Recipients of the funding are businesses and business groups, community organisations, local councils and education facilities.</w:t>
            </w:r>
          </w:p>
          <w:p w:rsidR="00F97011" w:rsidRPr="008610EF" w:rsidRDefault="00F97011" w:rsidP="003D7B9B">
            <w:pPr>
              <w:pStyle w:val="BoxHeading1"/>
              <w:rPr>
                <w:szCs w:val="24"/>
              </w:rPr>
            </w:pPr>
            <w:r>
              <w:t>Business and business groups</w:t>
            </w:r>
          </w:p>
          <w:p w:rsidR="00F97011" w:rsidRPr="00C2502E" w:rsidRDefault="00036759" w:rsidP="003D7B9B">
            <w:pPr>
              <w:pStyle w:val="Box"/>
            </w:pPr>
            <w:r>
              <w:t>A</w:t>
            </w:r>
            <w:r w:rsidR="00F97011" w:rsidRPr="00210800">
              <w:t>round $52 </w:t>
            </w:r>
            <w:r w:rsidR="00F97011" w:rsidRPr="004267F4">
              <w:t xml:space="preserve">million has been allocated to </w:t>
            </w:r>
            <w:r w:rsidR="00F97011" w:rsidRPr="003C2C5E">
              <w:t>21</w:t>
            </w:r>
            <w:r w:rsidR="00F97011">
              <w:t> </w:t>
            </w:r>
            <w:r w:rsidR="00F97011" w:rsidRPr="008610EF">
              <w:t xml:space="preserve">individual businesses and business groups. For example, </w:t>
            </w:r>
            <w:r w:rsidR="00F97011" w:rsidRPr="001D5816">
              <w:t>Ta Ann</w:t>
            </w:r>
            <w:r w:rsidR="00F97011" w:rsidRPr="00210800">
              <w:t xml:space="preserve"> Tasmania Pty Lt</w:t>
            </w:r>
            <w:r w:rsidR="00F97011" w:rsidRPr="004267F4">
              <w:t>d is to receive $7.</w:t>
            </w:r>
            <w:r w:rsidR="00F97011" w:rsidRPr="0011127E">
              <w:t>5</w:t>
            </w:r>
            <w:r w:rsidR="00F97011" w:rsidRPr="008610EF">
              <w:t xml:space="preserve"> million for a plywood mill, SFM Forest </w:t>
            </w:r>
            <w:r>
              <w:t>Products</w:t>
            </w:r>
            <w:r w:rsidR="00F97011" w:rsidRPr="008610EF">
              <w:t xml:space="preserve"> is to receive $5 million for its ‘hydrowood’ project, Caterpillar Elphinstone</w:t>
            </w:r>
            <w:r w:rsidR="00AF41AF">
              <w:t xml:space="preserve"> Pty Ltd</w:t>
            </w:r>
            <w:r w:rsidR="00F97011" w:rsidRPr="008610EF">
              <w:t xml:space="preserve"> is to receive $5 million for advanced manufacturing development</w:t>
            </w:r>
            <w:r w:rsidR="00F97011">
              <w:t>,</w:t>
            </w:r>
            <w:r w:rsidR="00F97011" w:rsidRPr="008610EF">
              <w:t xml:space="preserve"> Tassal </w:t>
            </w:r>
            <w:r w:rsidR="00A564FE">
              <w:t xml:space="preserve">Group Limited </w:t>
            </w:r>
            <w:r w:rsidR="00F97011" w:rsidRPr="008610EF">
              <w:t>is to receive $3.85 million for a fish protein and oil facility</w:t>
            </w:r>
            <w:r w:rsidR="00F97011">
              <w:t xml:space="preserve"> and Huon Aquaculture</w:t>
            </w:r>
            <w:r w:rsidR="00AF41AF">
              <w:t xml:space="preserve"> Group Pty Ltd</w:t>
            </w:r>
            <w:r w:rsidR="00F97011">
              <w:t xml:space="preserve"> is to receive $3.5 million for the construction of a processing facility</w:t>
            </w:r>
            <w:r w:rsidR="00F97011" w:rsidRPr="008610EF">
              <w:t>.</w:t>
            </w:r>
          </w:p>
          <w:p w:rsidR="00F97011" w:rsidRDefault="00F97011" w:rsidP="003D7B9B">
            <w:pPr>
              <w:pStyle w:val="BoxHeading1"/>
              <w:rPr>
                <w:szCs w:val="24"/>
              </w:rPr>
            </w:pPr>
            <w:r>
              <w:t>Community organisations</w:t>
            </w:r>
          </w:p>
          <w:p w:rsidR="00F97011" w:rsidRPr="00C2502E" w:rsidRDefault="009746F1" w:rsidP="003D7B9B">
            <w:pPr>
              <w:pStyle w:val="Box"/>
            </w:pPr>
            <w:r>
              <w:t>A</w:t>
            </w:r>
            <w:r w:rsidR="00F97011" w:rsidRPr="008610EF">
              <w:t xml:space="preserve">lmost </w:t>
            </w:r>
            <w:r w:rsidR="00F97011" w:rsidRPr="001D5816">
              <w:t>$</w:t>
            </w:r>
            <w:r w:rsidR="00F97011" w:rsidRPr="003C2C5E">
              <w:t>3.4 million</w:t>
            </w:r>
            <w:r w:rsidR="00F97011" w:rsidRPr="008610EF">
              <w:t xml:space="preserve"> has been allocated to </w:t>
            </w:r>
            <w:r w:rsidR="00F97011">
              <w:t>five</w:t>
            </w:r>
            <w:r w:rsidR="00F97011" w:rsidRPr="008610EF">
              <w:t xml:space="preserve"> community group</w:t>
            </w:r>
            <w:r w:rsidR="00F97011" w:rsidRPr="001D5816">
              <w:t>s</w:t>
            </w:r>
            <w:r w:rsidR="00F97011" w:rsidRPr="00210800">
              <w:t xml:space="preserve"> and community projects</w:t>
            </w:r>
            <w:r w:rsidR="00F97011" w:rsidRPr="004267F4">
              <w:t xml:space="preserve">. For example, the Macquarie House Catalyst Project is to receive $3 million, </w:t>
            </w:r>
            <w:r w:rsidR="00F97011" w:rsidRPr="008610EF">
              <w:t>the Australian Fly Fishing Museum $261</w:t>
            </w:r>
            <w:r w:rsidR="00F97011">
              <w:t> </w:t>
            </w:r>
            <w:r w:rsidR="00F97011" w:rsidRPr="008610EF">
              <w:t>000 and the Sandy Bay Sailing Club $60 000.</w:t>
            </w:r>
          </w:p>
          <w:p w:rsidR="00F97011" w:rsidRDefault="00F97011" w:rsidP="003D7B9B">
            <w:pPr>
              <w:pStyle w:val="BoxHeading1"/>
              <w:rPr>
                <w:szCs w:val="24"/>
              </w:rPr>
            </w:pPr>
            <w:r>
              <w:t>Local councils</w:t>
            </w:r>
          </w:p>
          <w:p w:rsidR="00F97011" w:rsidRPr="00C2502E" w:rsidRDefault="009746F1" w:rsidP="003D7B9B">
            <w:pPr>
              <w:pStyle w:val="Box"/>
            </w:pPr>
            <w:r>
              <w:t xml:space="preserve">Around </w:t>
            </w:r>
            <w:r w:rsidR="00F97011" w:rsidRPr="008610EF">
              <w:t>$</w:t>
            </w:r>
            <w:r w:rsidR="00F97011" w:rsidRPr="003C2C5E">
              <w:t>18.</w:t>
            </w:r>
            <w:r>
              <w:t>8</w:t>
            </w:r>
            <w:r w:rsidR="00F97011" w:rsidRPr="003C2C5E">
              <w:t> </w:t>
            </w:r>
            <w:r w:rsidR="00F97011" w:rsidRPr="008610EF">
              <w:t xml:space="preserve">million has been allocated to </w:t>
            </w:r>
            <w:r w:rsidR="00F97011">
              <w:t>five</w:t>
            </w:r>
            <w:r w:rsidR="00F97011" w:rsidRPr="008610EF">
              <w:t xml:space="preserve"> local councils. For example, the Launceston City Council is to receive $6 million for redevelop</w:t>
            </w:r>
            <w:r w:rsidR="00F97011" w:rsidRPr="001D5816">
              <w:t>ment of the North Bank Precinct</w:t>
            </w:r>
            <w:r w:rsidR="00F97011" w:rsidRPr="004267F4">
              <w:t xml:space="preserve"> and </w:t>
            </w:r>
            <w:r w:rsidR="00F97011" w:rsidRPr="0011127E">
              <w:t>Clarence City Council is to receive $5 million for the Kangaroo Bay Community and Economic Development Project.</w:t>
            </w:r>
          </w:p>
          <w:p w:rsidR="00F97011" w:rsidRDefault="00F97011" w:rsidP="003D7B9B">
            <w:pPr>
              <w:pStyle w:val="BoxHeading1"/>
              <w:rPr>
                <w:szCs w:val="24"/>
              </w:rPr>
            </w:pPr>
            <w:r>
              <w:t>Education facilities</w:t>
            </w:r>
          </w:p>
          <w:p w:rsidR="00F97011" w:rsidRPr="00C2502E" w:rsidRDefault="00F97011" w:rsidP="003D7B9B">
            <w:pPr>
              <w:pStyle w:val="Box"/>
            </w:pPr>
            <w:r w:rsidRPr="008610EF">
              <w:t>$</w:t>
            </w:r>
            <w:r w:rsidRPr="003C2C5E">
              <w:t>16.5 </w:t>
            </w:r>
            <w:r w:rsidRPr="008610EF">
              <w:t xml:space="preserve">million has been allocated to </w:t>
            </w:r>
            <w:r>
              <w:t>two</w:t>
            </w:r>
            <w:r w:rsidRPr="008610EF">
              <w:t xml:space="preserve"> educ</w:t>
            </w:r>
            <w:r w:rsidRPr="001D5816">
              <w:t xml:space="preserve">ation facilities. </w:t>
            </w:r>
            <w:r w:rsidRPr="00210800">
              <w:t>The University of Tasmania is to receive $13 million for Sense-T stage</w:t>
            </w:r>
            <w:r>
              <w:t> </w:t>
            </w:r>
            <w:r w:rsidRPr="00210800">
              <w:t>2 developmen</w:t>
            </w:r>
            <w:r w:rsidRPr="004267F4">
              <w:t>t and</w:t>
            </w:r>
            <w:r w:rsidRPr="0011127E">
              <w:t xml:space="preserve"> Guil</w:t>
            </w:r>
            <w:r w:rsidRPr="008610EF">
              <w:t>dford Young College is to receive $3.5 million for a creative arts link building.</w:t>
            </w:r>
          </w:p>
          <w:p w:rsidR="00F97011" w:rsidRDefault="00F97011" w:rsidP="003D7B9B">
            <w:pPr>
              <w:pStyle w:val="BoxHeading1"/>
              <w:rPr>
                <w:szCs w:val="24"/>
              </w:rPr>
            </w:pPr>
            <w:r>
              <w:t>Other measures</w:t>
            </w:r>
          </w:p>
          <w:p w:rsidR="00F97011" w:rsidRPr="0011127E" w:rsidRDefault="00F97011" w:rsidP="003D7B9B">
            <w:pPr>
              <w:pStyle w:val="Box"/>
              <w:rPr>
                <w:szCs w:val="24"/>
              </w:rPr>
            </w:pPr>
            <w:r w:rsidRPr="008610EF">
              <w:t>$</w:t>
            </w:r>
            <w:r w:rsidRPr="003C2C5E">
              <w:t>15.5 </w:t>
            </w:r>
            <w:r w:rsidRPr="008610EF">
              <w:t xml:space="preserve">million has been allocated to </w:t>
            </w:r>
            <w:r>
              <w:t>two</w:t>
            </w:r>
            <w:r w:rsidRPr="003C2C5E">
              <w:t xml:space="preserve"> Australian Government measures</w:t>
            </w:r>
            <w:r w:rsidRPr="008610EF">
              <w:t xml:space="preserve">. </w:t>
            </w:r>
            <w:r w:rsidRPr="001D5816">
              <w:t xml:space="preserve">These comprise </w:t>
            </w:r>
            <w:r w:rsidRPr="00210800">
              <w:t>$11 million allocated for an Innovation and Investment Fund and $4.5 million for a Re</w:t>
            </w:r>
            <w:r w:rsidRPr="004267F4">
              <w:t>gional Tourism Package.</w:t>
            </w:r>
          </w:p>
        </w:tc>
      </w:tr>
      <w:tr w:rsidR="00F97011" w:rsidTr="003D7B9B">
        <w:trPr>
          <w:cantSplit/>
        </w:trPr>
        <w:tc>
          <w:tcPr>
            <w:tcW w:w="8771" w:type="dxa"/>
            <w:tcBorders>
              <w:top w:val="nil"/>
              <w:left w:val="single" w:sz="6" w:space="0" w:color="auto"/>
              <w:bottom w:val="nil"/>
              <w:right w:val="single" w:sz="6" w:space="0" w:color="auto"/>
            </w:tcBorders>
          </w:tcPr>
          <w:p w:rsidR="00F97011" w:rsidRDefault="00F97011" w:rsidP="003D7B9B">
            <w:pPr>
              <w:pStyle w:val="BoxSource"/>
            </w:pPr>
            <w:r>
              <w:rPr>
                <w:i/>
              </w:rPr>
              <w:t>Source</w:t>
            </w:r>
            <w:r w:rsidRPr="00307976">
              <w:t>:</w:t>
            </w:r>
            <w:r>
              <w:rPr>
                <w:i/>
              </w:rPr>
              <w:t xml:space="preserve"> </w:t>
            </w:r>
            <w:r w:rsidRPr="003C2C5E">
              <w:t>Truss</w:t>
            </w:r>
            <w:r>
              <w:t> </w:t>
            </w:r>
            <w:r w:rsidR="009746F1">
              <w:t>(</w:t>
            </w:r>
            <w:r w:rsidRPr="003C2C5E">
              <w:t>2013</w:t>
            </w:r>
            <w:r w:rsidR="009746F1">
              <w:t>)</w:t>
            </w:r>
            <w:r>
              <w:t>.</w:t>
            </w:r>
          </w:p>
        </w:tc>
      </w:tr>
      <w:tr w:rsidR="00F97011" w:rsidTr="003D7B9B">
        <w:trPr>
          <w:cantSplit/>
        </w:trPr>
        <w:tc>
          <w:tcPr>
            <w:tcW w:w="8771" w:type="dxa"/>
            <w:tcBorders>
              <w:top w:val="nil"/>
              <w:left w:val="single" w:sz="6" w:space="0" w:color="auto"/>
              <w:bottom w:val="single" w:sz="6" w:space="0" w:color="auto"/>
              <w:right w:val="single" w:sz="6" w:space="0" w:color="auto"/>
            </w:tcBorders>
          </w:tcPr>
          <w:p w:rsidR="00F97011" w:rsidRDefault="00F97011" w:rsidP="003D7B9B">
            <w:pPr>
              <w:pStyle w:val="Box"/>
              <w:spacing w:before="0" w:line="120" w:lineRule="exact"/>
            </w:pPr>
          </w:p>
        </w:tc>
      </w:tr>
      <w:tr w:rsidR="00F97011" w:rsidRPr="000863A5" w:rsidTr="003D7B9B">
        <w:tc>
          <w:tcPr>
            <w:tcW w:w="8771" w:type="dxa"/>
            <w:tcBorders>
              <w:top w:val="nil"/>
              <w:left w:val="nil"/>
              <w:bottom w:val="nil"/>
              <w:right w:val="nil"/>
            </w:tcBorders>
          </w:tcPr>
          <w:p w:rsidR="00F97011" w:rsidRPr="00626D32" w:rsidRDefault="00F97011" w:rsidP="003D7B9B">
            <w:pPr>
              <w:pStyle w:val="BoxSpaceBelow"/>
            </w:pPr>
          </w:p>
        </w:tc>
      </w:tr>
    </w:tbl>
    <w:p w:rsidR="00C83B0A" w:rsidRDefault="00036D9A" w:rsidP="007D0859">
      <w:pPr>
        <w:pStyle w:val="Heading2"/>
      </w:pPr>
      <w:r>
        <w:t>5.</w:t>
      </w:r>
      <w:r w:rsidR="00F04E7E">
        <w:rPr>
          <w:noProof/>
        </w:rPr>
        <w:t>6</w:t>
      </w:r>
      <w:r w:rsidR="00C83B0A" w:rsidRPr="00ED78EF">
        <w:tab/>
        <w:t>Broadcasting and communications</w:t>
      </w:r>
    </w:p>
    <w:p w:rsidR="00C83B0A" w:rsidRDefault="004750DC" w:rsidP="00C83B0A">
      <w:pPr>
        <w:pStyle w:val="BodyText"/>
      </w:pPr>
      <w:r>
        <w:t>Since May</w:t>
      </w:r>
      <w:r w:rsidR="004F4C35">
        <w:t> </w:t>
      </w:r>
      <w:r>
        <w:t>2013,</w:t>
      </w:r>
      <w:r w:rsidR="00C83B0A" w:rsidRPr="00ED78EF">
        <w:t xml:space="preserve"> the</w:t>
      </w:r>
      <w:r w:rsidR="00C71B58">
        <w:t xml:space="preserve"> Australian Government has made</w:t>
      </w:r>
      <w:r w:rsidR="00C83B0A" w:rsidRPr="00ED78EF">
        <w:t xml:space="preserve"> several announcements regarding broadcasting and communications policies and related activities.</w:t>
      </w:r>
    </w:p>
    <w:p w:rsidR="00C83B0A" w:rsidRDefault="00C83B0A" w:rsidP="00C83B0A">
      <w:pPr>
        <w:pStyle w:val="Heading3"/>
      </w:pPr>
      <w:r>
        <w:lastRenderedPageBreak/>
        <w:t>Government response to the Convergence Review and Finkelstein Inquiry</w:t>
      </w:r>
    </w:p>
    <w:p w:rsidR="00C83B0A" w:rsidRDefault="00C83B0A" w:rsidP="00C83B0A">
      <w:pPr>
        <w:pStyle w:val="BodyText"/>
      </w:pPr>
      <w:r w:rsidRPr="00562E45">
        <w:t xml:space="preserve">In March 2013, the then Minister for Broadband, Communication and the Digital Economy announced the Australian Government’s response to the Convergence Review and Finkelstein Inquiry (Conroy 2013a). A number of </w:t>
      </w:r>
      <w:r w:rsidR="00411D58">
        <w:t xml:space="preserve">the announced </w:t>
      </w:r>
      <w:r w:rsidRPr="00562E45">
        <w:t>measure</w:t>
      </w:r>
      <w:r>
        <w:t xml:space="preserve">s </w:t>
      </w:r>
      <w:r w:rsidRPr="00562E45">
        <w:t xml:space="preserve">were implemented through the </w:t>
      </w:r>
      <w:r w:rsidRPr="00562E45">
        <w:rPr>
          <w:i/>
          <w:iCs/>
        </w:rPr>
        <w:t>Broadcasting Legislation Amendment (Convergence</w:t>
      </w:r>
      <w:r>
        <w:rPr>
          <w:i/>
          <w:iCs/>
        </w:rPr>
        <w:t xml:space="preserve"> Review and Other Measures) Act </w:t>
      </w:r>
      <w:r w:rsidRPr="00562E45">
        <w:rPr>
          <w:i/>
          <w:iCs/>
        </w:rPr>
        <w:t xml:space="preserve">2013 </w:t>
      </w:r>
      <w:r w:rsidRPr="00562E45">
        <w:t>(</w:t>
      </w:r>
      <w:r w:rsidR="00AD6F37">
        <w:t>Cw</w:t>
      </w:r>
      <w:r w:rsidR="004F4C35">
        <w:t>l</w:t>
      </w:r>
      <w:r w:rsidR="00AD6F37">
        <w:t>th) (</w:t>
      </w:r>
      <w:r w:rsidRPr="00562E45">
        <w:t>the ‘Convergence Review Act’) and the</w:t>
      </w:r>
      <w:r w:rsidRPr="00562E45">
        <w:rPr>
          <w:i/>
          <w:iCs/>
        </w:rPr>
        <w:t xml:space="preserve"> Televi</w:t>
      </w:r>
      <w:r>
        <w:rPr>
          <w:i/>
          <w:iCs/>
        </w:rPr>
        <w:t>sion Licence Fees Amendment Act </w:t>
      </w:r>
      <w:r w:rsidRPr="00562E45">
        <w:rPr>
          <w:i/>
          <w:iCs/>
        </w:rPr>
        <w:t xml:space="preserve">2013 </w:t>
      </w:r>
      <w:r w:rsidRPr="00562E45">
        <w:t>(</w:t>
      </w:r>
      <w:r w:rsidR="00AD6F37">
        <w:t>Cw</w:t>
      </w:r>
      <w:r w:rsidR="004F4C35">
        <w:t>l</w:t>
      </w:r>
      <w:r w:rsidR="00AD6F37">
        <w:t>th) (</w:t>
      </w:r>
      <w:r w:rsidRPr="00562E45">
        <w:t xml:space="preserve">the ‘Licence Fees Act’). </w:t>
      </w:r>
    </w:p>
    <w:p w:rsidR="00C83B0A" w:rsidRDefault="00C83B0A" w:rsidP="00C83B0A">
      <w:pPr>
        <w:pStyle w:val="BodyText"/>
        <w:rPr>
          <w:lang w:val="en"/>
        </w:rPr>
      </w:pPr>
      <w:r w:rsidRPr="00562E45">
        <w:t xml:space="preserve">The Convergence Review Act made changes to Australian content requirements for commercial television broadcasters by introducing new Australian content quotas for digital multichannels and introducing greater flexibility in the use of multichannels to fulfil existing content sub-quotas. This Act also capped at three the number of commercial television broadcasting licences that may be allocated in each relevant licence area. The Licence Fees Act implemented a permanent 50 per cent reduction to the licence fees paid by commercial television broadcasters, which followed previous temporary reductions to licence fees that were provided by way of rebates of </w:t>
      </w:r>
      <w:r>
        <w:rPr>
          <w:lang w:val="en"/>
        </w:rPr>
        <w:t>between 16.5 and 50 </w:t>
      </w:r>
      <w:r w:rsidR="00174194">
        <w:rPr>
          <w:lang w:val="en"/>
        </w:rPr>
        <w:t>per </w:t>
      </w:r>
      <w:r w:rsidRPr="00562E45">
        <w:rPr>
          <w:lang w:val="en"/>
        </w:rPr>
        <w:t>cent of license f</w:t>
      </w:r>
      <w:r>
        <w:rPr>
          <w:lang w:val="en"/>
        </w:rPr>
        <w:t>ees between 2009</w:t>
      </w:r>
      <w:r>
        <w:rPr>
          <w:lang w:val="en"/>
        </w:rPr>
        <w:noBreakHyphen/>
        <w:t>10 and 2011</w:t>
      </w:r>
      <w:r>
        <w:rPr>
          <w:lang w:val="en"/>
        </w:rPr>
        <w:noBreakHyphen/>
      </w:r>
      <w:r w:rsidRPr="00562E45">
        <w:rPr>
          <w:lang w:val="en"/>
        </w:rPr>
        <w:t>12.</w:t>
      </w:r>
    </w:p>
    <w:p w:rsidR="009E76AF" w:rsidRDefault="009E76AF" w:rsidP="00210800">
      <w:pPr>
        <w:pStyle w:val="Heading3"/>
      </w:pPr>
      <w:r w:rsidRPr="002A3A12">
        <w:t>Digital Enterprise</w:t>
      </w:r>
      <w:r w:rsidR="00562E45">
        <w:t>,</w:t>
      </w:r>
      <w:r w:rsidRPr="002A3A12">
        <w:t xml:space="preserve"> Digital Local Government </w:t>
      </w:r>
      <w:r w:rsidR="00562E45">
        <w:t xml:space="preserve">and Digital Business Kit </w:t>
      </w:r>
      <w:r w:rsidRPr="002A3A12">
        <w:t>programs</w:t>
      </w:r>
    </w:p>
    <w:p w:rsidR="00B96C28" w:rsidRPr="003B0702" w:rsidRDefault="003B0702" w:rsidP="00B96C28">
      <w:pPr>
        <w:pStyle w:val="BodyText"/>
      </w:pPr>
      <w:r>
        <w:t>In</w:t>
      </w:r>
      <w:r w:rsidR="00B96C28">
        <w:t xml:space="preserve"> </w:t>
      </w:r>
      <w:r w:rsidR="00CB6E95">
        <w:t>May </w:t>
      </w:r>
      <w:r w:rsidR="00B96C28">
        <w:t>2013</w:t>
      </w:r>
      <w:r>
        <w:t xml:space="preserve">, the </w:t>
      </w:r>
      <w:r w:rsidR="00CB6E95">
        <w:t xml:space="preserve">then </w:t>
      </w:r>
      <w:r>
        <w:t>Australian Government</w:t>
      </w:r>
      <w:r w:rsidR="00B96C28">
        <w:t xml:space="preserve"> </w:t>
      </w:r>
      <w:r w:rsidR="009E76AF">
        <w:t>announce</w:t>
      </w:r>
      <w:r>
        <w:t xml:space="preserve">d </w:t>
      </w:r>
      <w:r w:rsidR="009E76AF">
        <w:t xml:space="preserve">an </w:t>
      </w:r>
      <w:r w:rsidR="00B96C28">
        <w:t>additional $12.</w:t>
      </w:r>
      <w:r w:rsidR="00CB6E95">
        <w:t>9 </w:t>
      </w:r>
      <w:r w:rsidR="00B96C28">
        <w:t xml:space="preserve">million </w:t>
      </w:r>
      <w:r>
        <w:t xml:space="preserve">of funding </w:t>
      </w:r>
      <w:r w:rsidR="00B96C28" w:rsidRPr="00AD6F37">
        <w:t>for Digital Enterprise and Digital Local Government programs</w:t>
      </w:r>
      <w:r w:rsidR="009E76AF" w:rsidRPr="00AD6F37">
        <w:t>.</w:t>
      </w:r>
      <w:r w:rsidRPr="00AD6F37">
        <w:t xml:space="preserve"> The</w:t>
      </w:r>
      <w:r w:rsidRPr="003B0702">
        <w:t xml:space="preserve"> </w:t>
      </w:r>
      <w:r w:rsidR="00AB5399">
        <w:t xml:space="preserve">funding </w:t>
      </w:r>
      <w:r w:rsidR="00562E45">
        <w:t>has</w:t>
      </w:r>
      <w:r>
        <w:t xml:space="preserve"> deliver</w:t>
      </w:r>
      <w:r w:rsidR="00562E45">
        <w:t>ed</w:t>
      </w:r>
      <w:r>
        <w:t xml:space="preserve"> an extra </w:t>
      </w:r>
      <w:r w:rsidR="00562E45">
        <w:t>22</w:t>
      </w:r>
      <w:r w:rsidR="00C02E95">
        <w:t> </w:t>
      </w:r>
      <w:r>
        <w:t xml:space="preserve">Digital Enterprise services </w:t>
      </w:r>
      <w:r w:rsidR="00562E45">
        <w:t xml:space="preserve">that are intended to help </w:t>
      </w:r>
      <w:r>
        <w:t>small</w:t>
      </w:r>
      <w:r w:rsidR="00562E45">
        <w:t xml:space="preserve"> and </w:t>
      </w:r>
      <w:r>
        <w:t>medium</w:t>
      </w:r>
      <w:r w:rsidR="00562E45">
        <w:t xml:space="preserve"> </w:t>
      </w:r>
      <w:r>
        <w:t>enterprises and not</w:t>
      </w:r>
      <w:r w:rsidR="00562E45">
        <w:t>-</w:t>
      </w:r>
      <w:r>
        <w:t>for</w:t>
      </w:r>
      <w:r w:rsidR="00562E45">
        <w:t>-</w:t>
      </w:r>
      <w:r>
        <w:t>profit organisations</w:t>
      </w:r>
      <w:r w:rsidR="00840346">
        <w:t xml:space="preserve"> </w:t>
      </w:r>
      <w:r w:rsidR="00562E45">
        <w:t xml:space="preserve">to improve the way </w:t>
      </w:r>
      <w:r w:rsidR="004F4C35">
        <w:t xml:space="preserve">that </w:t>
      </w:r>
      <w:r w:rsidR="00562E45">
        <w:t>they</w:t>
      </w:r>
      <w:r w:rsidR="001D47EA">
        <w:t xml:space="preserve"> </w:t>
      </w:r>
      <w:r w:rsidR="00562E45">
        <w:t xml:space="preserve">do business and deliver services online, </w:t>
      </w:r>
      <w:r w:rsidR="00840346">
        <w:t xml:space="preserve">and provide for the </w:t>
      </w:r>
      <w:r>
        <w:t>roll out of an additional 15</w:t>
      </w:r>
      <w:r w:rsidR="00C02E95">
        <w:t> </w:t>
      </w:r>
      <w:r>
        <w:t>Di</w:t>
      </w:r>
      <w:r w:rsidR="003260AE">
        <w:t xml:space="preserve">gital Local Government </w:t>
      </w:r>
      <w:r w:rsidR="00562E45">
        <w:t>projects</w:t>
      </w:r>
      <w:r w:rsidR="003260AE">
        <w:t xml:space="preserve"> (</w:t>
      </w:r>
      <w:r w:rsidR="00CB6E95">
        <w:t>Conroy </w:t>
      </w:r>
      <w:r w:rsidR="003260AE">
        <w:t>2013b).</w:t>
      </w:r>
    </w:p>
    <w:p w:rsidR="009E76AF" w:rsidRPr="002A3A12" w:rsidRDefault="00840346" w:rsidP="009E76AF">
      <w:pPr>
        <w:pStyle w:val="BodyText"/>
      </w:pPr>
      <w:r>
        <w:t>In</w:t>
      </w:r>
      <w:r w:rsidR="009E76AF">
        <w:t xml:space="preserve"> May</w:t>
      </w:r>
      <w:r w:rsidR="00C02E95">
        <w:t> </w:t>
      </w:r>
      <w:r w:rsidR="009E76AF">
        <w:t>2013</w:t>
      </w:r>
      <w:r>
        <w:t xml:space="preserve">, the </w:t>
      </w:r>
      <w:r w:rsidR="00CB6E95">
        <w:t xml:space="preserve">then </w:t>
      </w:r>
      <w:r>
        <w:t xml:space="preserve">Australian Government opened applications </w:t>
      </w:r>
      <w:r w:rsidRPr="00AD6F37">
        <w:t xml:space="preserve">for the </w:t>
      </w:r>
      <w:r w:rsidR="009E76AF" w:rsidRPr="00AD6F37">
        <w:t>Digital Enterprise – Virtual Advisor program</w:t>
      </w:r>
      <w:r w:rsidR="00562E45">
        <w:t xml:space="preserve"> </w:t>
      </w:r>
      <w:r w:rsidR="00562E45" w:rsidRPr="00562E45">
        <w:t>(Conroy</w:t>
      </w:r>
      <w:r w:rsidR="00562E45">
        <w:t> </w:t>
      </w:r>
      <w:r w:rsidR="00562E45" w:rsidRPr="003260AE">
        <w:t>2013</w:t>
      </w:r>
      <w:r w:rsidR="006E3B0B">
        <w:t>b</w:t>
      </w:r>
      <w:r w:rsidR="00562E45" w:rsidRPr="003260AE">
        <w:t>).</w:t>
      </w:r>
      <w:r w:rsidR="00562E45">
        <w:t xml:space="preserve"> This</w:t>
      </w:r>
      <w:r w:rsidR="009E76AF" w:rsidRPr="002A3A12">
        <w:t xml:space="preserve"> new</w:t>
      </w:r>
      <w:r w:rsidR="009E76AF">
        <w:t xml:space="preserve"> online component of </w:t>
      </w:r>
      <w:r w:rsidR="009E76AF" w:rsidRPr="00AD6F37">
        <w:t>the Digital Enterprise program</w:t>
      </w:r>
      <w:r w:rsidR="003260AE" w:rsidRPr="0002075F">
        <w:t xml:space="preserve"> </w:t>
      </w:r>
      <w:r w:rsidR="00562E45" w:rsidRPr="00562E45">
        <w:t>has been operating since Nove</w:t>
      </w:r>
      <w:r w:rsidR="00562E45">
        <w:t>mber</w:t>
      </w:r>
      <w:r w:rsidR="00C02E95">
        <w:t> </w:t>
      </w:r>
      <w:r w:rsidR="00562E45">
        <w:t xml:space="preserve">2013 and is intended to assist </w:t>
      </w:r>
      <w:r w:rsidR="00562E45" w:rsidRPr="00562E45">
        <w:t xml:space="preserve">Aboriginal and Torres Strait Islander businesses in regional and remote communities </w:t>
      </w:r>
      <w:r w:rsidR="00562E45">
        <w:t xml:space="preserve">to </w:t>
      </w:r>
      <w:r w:rsidR="00562E45" w:rsidRPr="00562E45">
        <w:t>improve their online presence and competitiveness</w:t>
      </w:r>
      <w:r w:rsidR="00562E45">
        <w:t>.</w:t>
      </w:r>
    </w:p>
    <w:p w:rsidR="00B96C28" w:rsidRPr="00324EAF" w:rsidRDefault="00324EAF" w:rsidP="00B96C28">
      <w:pPr>
        <w:pStyle w:val="BodyText"/>
      </w:pPr>
      <w:r>
        <w:t xml:space="preserve">In </w:t>
      </w:r>
      <w:r w:rsidR="00CB6E95">
        <w:t>May </w:t>
      </w:r>
      <w:r w:rsidR="00B96C28">
        <w:t>2013</w:t>
      </w:r>
      <w:r>
        <w:t xml:space="preserve">, the </w:t>
      </w:r>
      <w:r w:rsidR="00CB6E95">
        <w:t xml:space="preserve">then </w:t>
      </w:r>
      <w:r>
        <w:t xml:space="preserve">Australian Government </w:t>
      </w:r>
      <w:r w:rsidR="001D47EA">
        <w:t xml:space="preserve">also </w:t>
      </w:r>
      <w:r>
        <w:t xml:space="preserve">announced that it </w:t>
      </w:r>
      <w:r w:rsidR="000B42F7">
        <w:t>would</w:t>
      </w:r>
      <w:r>
        <w:t xml:space="preserve"> provide funding of </w:t>
      </w:r>
      <w:r w:rsidR="00B96C28">
        <w:t>$</w:t>
      </w:r>
      <w:r w:rsidR="00CB6E95">
        <w:t>5 </w:t>
      </w:r>
      <w:r w:rsidR="00B96C28">
        <w:t>million for</w:t>
      </w:r>
      <w:r>
        <w:t xml:space="preserve"> </w:t>
      </w:r>
      <w:r w:rsidRPr="00AD6F37">
        <w:t>the</w:t>
      </w:r>
      <w:r w:rsidR="00B96C28" w:rsidRPr="00AD6F37">
        <w:t xml:space="preserve"> Digital Business Kit program</w:t>
      </w:r>
      <w:r>
        <w:rPr>
          <w:i/>
        </w:rPr>
        <w:t xml:space="preserve">. </w:t>
      </w:r>
      <w:r w:rsidRPr="00324EAF">
        <w:t xml:space="preserve">The </w:t>
      </w:r>
      <w:r w:rsidR="00AB5399">
        <w:t xml:space="preserve">program </w:t>
      </w:r>
      <w:r w:rsidR="006F2516">
        <w:t xml:space="preserve">has funded nine peak bodies </w:t>
      </w:r>
      <w:r w:rsidR="00AB5399">
        <w:t>to</w:t>
      </w:r>
      <w:r>
        <w:t xml:space="preserve"> develop </w:t>
      </w:r>
      <w:r w:rsidR="006F2516">
        <w:t xml:space="preserve">and promote </w:t>
      </w:r>
      <w:r>
        <w:t xml:space="preserve">sector-specific Digital Business Kits to </w:t>
      </w:r>
      <w:r>
        <w:lastRenderedPageBreak/>
        <w:t xml:space="preserve">help small </w:t>
      </w:r>
      <w:r w:rsidR="006F2516">
        <w:t>and</w:t>
      </w:r>
      <w:r>
        <w:t xml:space="preserve"> medium enterprises take advantage of </w:t>
      </w:r>
      <w:r w:rsidR="006F2516">
        <w:t>high-speed broadband and engage in the digital economy</w:t>
      </w:r>
      <w:r>
        <w:t xml:space="preserve"> (</w:t>
      </w:r>
      <w:r w:rsidR="00CB6E95">
        <w:t>Conroy </w:t>
      </w:r>
      <w:r>
        <w:t>2013</w:t>
      </w:r>
      <w:r w:rsidR="006E3B0B">
        <w:t>c</w:t>
      </w:r>
      <w:r>
        <w:t>).</w:t>
      </w:r>
    </w:p>
    <w:p w:rsidR="009E76AF" w:rsidRDefault="009E76AF" w:rsidP="00210800">
      <w:pPr>
        <w:pStyle w:val="Heading3"/>
      </w:pPr>
      <w:r>
        <w:t>National Strategy for Cloud Computing</w:t>
      </w:r>
    </w:p>
    <w:p w:rsidR="00C83B0A" w:rsidRDefault="00324EAF" w:rsidP="00C83B0A">
      <w:pPr>
        <w:pStyle w:val="BodyText"/>
      </w:pPr>
      <w:r>
        <w:t xml:space="preserve">In </w:t>
      </w:r>
      <w:r w:rsidR="00CB6E95">
        <w:t>May </w:t>
      </w:r>
      <w:r>
        <w:t xml:space="preserve">2013, the </w:t>
      </w:r>
      <w:r w:rsidR="00C71B58">
        <w:t xml:space="preserve">Australian Government released the </w:t>
      </w:r>
      <w:r w:rsidR="00B96C28">
        <w:t>National Strategy for Cloud Computing</w:t>
      </w:r>
      <w:r w:rsidR="00AB5399">
        <w:t>. The strategy is intended to</w:t>
      </w:r>
      <w:r w:rsidR="00EB0D38">
        <w:t xml:space="preserve"> open up the annual $</w:t>
      </w:r>
      <w:r w:rsidR="00CB6E95">
        <w:t>5 </w:t>
      </w:r>
      <w:r w:rsidR="00EB0D38">
        <w:t xml:space="preserve">billion </w:t>
      </w:r>
      <w:r w:rsidR="00CB6E95">
        <w:t xml:space="preserve">Australian Government </w:t>
      </w:r>
      <w:r w:rsidR="00EB0D38">
        <w:t>expenditure on ICT to c</w:t>
      </w:r>
      <w:r w:rsidR="00BA65B3">
        <w:t>l</w:t>
      </w:r>
      <w:r w:rsidR="00EB0D38">
        <w:t>oud computing by requiring federal government agencies to consider cloud servic</w:t>
      </w:r>
      <w:r w:rsidR="00AB5399">
        <w:t>es for new IT purchases. It is</w:t>
      </w:r>
      <w:r w:rsidR="00EB0D38">
        <w:t xml:space="preserve"> also </w:t>
      </w:r>
      <w:r w:rsidR="00AB5399">
        <w:t xml:space="preserve">intended to </w:t>
      </w:r>
      <w:r w:rsidR="00EB0D38">
        <w:t>promote the benefits of cloud computing to small businesses, not-for-profit organisations and local government</w:t>
      </w:r>
      <w:r w:rsidR="00875844">
        <w:t xml:space="preserve"> (</w:t>
      </w:r>
      <w:r w:rsidR="00CB6E95">
        <w:t>Conroy </w:t>
      </w:r>
      <w:r w:rsidR="00875844">
        <w:t>2013</w:t>
      </w:r>
      <w:r w:rsidR="006E3B0B">
        <w:t>d</w:t>
      </w:r>
      <w:r w:rsidR="00875844">
        <w:t>)</w:t>
      </w:r>
      <w:r w:rsidR="00EB0D38">
        <w:t>.</w:t>
      </w:r>
    </w:p>
    <w:p w:rsidR="00ED78EF" w:rsidRPr="00C83B0A" w:rsidRDefault="00036D9A" w:rsidP="007D0859">
      <w:pPr>
        <w:pStyle w:val="Heading2"/>
      </w:pPr>
      <w:r>
        <w:t>5.</w:t>
      </w:r>
      <w:r w:rsidR="00F04E7E">
        <w:rPr>
          <w:noProof/>
        </w:rPr>
        <w:t>7</w:t>
      </w:r>
      <w:r w:rsidR="00ED78EF" w:rsidRPr="00ED78EF">
        <w:tab/>
        <w:t>Other industry assistance developments</w:t>
      </w:r>
    </w:p>
    <w:p w:rsidR="006505EB" w:rsidRDefault="006505EB" w:rsidP="007D0859">
      <w:pPr>
        <w:pStyle w:val="Heading3"/>
      </w:pPr>
      <w:r>
        <w:t>Tourism</w:t>
      </w:r>
    </w:p>
    <w:p w:rsidR="006505EB" w:rsidRPr="006505EB" w:rsidRDefault="006505EB" w:rsidP="006505EB">
      <w:pPr>
        <w:pStyle w:val="Heading4"/>
      </w:pPr>
      <w:r w:rsidRPr="006505EB">
        <w:t>Passenger Movement Charge</w:t>
      </w:r>
    </w:p>
    <w:p w:rsidR="006505EB" w:rsidRPr="006505EB" w:rsidRDefault="006505EB" w:rsidP="00A21D44">
      <w:pPr>
        <w:pStyle w:val="BodyText"/>
      </w:pPr>
      <w:r w:rsidRPr="006505EB">
        <w:t xml:space="preserve">In </w:t>
      </w:r>
      <w:r w:rsidR="00CB6E95" w:rsidRPr="006505EB">
        <w:t>October</w:t>
      </w:r>
      <w:r w:rsidR="00CB6E95">
        <w:t> </w:t>
      </w:r>
      <w:r w:rsidRPr="006505EB">
        <w:t>2013, the Australian Government confirmed that the Passenger Movement Charge on travellers will be frozen at its existing level for the full term of the current Parliament</w:t>
      </w:r>
      <w:r w:rsidR="00EC6164">
        <w:t xml:space="preserve"> </w:t>
      </w:r>
      <w:r w:rsidR="00EC6164" w:rsidRPr="006505EB">
        <w:t>(Robb</w:t>
      </w:r>
      <w:r w:rsidR="00EC6164">
        <w:t> </w:t>
      </w:r>
      <w:r w:rsidR="00EC6164" w:rsidRPr="006505EB">
        <w:t>2013)</w:t>
      </w:r>
      <w:r w:rsidRPr="006505EB">
        <w:t>. The action is intended to make Australia a more competitive destination for international travellers.</w:t>
      </w:r>
    </w:p>
    <w:p w:rsidR="00EB723F" w:rsidRDefault="0062320A" w:rsidP="00210800">
      <w:pPr>
        <w:pStyle w:val="Heading3"/>
      </w:pPr>
      <w:r w:rsidRPr="0062320A">
        <w:t>Small business</w:t>
      </w:r>
    </w:p>
    <w:p w:rsidR="00A72571" w:rsidRDefault="005D6214" w:rsidP="00A72571">
      <w:pPr>
        <w:pStyle w:val="Heading4"/>
      </w:pPr>
      <w:r>
        <w:t>Taxation measures for small businesses</w:t>
      </w:r>
    </w:p>
    <w:p w:rsidR="00AB5399" w:rsidRDefault="00AB5399" w:rsidP="00914ABD">
      <w:pPr>
        <w:pStyle w:val="BodyText"/>
      </w:pPr>
      <w:r>
        <w:t>In</w:t>
      </w:r>
      <w:r w:rsidR="00914ABD">
        <w:t xml:space="preserve"> </w:t>
      </w:r>
      <w:r w:rsidR="00EC6164">
        <w:t>June </w:t>
      </w:r>
      <w:r w:rsidR="00914ABD">
        <w:t>2013</w:t>
      </w:r>
      <w:r>
        <w:t xml:space="preserve">, the </w:t>
      </w:r>
      <w:r w:rsidR="00E811B7">
        <w:t xml:space="preserve">then </w:t>
      </w:r>
      <w:r>
        <w:t>Australian Government announced a</w:t>
      </w:r>
      <w:r w:rsidR="001B355A">
        <w:t xml:space="preserve"> number of taxation measure</w:t>
      </w:r>
      <w:r w:rsidR="00914ABD">
        <w:t>s worth $5.</w:t>
      </w:r>
      <w:r w:rsidR="00E811B7">
        <w:t>2 </w:t>
      </w:r>
      <w:r w:rsidR="00914ABD">
        <w:t>bill</w:t>
      </w:r>
      <w:r w:rsidR="004A607B">
        <w:t xml:space="preserve">ion </w:t>
      </w:r>
      <w:r>
        <w:t xml:space="preserve">that are intended </w:t>
      </w:r>
      <w:r w:rsidR="004A607B">
        <w:t>to help small businesses</w:t>
      </w:r>
      <w:r w:rsidR="00A37C75">
        <w:t xml:space="preserve"> (those with turnover of less than $2 million)</w:t>
      </w:r>
      <w:r>
        <w:t>:</w:t>
      </w:r>
    </w:p>
    <w:p w:rsidR="00AB5399" w:rsidRDefault="004A607B" w:rsidP="00AB5399">
      <w:pPr>
        <w:pStyle w:val="ListBullet"/>
      </w:pPr>
      <w:r>
        <w:t>a</w:t>
      </w:r>
      <w:r w:rsidR="00914ABD">
        <w:t xml:space="preserve"> $6500 instant write-off for</w:t>
      </w:r>
      <w:r w:rsidR="00A37C75">
        <w:t xml:space="preserve"> purchases of</w:t>
      </w:r>
      <w:r w:rsidR="00AB5399">
        <w:t xml:space="preserve"> new equipment</w:t>
      </w:r>
      <w:r w:rsidR="00C340DF">
        <w:t xml:space="preserve"> (Swan</w:t>
      </w:r>
      <w:r w:rsidR="00E811B7">
        <w:t> </w:t>
      </w:r>
      <w:r w:rsidR="00C340DF">
        <w:t>2013</w:t>
      </w:r>
      <w:r w:rsidR="00FD6B55">
        <w:t>a</w:t>
      </w:r>
      <w:r w:rsidR="00C340DF">
        <w:t>)</w:t>
      </w:r>
      <w:r w:rsidR="00AB5399">
        <w:t>;</w:t>
      </w:r>
    </w:p>
    <w:p w:rsidR="00AB5399" w:rsidRDefault="00A37C75" w:rsidP="00AB5399">
      <w:pPr>
        <w:pStyle w:val="ListBullet"/>
      </w:pPr>
      <w:r>
        <w:t xml:space="preserve">an </w:t>
      </w:r>
      <w:r w:rsidR="00914ABD">
        <w:t>immediate deducti</w:t>
      </w:r>
      <w:r w:rsidR="00B82481">
        <w:t xml:space="preserve">on </w:t>
      </w:r>
      <w:r>
        <w:t xml:space="preserve">for the first $5000 of </w:t>
      </w:r>
      <w:r w:rsidR="00B82481">
        <w:t>motor vehicle purchase</w:t>
      </w:r>
      <w:r>
        <w:t xml:space="preserve">s </w:t>
      </w:r>
      <w:r w:rsidR="00B82481">
        <w:t>(</w:t>
      </w:r>
      <w:r w:rsidR="00E811B7">
        <w:t>Swan </w:t>
      </w:r>
      <w:r w:rsidR="00B82481">
        <w:t>2013</w:t>
      </w:r>
      <w:r w:rsidR="00FD6B55">
        <w:t>a</w:t>
      </w:r>
      <w:r w:rsidR="00B82481">
        <w:t>)</w:t>
      </w:r>
      <w:r w:rsidR="00AB5399">
        <w:t>; and</w:t>
      </w:r>
    </w:p>
    <w:p w:rsidR="00914ABD" w:rsidRDefault="00F74247" w:rsidP="00AB5399">
      <w:pPr>
        <w:pStyle w:val="ListBullet"/>
      </w:pPr>
      <w:r>
        <w:t xml:space="preserve">the </w:t>
      </w:r>
      <w:r w:rsidR="00914ABD">
        <w:t>ability</w:t>
      </w:r>
      <w:r w:rsidR="00C340DF">
        <w:t xml:space="preserve"> </w:t>
      </w:r>
      <w:r w:rsidR="00914ABD">
        <w:t>to ‘carry back’ losses to offset</w:t>
      </w:r>
      <w:r w:rsidR="002A7C80">
        <w:t xml:space="preserve"> past profits (as recommended by the</w:t>
      </w:r>
      <w:r w:rsidR="00914ABD">
        <w:t xml:space="preserve"> Henry Review)</w:t>
      </w:r>
      <w:r w:rsidR="00B82481">
        <w:t xml:space="preserve"> (</w:t>
      </w:r>
      <w:r w:rsidR="00E811B7">
        <w:t>Swan </w:t>
      </w:r>
      <w:r w:rsidR="00B82481">
        <w:t>2013</w:t>
      </w:r>
      <w:r w:rsidR="00FD6B55">
        <w:t>b</w:t>
      </w:r>
      <w:r w:rsidR="00B82481">
        <w:t>)</w:t>
      </w:r>
      <w:r w:rsidR="00914ABD">
        <w:t xml:space="preserve">. </w:t>
      </w:r>
    </w:p>
    <w:p w:rsidR="004317F2" w:rsidRDefault="004317F2" w:rsidP="004A7CC1">
      <w:pPr>
        <w:pStyle w:val="BodyText"/>
      </w:pPr>
      <w:r>
        <w:t>The</w:t>
      </w:r>
      <w:r w:rsidR="00A37C75">
        <w:t>se changes were to apply</w:t>
      </w:r>
      <w:r w:rsidR="00CF552B">
        <w:t xml:space="preserve"> from 2012</w:t>
      </w:r>
      <w:r w:rsidR="00FD6600">
        <w:noBreakHyphen/>
      </w:r>
      <w:r w:rsidR="00CF552B">
        <w:t>13</w:t>
      </w:r>
      <w:r w:rsidR="00A37C75">
        <w:t xml:space="preserve"> onwards</w:t>
      </w:r>
      <w:r>
        <w:t>.</w:t>
      </w:r>
    </w:p>
    <w:p w:rsidR="00CF552B" w:rsidRDefault="001D47EA" w:rsidP="004A7CC1">
      <w:pPr>
        <w:pStyle w:val="BodyText"/>
      </w:pPr>
      <w:r>
        <w:lastRenderedPageBreak/>
        <w:t>The Australian G</w:t>
      </w:r>
      <w:r w:rsidR="004317F2">
        <w:t xml:space="preserve">overnment </w:t>
      </w:r>
      <w:r w:rsidR="00A37C75">
        <w:t xml:space="preserve">has announced its intention to repeal these three measures. </w:t>
      </w:r>
      <w:r w:rsidR="00CF552B" w:rsidRPr="00CF552B">
        <w:rPr>
          <w:lang w:val="en"/>
        </w:rPr>
        <w:t>A Bill containing provision</w:t>
      </w:r>
      <w:r w:rsidR="00CF552B">
        <w:rPr>
          <w:lang w:val="en"/>
        </w:rPr>
        <w:t>s</w:t>
      </w:r>
      <w:r w:rsidR="00CF552B" w:rsidRPr="00CF552B">
        <w:rPr>
          <w:lang w:val="en"/>
        </w:rPr>
        <w:t xml:space="preserve"> to </w:t>
      </w:r>
      <w:r w:rsidR="00CF552B">
        <w:rPr>
          <w:lang w:val="en"/>
        </w:rPr>
        <w:t>repeal the</w:t>
      </w:r>
      <w:r w:rsidR="00FD6600">
        <w:rPr>
          <w:lang w:val="en"/>
        </w:rPr>
        <w:t xml:space="preserve"> </w:t>
      </w:r>
      <w:r w:rsidR="00CF552B">
        <w:rPr>
          <w:lang w:val="en"/>
        </w:rPr>
        <w:t>measures</w:t>
      </w:r>
      <w:r w:rsidR="00CF552B" w:rsidRPr="00CF552B">
        <w:rPr>
          <w:lang w:val="en"/>
        </w:rPr>
        <w:t xml:space="preserve"> was introduced into</w:t>
      </w:r>
      <w:r w:rsidR="00CF552B">
        <w:rPr>
          <w:lang w:val="en"/>
        </w:rPr>
        <w:t xml:space="preserve"> parliament on 13</w:t>
      </w:r>
      <w:r w:rsidR="00C02E95">
        <w:rPr>
          <w:lang w:val="en"/>
        </w:rPr>
        <w:t> November</w:t>
      </w:r>
      <w:r w:rsidR="00D4680F">
        <w:rPr>
          <w:lang w:val="en"/>
        </w:rPr>
        <w:t> </w:t>
      </w:r>
      <w:r w:rsidR="00CF552B">
        <w:rPr>
          <w:lang w:val="en"/>
        </w:rPr>
        <w:t>2013.</w:t>
      </w:r>
    </w:p>
    <w:p w:rsidR="00C61814" w:rsidRPr="0062320A" w:rsidRDefault="00B0081F" w:rsidP="00210800">
      <w:pPr>
        <w:pStyle w:val="Heading3"/>
      </w:pPr>
      <w:r>
        <w:t>Infrastructure</w:t>
      </w:r>
    </w:p>
    <w:p w:rsidR="00A72571" w:rsidRDefault="00A72571" w:rsidP="00A72571">
      <w:pPr>
        <w:pStyle w:val="Heading4"/>
      </w:pPr>
      <w:r>
        <w:t xml:space="preserve">Tax </w:t>
      </w:r>
      <w:r w:rsidR="000B42F7">
        <w:t>concession</w:t>
      </w:r>
      <w:r>
        <w:t xml:space="preserve"> for designated major infrastructure projects</w:t>
      </w:r>
    </w:p>
    <w:p w:rsidR="00914ABD" w:rsidRDefault="004A78F1" w:rsidP="00914ABD">
      <w:pPr>
        <w:pStyle w:val="BodyText"/>
      </w:pPr>
      <w:r>
        <w:t xml:space="preserve">In </w:t>
      </w:r>
      <w:r w:rsidR="00E811B7">
        <w:t>July </w:t>
      </w:r>
      <w:r>
        <w:t xml:space="preserve">2013, </w:t>
      </w:r>
      <w:r w:rsidR="00914ABD">
        <w:t>a ne</w:t>
      </w:r>
      <w:r w:rsidR="00251E7F">
        <w:t xml:space="preserve">w tax loss </w:t>
      </w:r>
      <w:r w:rsidR="000B42F7">
        <w:t>measure</w:t>
      </w:r>
      <w:r w:rsidR="00A72571">
        <w:t xml:space="preserve"> </w:t>
      </w:r>
      <w:r w:rsidR="00251E7F">
        <w:t>for</w:t>
      </w:r>
      <w:r w:rsidR="00914ABD">
        <w:t xml:space="preserve"> designated major infrastructure projects</w:t>
      </w:r>
      <w:r>
        <w:t xml:space="preserve"> commenced. Under </w:t>
      </w:r>
      <w:r w:rsidR="00C340DF">
        <w:t>this measure</w:t>
      </w:r>
      <w:r>
        <w:t>, the Infrastructure Coordinator can designate projects eligible for the tax concession, with a prerequisite that a project has been assessed as ‘Ready to Proceed’ on Infrastructure Australia’s Priority Project List (</w:t>
      </w:r>
      <w:r w:rsidR="00E811B7">
        <w:t>Albanese</w:t>
      </w:r>
      <w:r w:rsidR="000C0227">
        <w:t xml:space="preserve"> and Bradbury</w:t>
      </w:r>
      <w:r w:rsidR="00E811B7">
        <w:t> </w:t>
      </w:r>
      <w:r>
        <w:t>2013).</w:t>
      </w:r>
    </w:p>
    <w:p w:rsidR="004D2ABA" w:rsidRDefault="00B0081F" w:rsidP="00210800">
      <w:pPr>
        <w:pStyle w:val="Heading3"/>
      </w:pPr>
      <w:r>
        <w:t>Transport (</w:t>
      </w:r>
      <w:r w:rsidR="00C55A50">
        <w:t>Qantas</w:t>
      </w:r>
      <w:r>
        <w:t>)</w:t>
      </w:r>
    </w:p>
    <w:p w:rsidR="00A72571" w:rsidRPr="00A72571" w:rsidRDefault="00A72571" w:rsidP="0062425B">
      <w:pPr>
        <w:pStyle w:val="Heading4"/>
        <w:rPr>
          <w:lang w:val="en"/>
        </w:rPr>
      </w:pPr>
      <w:r>
        <w:rPr>
          <w:lang w:val="en"/>
        </w:rPr>
        <w:t>Foreign ownership restrictions</w:t>
      </w:r>
    </w:p>
    <w:p w:rsidR="00001614" w:rsidRDefault="00D43C75" w:rsidP="00C55A50">
      <w:pPr>
        <w:pStyle w:val="BodyText"/>
        <w:rPr>
          <w:lang w:val="en"/>
        </w:rPr>
      </w:pPr>
      <w:r w:rsidRPr="00C55A50">
        <w:rPr>
          <w:lang w:val="en"/>
        </w:rPr>
        <w:t xml:space="preserve">The </w:t>
      </w:r>
      <w:r w:rsidRPr="00C55A50">
        <w:rPr>
          <w:i/>
          <w:iCs/>
          <w:lang w:val="en"/>
        </w:rPr>
        <w:t>Qantas Sale Act</w:t>
      </w:r>
      <w:r w:rsidR="00D4680F">
        <w:rPr>
          <w:i/>
          <w:iCs/>
          <w:lang w:val="en"/>
        </w:rPr>
        <w:t> </w:t>
      </w:r>
      <w:r w:rsidRPr="00C55A50">
        <w:rPr>
          <w:i/>
          <w:iCs/>
          <w:lang w:val="en"/>
        </w:rPr>
        <w:t>1992</w:t>
      </w:r>
      <w:r w:rsidRPr="00C55A50">
        <w:rPr>
          <w:lang w:val="en"/>
        </w:rPr>
        <w:t xml:space="preserve"> </w:t>
      </w:r>
      <w:r w:rsidR="00AD6F37">
        <w:rPr>
          <w:lang w:val="en"/>
        </w:rPr>
        <w:t>(Cw</w:t>
      </w:r>
      <w:r w:rsidR="000D4D84">
        <w:rPr>
          <w:lang w:val="en"/>
        </w:rPr>
        <w:t>l</w:t>
      </w:r>
      <w:r w:rsidR="00AD6F37">
        <w:rPr>
          <w:lang w:val="en"/>
        </w:rPr>
        <w:t xml:space="preserve">th) </w:t>
      </w:r>
      <w:r w:rsidR="001D47EA" w:rsidRPr="001D47EA">
        <w:rPr>
          <w:lang w:val="en"/>
        </w:rPr>
        <w:t>limits foreign ownership of Qantas</w:t>
      </w:r>
      <w:r w:rsidR="00AF41AF">
        <w:rPr>
          <w:lang w:val="en"/>
        </w:rPr>
        <w:t xml:space="preserve"> Airways Limited</w:t>
      </w:r>
      <w:r w:rsidR="001D47EA" w:rsidRPr="001D47EA">
        <w:rPr>
          <w:lang w:val="en"/>
        </w:rPr>
        <w:t xml:space="preserve"> to 49</w:t>
      </w:r>
      <w:r w:rsidR="001D47EA">
        <w:rPr>
          <w:lang w:val="en"/>
        </w:rPr>
        <w:t> </w:t>
      </w:r>
      <w:r w:rsidR="001D47EA" w:rsidRPr="001D47EA">
        <w:rPr>
          <w:lang w:val="en"/>
        </w:rPr>
        <w:t>per</w:t>
      </w:r>
      <w:r w:rsidR="00D8178E">
        <w:rPr>
          <w:lang w:val="en"/>
        </w:rPr>
        <w:t> </w:t>
      </w:r>
      <w:r w:rsidR="001D47EA" w:rsidRPr="001D47EA">
        <w:rPr>
          <w:lang w:val="en"/>
        </w:rPr>
        <w:t xml:space="preserve">cent. </w:t>
      </w:r>
      <w:r w:rsidR="00001614">
        <w:rPr>
          <w:lang w:val="en"/>
        </w:rPr>
        <w:t>It also stipulates a 35 </w:t>
      </w:r>
      <w:r w:rsidR="001D47EA" w:rsidRPr="001D47EA">
        <w:rPr>
          <w:lang w:val="en"/>
        </w:rPr>
        <w:t>percent limit for all foreign airline shar</w:t>
      </w:r>
      <w:r w:rsidR="00001614">
        <w:rPr>
          <w:lang w:val="en"/>
        </w:rPr>
        <w:t>eholdings combined, and that</w:t>
      </w:r>
      <w:r w:rsidR="001D47EA" w:rsidRPr="001D47EA">
        <w:rPr>
          <w:lang w:val="en"/>
        </w:rPr>
        <w:t xml:space="preserve"> a single foreign </w:t>
      </w:r>
      <w:r w:rsidR="00001614">
        <w:rPr>
          <w:lang w:val="en"/>
        </w:rPr>
        <w:t>entity can hold no more than 25 </w:t>
      </w:r>
      <w:r w:rsidR="001D47EA" w:rsidRPr="001D47EA">
        <w:rPr>
          <w:lang w:val="en"/>
        </w:rPr>
        <w:t>per</w:t>
      </w:r>
      <w:r w:rsidR="00D8178E">
        <w:rPr>
          <w:lang w:val="en"/>
        </w:rPr>
        <w:t> </w:t>
      </w:r>
      <w:r w:rsidR="001D47EA" w:rsidRPr="001D47EA">
        <w:rPr>
          <w:lang w:val="en"/>
        </w:rPr>
        <w:t>cent of the airline</w:t>
      </w:r>
      <w:r w:rsidR="00FD6600">
        <w:rPr>
          <w:lang w:val="en"/>
        </w:rPr>
        <w:t>’</w:t>
      </w:r>
      <w:r w:rsidR="001D47EA" w:rsidRPr="001D47EA">
        <w:rPr>
          <w:lang w:val="en"/>
        </w:rPr>
        <w:t>s shares</w:t>
      </w:r>
      <w:r w:rsidR="00001614">
        <w:rPr>
          <w:lang w:val="en"/>
        </w:rPr>
        <w:t xml:space="preserve">. These restrictions </w:t>
      </w:r>
      <w:r w:rsidR="001D47EA">
        <w:rPr>
          <w:lang w:val="en"/>
        </w:rPr>
        <w:t xml:space="preserve">potentially </w:t>
      </w:r>
      <w:r w:rsidR="001C6622">
        <w:rPr>
          <w:lang w:val="en"/>
        </w:rPr>
        <w:t>dis</w:t>
      </w:r>
      <w:r>
        <w:rPr>
          <w:lang w:val="en"/>
        </w:rPr>
        <w:t>advantage</w:t>
      </w:r>
      <w:r w:rsidR="00001614">
        <w:rPr>
          <w:lang w:val="en"/>
        </w:rPr>
        <w:t xml:space="preserve"> Qantas</w:t>
      </w:r>
      <w:r w:rsidRPr="00C55A50">
        <w:rPr>
          <w:lang w:val="en"/>
        </w:rPr>
        <w:t>.</w:t>
      </w:r>
    </w:p>
    <w:p w:rsidR="00C55A50" w:rsidRDefault="00D43C75" w:rsidP="00C55A50">
      <w:pPr>
        <w:pStyle w:val="BodyText"/>
        <w:rPr>
          <w:lang w:val="en"/>
        </w:rPr>
      </w:pPr>
      <w:r>
        <w:rPr>
          <w:lang w:val="en"/>
        </w:rPr>
        <w:t>In</w:t>
      </w:r>
      <w:r w:rsidR="00C55A50" w:rsidRPr="00C55A50">
        <w:rPr>
          <w:lang w:val="en"/>
        </w:rPr>
        <w:t xml:space="preserve"> </w:t>
      </w:r>
      <w:r w:rsidR="00E811B7" w:rsidRPr="00C55A50">
        <w:rPr>
          <w:lang w:val="en"/>
        </w:rPr>
        <w:t>March</w:t>
      </w:r>
      <w:r w:rsidR="00E811B7">
        <w:rPr>
          <w:lang w:val="en"/>
        </w:rPr>
        <w:t> </w:t>
      </w:r>
      <w:r w:rsidR="00C55A50" w:rsidRPr="00C55A50">
        <w:rPr>
          <w:lang w:val="en"/>
        </w:rPr>
        <w:t>2014, the Australian Government announced that it will move to a single regulatory framework for all Australian international airlines</w:t>
      </w:r>
      <w:r>
        <w:rPr>
          <w:lang w:val="en"/>
        </w:rPr>
        <w:t xml:space="preserve"> </w:t>
      </w:r>
      <w:r w:rsidRPr="00C55A50">
        <w:rPr>
          <w:lang w:val="en"/>
        </w:rPr>
        <w:t>(</w:t>
      </w:r>
      <w:r>
        <w:rPr>
          <w:lang w:val="en"/>
        </w:rPr>
        <w:t>Abbott and Hockey</w:t>
      </w:r>
      <w:r w:rsidR="00E811B7">
        <w:rPr>
          <w:lang w:val="en"/>
        </w:rPr>
        <w:t> </w:t>
      </w:r>
      <w:r w:rsidRPr="00C55A50">
        <w:rPr>
          <w:lang w:val="en"/>
        </w:rPr>
        <w:t>2014)</w:t>
      </w:r>
      <w:r w:rsidR="00C55A50" w:rsidRPr="00C55A50">
        <w:rPr>
          <w:lang w:val="en"/>
        </w:rPr>
        <w:t xml:space="preserve">. </w:t>
      </w:r>
      <w:r>
        <w:rPr>
          <w:lang w:val="en"/>
        </w:rPr>
        <w:t xml:space="preserve">According to the announcement, </w:t>
      </w:r>
      <w:r w:rsidR="005363FA">
        <w:rPr>
          <w:lang w:val="en"/>
        </w:rPr>
        <w:t xml:space="preserve">the Government will introduce </w:t>
      </w:r>
      <w:r w:rsidR="00C55A50" w:rsidRPr="00C55A50">
        <w:rPr>
          <w:lang w:val="en"/>
        </w:rPr>
        <w:t xml:space="preserve">legislation to remove the foreign ownership restrictions and conditions that apply to Qantas’ business operations contained in Part 3 of the </w:t>
      </w:r>
      <w:r w:rsidR="00C55A50" w:rsidRPr="00C55A50">
        <w:rPr>
          <w:i/>
          <w:iCs/>
          <w:lang w:val="en"/>
        </w:rPr>
        <w:t>Qantas Sale Act</w:t>
      </w:r>
      <w:r w:rsidR="00D4680F">
        <w:rPr>
          <w:i/>
          <w:iCs/>
          <w:lang w:val="en"/>
        </w:rPr>
        <w:t> </w:t>
      </w:r>
      <w:r w:rsidR="00C55A50" w:rsidRPr="00C55A50">
        <w:rPr>
          <w:i/>
          <w:iCs/>
          <w:lang w:val="en"/>
        </w:rPr>
        <w:t>1992</w:t>
      </w:r>
      <w:r w:rsidR="00AD6F37">
        <w:rPr>
          <w:lang w:val="en"/>
        </w:rPr>
        <w:t xml:space="preserve"> (Cw</w:t>
      </w:r>
      <w:r w:rsidR="000D4D84">
        <w:rPr>
          <w:lang w:val="en"/>
        </w:rPr>
        <w:t>l</w:t>
      </w:r>
      <w:r w:rsidR="00AD6F37">
        <w:rPr>
          <w:lang w:val="en"/>
        </w:rPr>
        <w:t>th)</w:t>
      </w:r>
      <w:r w:rsidR="00C55A50" w:rsidRPr="00C55A50">
        <w:rPr>
          <w:lang w:val="en"/>
        </w:rPr>
        <w:t xml:space="preserve"> </w:t>
      </w:r>
      <w:r w:rsidR="00E811B7">
        <w:rPr>
          <w:lang w:val="en"/>
        </w:rPr>
        <w:t>It is intended that t</w:t>
      </w:r>
      <w:r>
        <w:rPr>
          <w:lang w:val="en"/>
        </w:rPr>
        <w:t>he legislation will</w:t>
      </w:r>
      <w:r w:rsidR="00001614">
        <w:rPr>
          <w:lang w:val="en"/>
        </w:rPr>
        <w:t xml:space="preserve"> provide additional flexibility for Qantas that is consistent with other airlines based in Australia</w:t>
      </w:r>
      <w:r w:rsidR="00C55A50" w:rsidRPr="00C55A50">
        <w:rPr>
          <w:lang w:val="en"/>
        </w:rPr>
        <w:t>.</w:t>
      </w:r>
    </w:p>
    <w:p w:rsidR="008E5704" w:rsidRDefault="008E5704" w:rsidP="008E5704">
      <w:pPr>
        <w:pStyle w:val="Heading4"/>
        <w:rPr>
          <w:lang w:val="en"/>
        </w:rPr>
      </w:pPr>
      <w:r>
        <w:rPr>
          <w:lang w:val="en"/>
        </w:rPr>
        <w:t>Request for unsecured loan and debt guarantee</w:t>
      </w:r>
    </w:p>
    <w:p w:rsidR="00C55A50" w:rsidRDefault="00D43C75" w:rsidP="00C55A50">
      <w:pPr>
        <w:pStyle w:val="BodyText"/>
      </w:pPr>
      <w:r>
        <w:t>At a press conference on</w:t>
      </w:r>
      <w:r w:rsidR="00C55A50" w:rsidRPr="00C55A50">
        <w:t xml:space="preserve"> 5</w:t>
      </w:r>
      <w:r w:rsidR="00D4680F">
        <w:t> </w:t>
      </w:r>
      <w:r w:rsidR="00C55A50" w:rsidRPr="00C55A50">
        <w:t>March</w:t>
      </w:r>
      <w:r w:rsidR="00D4680F">
        <w:t> </w:t>
      </w:r>
      <w:r w:rsidR="00C55A50" w:rsidRPr="00C55A50">
        <w:t xml:space="preserve">2014, the Prime Minister stated that Qantas had asked the Australian Government </w:t>
      </w:r>
      <w:r w:rsidR="00E811B7">
        <w:t xml:space="preserve">to assist the airline through </w:t>
      </w:r>
      <w:r w:rsidR="00C55A50" w:rsidRPr="00C55A50">
        <w:t>a $</w:t>
      </w:r>
      <w:r w:rsidR="00E811B7" w:rsidRPr="00C55A50">
        <w:t>3</w:t>
      </w:r>
      <w:r w:rsidR="00E811B7">
        <w:t> </w:t>
      </w:r>
      <w:r w:rsidR="00C55A50" w:rsidRPr="00C55A50">
        <w:t xml:space="preserve">billion unsecured loan </w:t>
      </w:r>
      <w:r w:rsidR="004E36A5">
        <w:t xml:space="preserve">and a short term debt guarantee, </w:t>
      </w:r>
      <w:r w:rsidR="00C55A50" w:rsidRPr="00C55A50">
        <w:t xml:space="preserve">and </w:t>
      </w:r>
      <w:r w:rsidR="00E811B7">
        <w:t xml:space="preserve">announced </w:t>
      </w:r>
      <w:r w:rsidR="00C55A50" w:rsidRPr="00C55A50">
        <w:t xml:space="preserve">that the </w:t>
      </w:r>
      <w:r w:rsidR="00E811B7">
        <w:t>G</w:t>
      </w:r>
      <w:r w:rsidR="00E811B7" w:rsidRPr="00C55A50">
        <w:t xml:space="preserve">overnment </w:t>
      </w:r>
      <w:r w:rsidR="00C55A50" w:rsidRPr="00C55A50">
        <w:t xml:space="preserve">had rejected the request </w:t>
      </w:r>
      <w:r w:rsidR="004E36A5">
        <w:t>(</w:t>
      </w:r>
      <w:r w:rsidR="00E811B7">
        <w:t>ABC </w:t>
      </w:r>
      <w:r w:rsidR="00C228D2">
        <w:t>2014</w:t>
      </w:r>
      <w:r w:rsidR="002D589F">
        <w:t>b</w:t>
      </w:r>
      <w:r w:rsidR="00C228D2">
        <w:t>)</w:t>
      </w:r>
      <w:r w:rsidR="00C55A50" w:rsidRPr="00C55A50">
        <w:t>.</w:t>
      </w:r>
    </w:p>
    <w:p w:rsidR="00F056FC" w:rsidRDefault="00F056FC" w:rsidP="00A60115"/>
    <w:sectPr w:rsidR="00F056FC" w:rsidSect="00D010D2">
      <w:headerReference w:type="even" r:id="rId9"/>
      <w:headerReference w:type="default" r:id="rId10"/>
      <w:footerReference w:type="even" r:id="rId11"/>
      <w:footerReference w:type="default" r:id="rId12"/>
      <w:pgSz w:w="11907" w:h="16840" w:code="9"/>
      <w:pgMar w:top="1985" w:right="1304" w:bottom="1418" w:left="1814" w:header="1701" w:footer="567" w:gutter="0"/>
      <w:pgNumType w:start="7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470" w:rsidRDefault="003A0470">
      <w:r>
        <w:separator/>
      </w:r>
    </w:p>
  </w:endnote>
  <w:endnote w:type="continuationSeparator" w:id="0">
    <w:p w:rsidR="003A0470" w:rsidRDefault="003A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D7B9B">
      <w:trPr>
        <w:trHeight w:hRule="exact" w:val="740"/>
      </w:trPr>
      <w:tc>
        <w:tcPr>
          <w:tcW w:w="510" w:type="dxa"/>
          <w:tcBorders>
            <w:top w:val="single" w:sz="6" w:space="0" w:color="auto"/>
          </w:tcBorders>
        </w:tcPr>
        <w:p w:rsidR="003D7B9B" w:rsidRDefault="003D7B9B"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3B3D20">
            <w:rPr>
              <w:rStyle w:val="PageNumber"/>
              <w:noProof/>
            </w:rPr>
            <w:t>80</w:t>
          </w:r>
          <w:r>
            <w:rPr>
              <w:rStyle w:val="PageNumber"/>
            </w:rPr>
            <w:fldChar w:fldCharType="end"/>
          </w:r>
        </w:p>
      </w:tc>
      <w:tc>
        <w:tcPr>
          <w:tcW w:w="1644" w:type="dxa"/>
          <w:tcBorders>
            <w:top w:val="single" w:sz="6" w:space="0" w:color="auto"/>
          </w:tcBorders>
        </w:tcPr>
        <w:p w:rsidR="003D7B9B" w:rsidRDefault="00417D0A" w:rsidP="0019293B">
          <w:pPr>
            <w:pStyle w:val="Footer"/>
          </w:pPr>
          <w:fldSimple w:instr=" SUBJECT  \* MERGEFORMAT ">
            <w:r w:rsidR="00F04E7E">
              <w:t>trade &amp; assistance review 2012-13</w:t>
            </w:r>
          </w:fldSimple>
        </w:p>
      </w:tc>
      <w:tc>
        <w:tcPr>
          <w:tcW w:w="6634" w:type="dxa"/>
        </w:tcPr>
        <w:p w:rsidR="003D7B9B" w:rsidRDefault="003D7B9B" w:rsidP="0019293B">
          <w:pPr>
            <w:pStyle w:val="Footer"/>
          </w:pPr>
        </w:p>
      </w:tc>
    </w:tr>
  </w:tbl>
  <w:p w:rsidR="003D7B9B" w:rsidRDefault="003D7B9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3D7B9B">
      <w:trPr>
        <w:trHeight w:hRule="exact" w:val="740"/>
      </w:trPr>
      <w:tc>
        <w:tcPr>
          <w:tcW w:w="6634" w:type="dxa"/>
        </w:tcPr>
        <w:p w:rsidR="003D7B9B" w:rsidRDefault="003D7B9B">
          <w:pPr>
            <w:pStyle w:val="Footer"/>
            <w:ind w:right="360" w:firstLine="360"/>
          </w:pPr>
        </w:p>
      </w:tc>
      <w:tc>
        <w:tcPr>
          <w:tcW w:w="1644" w:type="dxa"/>
          <w:tcBorders>
            <w:top w:val="single" w:sz="6" w:space="0" w:color="auto"/>
          </w:tcBorders>
        </w:tcPr>
        <w:p w:rsidR="003D7B9B" w:rsidRDefault="00417D0A">
          <w:pPr>
            <w:pStyle w:val="Footer"/>
          </w:pPr>
          <w:fldSimple w:instr=" TITLE  \* MERGEFORMAT ">
            <w:r w:rsidR="00F04E7E">
              <w:t>Developments in industry assistance</w:t>
            </w:r>
          </w:fldSimple>
        </w:p>
      </w:tc>
      <w:tc>
        <w:tcPr>
          <w:tcW w:w="510" w:type="dxa"/>
          <w:tcBorders>
            <w:top w:val="single" w:sz="6" w:space="0" w:color="auto"/>
          </w:tcBorders>
        </w:tcPr>
        <w:p w:rsidR="003D7B9B" w:rsidRDefault="003D7B9B">
          <w:pPr>
            <w:pStyle w:val="Footer"/>
            <w:jc w:val="right"/>
          </w:pPr>
          <w:r>
            <w:rPr>
              <w:rStyle w:val="PageNumber"/>
            </w:rPr>
            <w:fldChar w:fldCharType="begin"/>
          </w:r>
          <w:r>
            <w:rPr>
              <w:rStyle w:val="PageNumber"/>
            </w:rPr>
            <w:instrText xml:space="preserve">PAGE  </w:instrText>
          </w:r>
          <w:r>
            <w:rPr>
              <w:rStyle w:val="PageNumber"/>
            </w:rPr>
            <w:fldChar w:fldCharType="separate"/>
          </w:r>
          <w:r w:rsidR="003B3D20">
            <w:rPr>
              <w:rStyle w:val="PageNumber"/>
              <w:noProof/>
            </w:rPr>
            <w:t>79</w:t>
          </w:r>
          <w:r>
            <w:rPr>
              <w:rStyle w:val="PageNumber"/>
            </w:rPr>
            <w:fldChar w:fldCharType="end"/>
          </w:r>
        </w:p>
      </w:tc>
    </w:tr>
  </w:tbl>
  <w:p w:rsidR="003D7B9B" w:rsidRDefault="003D7B9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470" w:rsidRDefault="003A0470">
      <w:r>
        <w:separator/>
      </w:r>
    </w:p>
  </w:footnote>
  <w:footnote w:type="continuationSeparator" w:id="0">
    <w:p w:rsidR="003A0470" w:rsidRDefault="003A04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D7B9B">
      <w:tc>
        <w:tcPr>
          <w:tcW w:w="2155" w:type="dxa"/>
          <w:tcBorders>
            <w:top w:val="single" w:sz="24" w:space="0" w:color="auto"/>
          </w:tcBorders>
        </w:tcPr>
        <w:p w:rsidR="003D7B9B" w:rsidRDefault="003D7B9B" w:rsidP="0019293B">
          <w:pPr>
            <w:pStyle w:val="HeaderEven"/>
          </w:pPr>
        </w:p>
      </w:tc>
      <w:tc>
        <w:tcPr>
          <w:tcW w:w="6634" w:type="dxa"/>
          <w:tcBorders>
            <w:top w:val="single" w:sz="6" w:space="0" w:color="auto"/>
          </w:tcBorders>
        </w:tcPr>
        <w:p w:rsidR="003D7B9B" w:rsidRDefault="003D7B9B" w:rsidP="0019293B">
          <w:pPr>
            <w:pStyle w:val="HeaderEven"/>
          </w:pPr>
        </w:p>
      </w:tc>
    </w:tr>
  </w:tbl>
  <w:p w:rsidR="003D7B9B" w:rsidRDefault="003D7B9B"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D7B9B">
      <w:tc>
        <w:tcPr>
          <w:tcW w:w="6634" w:type="dxa"/>
          <w:tcBorders>
            <w:top w:val="single" w:sz="6" w:space="0" w:color="auto"/>
          </w:tcBorders>
        </w:tcPr>
        <w:p w:rsidR="003D7B9B" w:rsidRDefault="003D7B9B" w:rsidP="00E669E2">
          <w:pPr>
            <w:pStyle w:val="HeaderOdd"/>
          </w:pPr>
        </w:p>
      </w:tc>
      <w:tc>
        <w:tcPr>
          <w:tcW w:w="2155" w:type="dxa"/>
          <w:tcBorders>
            <w:top w:val="single" w:sz="24" w:space="0" w:color="auto"/>
          </w:tcBorders>
        </w:tcPr>
        <w:p w:rsidR="003D7B9B" w:rsidRDefault="003D7B9B" w:rsidP="00E669E2">
          <w:pPr>
            <w:pStyle w:val="HeaderOdd"/>
          </w:pPr>
        </w:p>
      </w:tc>
    </w:tr>
  </w:tbl>
  <w:p w:rsidR="003D7B9B" w:rsidRDefault="003D7B9B"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580330A"/>
    <w:multiLevelType w:val="multilevel"/>
    <w:tmpl w:val="A1EE9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9331FF5"/>
    <w:multiLevelType w:val="multilevel"/>
    <w:tmpl w:val="3EB86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EE5387"/>
    <w:multiLevelType w:val="multilevel"/>
    <w:tmpl w:val="59101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5B870BA"/>
    <w:multiLevelType w:val="multilevel"/>
    <w:tmpl w:val="AED00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75C4EC8"/>
    <w:multiLevelType w:val="multilevel"/>
    <w:tmpl w:val="1F1CD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9F86935"/>
    <w:multiLevelType w:val="multilevel"/>
    <w:tmpl w:val="E4761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714E12BA"/>
    <w:multiLevelType w:val="multilevel"/>
    <w:tmpl w:val="5896F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CA49B0"/>
    <w:multiLevelType w:val="multilevel"/>
    <w:tmpl w:val="5316C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24"/>
  </w:num>
  <w:num w:numId="3">
    <w:abstractNumId w:val="1"/>
  </w:num>
  <w:num w:numId="4">
    <w:abstractNumId w:val="17"/>
  </w:num>
  <w:num w:numId="5">
    <w:abstractNumId w:val="2"/>
  </w:num>
  <w:num w:numId="6">
    <w:abstractNumId w:val="21"/>
  </w:num>
  <w:num w:numId="7">
    <w:abstractNumId w:val="19"/>
  </w:num>
  <w:num w:numId="8">
    <w:abstractNumId w:val="25"/>
  </w:num>
  <w:num w:numId="9">
    <w:abstractNumId w:val="9"/>
  </w:num>
  <w:num w:numId="10">
    <w:abstractNumId w:val="18"/>
  </w:num>
  <w:num w:numId="11">
    <w:abstractNumId w:val="8"/>
  </w:num>
  <w:num w:numId="12">
    <w:abstractNumId w:val="7"/>
  </w:num>
  <w:num w:numId="13">
    <w:abstractNumId w:val="11"/>
  </w:num>
  <w:num w:numId="14">
    <w:abstractNumId w:val="12"/>
  </w:num>
  <w:num w:numId="15">
    <w:abstractNumId w:val="16"/>
  </w:num>
  <w:num w:numId="16">
    <w:abstractNumId w:val="4"/>
  </w:num>
  <w:num w:numId="17">
    <w:abstractNumId w:val="20"/>
  </w:num>
  <w:num w:numId="18">
    <w:abstractNumId w:val="0"/>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9">
    <w:abstractNumId w:val="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0">
    <w:abstractNumId w:val="23"/>
  </w:num>
  <w:num w:numId="21">
    <w:abstractNumId w:val="22"/>
  </w:num>
  <w:num w:numId="22">
    <w:abstractNumId w:val="6"/>
  </w:num>
  <w:num w:numId="23">
    <w:abstractNumId w:val="15"/>
  </w:num>
  <w:num w:numId="24">
    <w:abstractNumId w:val="5"/>
  </w:num>
  <w:num w:numId="25">
    <w:abstractNumId w:val="10"/>
  </w:num>
  <w:num w:numId="26">
    <w:abstractNumId w:val="3"/>
  </w:num>
  <w:num w:numId="27">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clickAndTypeStyle w:val="BodyText"/>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Developments in industry assistance"/>
    <w:docVar w:name="ShortReportTitle" w:val="trade &amp; assistance review 2012-13"/>
  </w:docVars>
  <w:rsids>
    <w:rsidRoot w:val="003F5EE6"/>
    <w:rsid w:val="00001614"/>
    <w:rsid w:val="000028E8"/>
    <w:rsid w:val="0000599C"/>
    <w:rsid w:val="00005CCC"/>
    <w:rsid w:val="0001657B"/>
    <w:rsid w:val="000165B2"/>
    <w:rsid w:val="00017BA1"/>
    <w:rsid w:val="00017D60"/>
    <w:rsid w:val="0002075F"/>
    <w:rsid w:val="000227D5"/>
    <w:rsid w:val="00022BDD"/>
    <w:rsid w:val="00024570"/>
    <w:rsid w:val="000245AA"/>
    <w:rsid w:val="00035396"/>
    <w:rsid w:val="0003664B"/>
    <w:rsid w:val="00036759"/>
    <w:rsid w:val="00036D9A"/>
    <w:rsid w:val="00040A26"/>
    <w:rsid w:val="0004111F"/>
    <w:rsid w:val="00043837"/>
    <w:rsid w:val="000565B3"/>
    <w:rsid w:val="00061209"/>
    <w:rsid w:val="000623D4"/>
    <w:rsid w:val="00062DA2"/>
    <w:rsid w:val="00063394"/>
    <w:rsid w:val="0007150B"/>
    <w:rsid w:val="00074DD5"/>
    <w:rsid w:val="00076CA5"/>
    <w:rsid w:val="00076D50"/>
    <w:rsid w:val="000807AC"/>
    <w:rsid w:val="000813B1"/>
    <w:rsid w:val="000831BA"/>
    <w:rsid w:val="000839C8"/>
    <w:rsid w:val="0008594D"/>
    <w:rsid w:val="00090B54"/>
    <w:rsid w:val="000938F5"/>
    <w:rsid w:val="00093F21"/>
    <w:rsid w:val="000943D5"/>
    <w:rsid w:val="00096E55"/>
    <w:rsid w:val="00096ECF"/>
    <w:rsid w:val="000B0E0F"/>
    <w:rsid w:val="000B1801"/>
    <w:rsid w:val="000B2E19"/>
    <w:rsid w:val="000B42F7"/>
    <w:rsid w:val="000B601B"/>
    <w:rsid w:val="000B647E"/>
    <w:rsid w:val="000C0227"/>
    <w:rsid w:val="000C207E"/>
    <w:rsid w:val="000C4CEA"/>
    <w:rsid w:val="000D34CD"/>
    <w:rsid w:val="000D4D84"/>
    <w:rsid w:val="000D6750"/>
    <w:rsid w:val="000D6A90"/>
    <w:rsid w:val="000D7875"/>
    <w:rsid w:val="000E2D72"/>
    <w:rsid w:val="000E50D2"/>
    <w:rsid w:val="000F0035"/>
    <w:rsid w:val="000F016F"/>
    <w:rsid w:val="000F420B"/>
    <w:rsid w:val="000F48A8"/>
    <w:rsid w:val="000F5C71"/>
    <w:rsid w:val="000F7906"/>
    <w:rsid w:val="0010006C"/>
    <w:rsid w:val="00102BAD"/>
    <w:rsid w:val="00103F51"/>
    <w:rsid w:val="00104697"/>
    <w:rsid w:val="00110116"/>
    <w:rsid w:val="00110D58"/>
    <w:rsid w:val="0011127E"/>
    <w:rsid w:val="001118AC"/>
    <w:rsid w:val="001137AF"/>
    <w:rsid w:val="00117F3D"/>
    <w:rsid w:val="00120072"/>
    <w:rsid w:val="00126EB8"/>
    <w:rsid w:val="001274D4"/>
    <w:rsid w:val="00127A46"/>
    <w:rsid w:val="00127DB0"/>
    <w:rsid w:val="001314BB"/>
    <w:rsid w:val="001363AA"/>
    <w:rsid w:val="00143BC5"/>
    <w:rsid w:val="001462A0"/>
    <w:rsid w:val="001506B6"/>
    <w:rsid w:val="00151665"/>
    <w:rsid w:val="001519D2"/>
    <w:rsid w:val="00163381"/>
    <w:rsid w:val="00166A6C"/>
    <w:rsid w:val="00174194"/>
    <w:rsid w:val="00176120"/>
    <w:rsid w:val="0017747C"/>
    <w:rsid w:val="001827E5"/>
    <w:rsid w:val="00183E82"/>
    <w:rsid w:val="001846CA"/>
    <w:rsid w:val="001878BB"/>
    <w:rsid w:val="00191AE0"/>
    <w:rsid w:val="0019293B"/>
    <w:rsid w:val="00193844"/>
    <w:rsid w:val="0019426B"/>
    <w:rsid w:val="001A0D07"/>
    <w:rsid w:val="001A1F61"/>
    <w:rsid w:val="001A22AB"/>
    <w:rsid w:val="001A26F1"/>
    <w:rsid w:val="001B14C7"/>
    <w:rsid w:val="001B2E6B"/>
    <w:rsid w:val="001B355A"/>
    <w:rsid w:val="001B68D6"/>
    <w:rsid w:val="001C0865"/>
    <w:rsid w:val="001C0DB6"/>
    <w:rsid w:val="001C1178"/>
    <w:rsid w:val="001C16CC"/>
    <w:rsid w:val="001C1D43"/>
    <w:rsid w:val="001C3786"/>
    <w:rsid w:val="001C3ABA"/>
    <w:rsid w:val="001C4B99"/>
    <w:rsid w:val="001C4BF6"/>
    <w:rsid w:val="001C6622"/>
    <w:rsid w:val="001C6B02"/>
    <w:rsid w:val="001D013C"/>
    <w:rsid w:val="001D15DE"/>
    <w:rsid w:val="001D3114"/>
    <w:rsid w:val="001D3DF8"/>
    <w:rsid w:val="001D47EA"/>
    <w:rsid w:val="001D5816"/>
    <w:rsid w:val="001D6521"/>
    <w:rsid w:val="001D6A9A"/>
    <w:rsid w:val="001E4287"/>
    <w:rsid w:val="001E4A9F"/>
    <w:rsid w:val="001E582E"/>
    <w:rsid w:val="001E6F34"/>
    <w:rsid w:val="001E7BE8"/>
    <w:rsid w:val="001F0248"/>
    <w:rsid w:val="001F3EB3"/>
    <w:rsid w:val="001F4F86"/>
    <w:rsid w:val="001F671D"/>
    <w:rsid w:val="00202C2C"/>
    <w:rsid w:val="00205005"/>
    <w:rsid w:val="002052E2"/>
    <w:rsid w:val="00205720"/>
    <w:rsid w:val="0021061E"/>
    <w:rsid w:val="00210800"/>
    <w:rsid w:val="00210AE6"/>
    <w:rsid w:val="002135AB"/>
    <w:rsid w:val="002144BE"/>
    <w:rsid w:val="0021486A"/>
    <w:rsid w:val="00215F9C"/>
    <w:rsid w:val="002272A5"/>
    <w:rsid w:val="0023019E"/>
    <w:rsid w:val="0023122B"/>
    <w:rsid w:val="002324DA"/>
    <w:rsid w:val="00233164"/>
    <w:rsid w:val="00236992"/>
    <w:rsid w:val="002377DE"/>
    <w:rsid w:val="00241F35"/>
    <w:rsid w:val="00242279"/>
    <w:rsid w:val="00244450"/>
    <w:rsid w:val="00245C82"/>
    <w:rsid w:val="002471D6"/>
    <w:rsid w:val="00247AEF"/>
    <w:rsid w:val="00247D97"/>
    <w:rsid w:val="002503F9"/>
    <w:rsid w:val="002505BE"/>
    <w:rsid w:val="002508D3"/>
    <w:rsid w:val="00250E4C"/>
    <w:rsid w:val="00251E7F"/>
    <w:rsid w:val="00252FC2"/>
    <w:rsid w:val="002641A8"/>
    <w:rsid w:val="002651D3"/>
    <w:rsid w:val="00265AB8"/>
    <w:rsid w:val="002665BC"/>
    <w:rsid w:val="00266F95"/>
    <w:rsid w:val="00273A41"/>
    <w:rsid w:val="00273A7C"/>
    <w:rsid w:val="002744DF"/>
    <w:rsid w:val="00276DD2"/>
    <w:rsid w:val="00282698"/>
    <w:rsid w:val="002835B9"/>
    <w:rsid w:val="00284535"/>
    <w:rsid w:val="00284F5D"/>
    <w:rsid w:val="00286854"/>
    <w:rsid w:val="00287FCE"/>
    <w:rsid w:val="00290D4C"/>
    <w:rsid w:val="00291B40"/>
    <w:rsid w:val="00295F88"/>
    <w:rsid w:val="00296587"/>
    <w:rsid w:val="002A0833"/>
    <w:rsid w:val="002A1C1B"/>
    <w:rsid w:val="002A4CB3"/>
    <w:rsid w:val="002A68C3"/>
    <w:rsid w:val="002A7C80"/>
    <w:rsid w:val="002B088D"/>
    <w:rsid w:val="002B4008"/>
    <w:rsid w:val="002C3139"/>
    <w:rsid w:val="002C57D8"/>
    <w:rsid w:val="002D0E8E"/>
    <w:rsid w:val="002D1869"/>
    <w:rsid w:val="002D2142"/>
    <w:rsid w:val="002D331C"/>
    <w:rsid w:val="002D3536"/>
    <w:rsid w:val="002D4ECD"/>
    <w:rsid w:val="002D589F"/>
    <w:rsid w:val="002D7646"/>
    <w:rsid w:val="002D7940"/>
    <w:rsid w:val="002E6A13"/>
    <w:rsid w:val="002E6C4F"/>
    <w:rsid w:val="002E7A95"/>
    <w:rsid w:val="002F0E99"/>
    <w:rsid w:val="002F3DCB"/>
    <w:rsid w:val="002F3DD8"/>
    <w:rsid w:val="002F6AB4"/>
    <w:rsid w:val="00301189"/>
    <w:rsid w:val="00301CCE"/>
    <w:rsid w:val="00307976"/>
    <w:rsid w:val="00311DC3"/>
    <w:rsid w:val="0031515F"/>
    <w:rsid w:val="00323E09"/>
    <w:rsid w:val="0032423D"/>
    <w:rsid w:val="003246B5"/>
    <w:rsid w:val="00324BA9"/>
    <w:rsid w:val="00324EAF"/>
    <w:rsid w:val="003260AE"/>
    <w:rsid w:val="003264EB"/>
    <w:rsid w:val="00326619"/>
    <w:rsid w:val="00330608"/>
    <w:rsid w:val="00333932"/>
    <w:rsid w:val="00334B5F"/>
    <w:rsid w:val="00334BAA"/>
    <w:rsid w:val="00341958"/>
    <w:rsid w:val="00342784"/>
    <w:rsid w:val="0034300E"/>
    <w:rsid w:val="00345F80"/>
    <w:rsid w:val="003470FB"/>
    <w:rsid w:val="003518AA"/>
    <w:rsid w:val="00352165"/>
    <w:rsid w:val="00353182"/>
    <w:rsid w:val="003565D9"/>
    <w:rsid w:val="003602E1"/>
    <w:rsid w:val="00360F78"/>
    <w:rsid w:val="0036193C"/>
    <w:rsid w:val="0036716B"/>
    <w:rsid w:val="00370019"/>
    <w:rsid w:val="0037026F"/>
    <w:rsid w:val="00370590"/>
    <w:rsid w:val="00371114"/>
    <w:rsid w:val="00371240"/>
    <w:rsid w:val="00374731"/>
    <w:rsid w:val="003754C1"/>
    <w:rsid w:val="00375B58"/>
    <w:rsid w:val="003766EA"/>
    <w:rsid w:val="00376E59"/>
    <w:rsid w:val="003808B6"/>
    <w:rsid w:val="00385B2A"/>
    <w:rsid w:val="003871B5"/>
    <w:rsid w:val="003919F9"/>
    <w:rsid w:val="00393A5C"/>
    <w:rsid w:val="00393DA9"/>
    <w:rsid w:val="003943CB"/>
    <w:rsid w:val="00395253"/>
    <w:rsid w:val="00397ADB"/>
    <w:rsid w:val="003A0470"/>
    <w:rsid w:val="003A53D6"/>
    <w:rsid w:val="003A6F15"/>
    <w:rsid w:val="003B0702"/>
    <w:rsid w:val="003B2D8B"/>
    <w:rsid w:val="003B3D20"/>
    <w:rsid w:val="003B4E92"/>
    <w:rsid w:val="003C2C5E"/>
    <w:rsid w:val="003C38B5"/>
    <w:rsid w:val="003C5D99"/>
    <w:rsid w:val="003C75C9"/>
    <w:rsid w:val="003D1B19"/>
    <w:rsid w:val="003D1D7A"/>
    <w:rsid w:val="003D7B9B"/>
    <w:rsid w:val="003E2F59"/>
    <w:rsid w:val="003E55C2"/>
    <w:rsid w:val="003F0789"/>
    <w:rsid w:val="003F0B2F"/>
    <w:rsid w:val="003F4568"/>
    <w:rsid w:val="003F5EE6"/>
    <w:rsid w:val="003F71BB"/>
    <w:rsid w:val="003F7B30"/>
    <w:rsid w:val="00401882"/>
    <w:rsid w:val="00403336"/>
    <w:rsid w:val="00404428"/>
    <w:rsid w:val="00404524"/>
    <w:rsid w:val="004069D4"/>
    <w:rsid w:val="004100C8"/>
    <w:rsid w:val="00411D58"/>
    <w:rsid w:val="00411DBD"/>
    <w:rsid w:val="00412ACE"/>
    <w:rsid w:val="00417D0A"/>
    <w:rsid w:val="0042136B"/>
    <w:rsid w:val="00421C4A"/>
    <w:rsid w:val="004267F4"/>
    <w:rsid w:val="00431249"/>
    <w:rsid w:val="004317F2"/>
    <w:rsid w:val="0043351F"/>
    <w:rsid w:val="004349CD"/>
    <w:rsid w:val="00434C19"/>
    <w:rsid w:val="00434E0D"/>
    <w:rsid w:val="004363F7"/>
    <w:rsid w:val="00450810"/>
    <w:rsid w:val="00451D1B"/>
    <w:rsid w:val="004575A2"/>
    <w:rsid w:val="00461EE7"/>
    <w:rsid w:val="00466F51"/>
    <w:rsid w:val="004750DC"/>
    <w:rsid w:val="00475933"/>
    <w:rsid w:val="00477144"/>
    <w:rsid w:val="00477EF0"/>
    <w:rsid w:val="00482011"/>
    <w:rsid w:val="00483E8E"/>
    <w:rsid w:val="00491380"/>
    <w:rsid w:val="00491E33"/>
    <w:rsid w:val="0049459F"/>
    <w:rsid w:val="004A0DE4"/>
    <w:rsid w:val="004A38DD"/>
    <w:rsid w:val="004A607B"/>
    <w:rsid w:val="004A6F7E"/>
    <w:rsid w:val="004A78F1"/>
    <w:rsid w:val="004A7CC1"/>
    <w:rsid w:val="004B36C6"/>
    <w:rsid w:val="004B43AE"/>
    <w:rsid w:val="004B6C9F"/>
    <w:rsid w:val="004B7D86"/>
    <w:rsid w:val="004C2284"/>
    <w:rsid w:val="004C30ED"/>
    <w:rsid w:val="004C3E57"/>
    <w:rsid w:val="004C7745"/>
    <w:rsid w:val="004C77FF"/>
    <w:rsid w:val="004D19EF"/>
    <w:rsid w:val="004D2ABA"/>
    <w:rsid w:val="004D5675"/>
    <w:rsid w:val="004D6B6E"/>
    <w:rsid w:val="004E36A5"/>
    <w:rsid w:val="004F3278"/>
    <w:rsid w:val="004F4C35"/>
    <w:rsid w:val="004F55DE"/>
    <w:rsid w:val="004F7B15"/>
    <w:rsid w:val="00504B69"/>
    <w:rsid w:val="00510FD7"/>
    <w:rsid w:val="005113B2"/>
    <w:rsid w:val="0051163A"/>
    <w:rsid w:val="00514A6A"/>
    <w:rsid w:val="00516358"/>
    <w:rsid w:val="00523639"/>
    <w:rsid w:val="00523992"/>
    <w:rsid w:val="00525584"/>
    <w:rsid w:val="00525843"/>
    <w:rsid w:val="00531FE5"/>
    <w:rsid w:val="005360D7"/>
    <w:rsid w:val="005363FA"/>
    <w:rsid w:val="00537753"/>
    <w:rsid w:val="005402FA"/>
    <w:rsid w:val="005413BE"/>
    <w:rsid w:val="005422C0"/>
    <w:rsid w:val="00542465"/>
    <w:rsid w:val="00545774"/>
    <w:rsid w:val="00553258"/>
    <w:rsid w:val="00556123"/>
    <w:rsid w:val="00562E45"/>
    <w:rsid w:val="00563BF3"/>
    <w:rsid w:val="00564311"/>
    <w:rsid w:val="00570D1F"/>
    <w:rsid w:val="0057101C"/>
    <w:rsid w:val="00583C39"/>
    <w:rsid w:val="00584FFC"/>
    <w:rsid w:val="0058592D"/>
    <w:rsid w:val="00587F28"/>
    <w:rsid w:val="005909CF"/>
    <w:rsid w:val="00591E71"/>
    <w:rsid w:val="00592027"/>
    <w:rsid w:val="005A0D41"/>
    <w:rsid w:val="005A6937"/>
    <w:rsid w:val="005A735F"/>
    <w:rsid w:val="005B0211"/>
    <w:rsid w:val="005B1195"/>
    <w:rsid w:val="005B11B0"/>
    <w:rsid w:val="005B29B0"/>
    <w:rsid w:val="005B3171"/>
    <w:rsid w:val="005B602F"/>
    <w:rsid w:val="005C0BDA"/>
    <w:rsid w:val="005C1EC8"/>
    <w:rsid w:val="005C488F"/>
    <w:rsid w:val="005C7DAA"/>
    <w:rsid w:val="005D0755"/>
    <w:rsid w:val="005D6214"/>
    <w:rsid w:val="005D677F"/>
    <w:rsid w:val="005E104D"/>
    <w:rsid w:val="005E4019"/>
    <w:rsid w:val="005E5205"/>
    <w:rsid w:val="005E65E5"/>
    <w:rsid w:val="005E7E56"/>
    <w:rsid w:val="005F5059"/>
    <w:rsid w:val="00601F00"/>
    <w:rsid w:val="00607AE8"/>
    <w:rsid w:val="00607BF1"/>
    <w:rsid w:val="0061349E"/>
    <w:rsid w:val="00614728"/>
    <w:rsid w:val="00616851"/>
    <w:rsid w:val="00616F82"/>
    <w:rsid w:val="006177E3"/>
    <w:rsid w:val="00620B78"/>
    <w:rsid w:val="0062151C"/>
    <w:rsid w:val="006216FC"/>
    <w:rsid w:val="00621CAD"/>
    <w:rsid w:val="00622A6F"/>
    <w:rsid w:val="0062320A"/>
    <w:rsid w:val="0062425B"/>
    <w:rsid w:val="00630D4D"/>
    <w:rsid w:val="00631B26"/>
    <w:rsid w:val="00632A74"/>
    <w:rsid w:val="00632CB0"/>
    <w:rsid w:val="006416D7"/>
    <w:rsid w:val="00642676"/>
    <w:rsid w:val="00643464"/>
    <w:rsid w:val="006505EB"/>
    <w:rsid w:val="006605DE"/>
    <w:rsid w:val="0066333D"/>
    <w:rsid w:val="00663734"/>
    <w:rsid w:val="00663D61"/>
    <w:rsid w:val="00675B29"/>
    <w:rsid w:val="006763A6"/>
    <w:rsid w:val="0067651C"/>
    <w:rsid w:val="0067731F"/>
    <w:rsid w:val="006823CB"/>
    <w:rsid w:val="0068409D"/>
    <w:rsid w:val="00694104"/>
    <w:rsid w:val="00694373"/>
    <w:rsid w:val="006A4655"/>
    <w:rsid w:val="006A6CED"/>
    <w:rsid w:val="006B219C"/>
    <w:rsid w:val="006B2B3C"/>
    <w:rsid w:val="006B6F89"/>
    <w:rsid w:val="006B751A"/>
    <w:rsid w:val="006C085A"/>
    <w:rsid w:val="006C1D81"/>
    <w:rsid w:val="006C2E6A"/>
    <w:rsid w:val="006C6013"/>
    <w:rsid w:val="006C7038"/>
    <w:rsid w:val="006C7AD6"/>
    <w:rsid w:val="006D20C1"/>
    <w:rsid w:val="006E2D99"/>
    <w:rsid w:val="006E326C"/>
    <w:rsid w:val="006E349A"/>
    <w:rsid w:val="006E3A26"/>
    <w:rsid w:val="006E3B0B"/>
    <w:rsid w:val="006E714E"/>
    <w:rsid w:val="006E73EF"/>
    <w:rsid w:val="006F23B7"/>
    <w:rsid w:val="006F2516"/>
    <w:rsid w:val="006F438E"/>
    <w:rsid w:val="006F49C3"/>
    <w:rsid w:val="006F63CB"/>
    <w:rsid w:val="007011B0"/>
    <w:rsid w:val="00703529"/>
    <w:rsid w:val="00704933"/>
    <w:rsid w:val="00705A23"/>
    <w:rsid w:val="00712719"/>
    <w:rsid w:val="00712A04"/>
    <w:rsid w:val="00714D4D"/>
    <w:rsid w:val="00715206"/>
    <w:rsid w:val="00717548"/>
    <w:rsid w:val="00721E60"/>
    <w:rsid w:val="00722291"/>
    <w:rsid w:val="007233A7"/>
    <w:rsid w:val="00732D0D"/>
    <w:rsid w:val="00734688"/>
    <w:rsid w:val="00740FAA"/>
    <w:rsid w:val="007477C0"/>
    <w:rsid w:val="00751C3F"/>
    <w:rsid w:val="007604BB"/>
    <w:rsid w:val="00761D7A"/>
    <w:rsid w:val="00762469"/>
    <w:rsid w:val="00770378"/>
    <w:rsid w:val="0077049F"/>
    <w:rsid w:val="0077319A"/>
    <w:rsid w:val="00774799"/>
    <w:rsid w:val="00785232"/>
    <w:rsid w:val="007917A7"/>
    <w:rsid w:val="0079430C"/>
    <w:rsid w:val="007A21EB"/>
    <w:rsid w:val="007A59BF"/>
    <w:rsid w:val="007A66DC"/>
    <w:rsid w:val="007A6C45"/>
    <w:rsid w:val="007B06E8"/>
    <w:rsid w:val="007B13F1"/>
    <w:rsid w:val="007B1A93"/>
    <w:rsid w:val="007B3141"/>
    <w:rsid w:val="007B4522"/>
    <w:rsid w:val="007C02A5"/>
    <w:rsid w:val="007C099C"/>
    <w:rsid w:val="007C288F"/>
    <w:rsid w:val="007C36C9"/>
    <w:rsid w:val="007C4106"/>
    <w:rsid w:val="007D0859"/>
    <w:rsid w:val="007D6401"/>
    <w:rsid w:val="007D6D0C"/>
    <w:rsid w:val="007D7FC4"/>
    <w:rsid w:val="007E01E4"/>
    <w:rsid w:val="007E1088"/>
    <w:rsid w:val="007E25BE"/>
    <w:rsid w:val="007F0C57"/>
    <w:rsid w:val="007F27FD"/>
    <w:rsid w:val="007F6DDB"/>
    <w:rsid w:val="007F7107"/>
    <w:rsid w:val="00800D4C"/>
    <w:rsid w:val="00801BE1"/>
    <w:rsid w:val="00802827"/>
    <w:rsid w:val="0080585A"/>
    <w:rsid w:val="0081030F"/>
    <w:rsid w:val="00813206"/>
    <w:rsid w:val="008153F0"/>
    <w:rsid w:val="0082087D"/>
    <w:rsid w:val="00821ECF"/>
    <w:rsid w:val="00826BB8"/>
    <w:rsid w:val="00827BF5"/>
    <w:rsid w:val="00830434"/>
    <w:rsid w:val="00830731"/>
    <w:rsid w:val="00834B7C"/>
    <w:rsid w:val="00835771"/>
    <w:rsid w:val="0083652C"/>
    <w:rsid w:val="00836CE0"/>
    <w:rsid w:val="00840346"/>
    <w:rsid w:val="008409DC"/>
    <w:rsid w:val="00841274"/>
    <w:rsid w:val="008415D8"/>
    <w:rsid w:val="00842933"/>
    <w:rsid w:val="00844F0A"/>
    <w:rsid w:val="00845F9A"/>
    <w:rsid w:val="0085096F"/>
    <w:rsid w:val="0085251C"/>
    <w:rsid w:val="008548D7"/>
    <w:rsid w:val="008557A9"/>
    <w:rsid w:val="0086082C"/>
    <w:rsid w:val="008610EF"/>
    <w:rsid w:val="008632A7"/>
    <w:rsid w:val="00863D4C"/>
    <w:rsid w:val="0086401A"/>
    <w:rsid w:val="00864ADC"/>
    <w:rsid w:val="00866625"/>
    <w:rsid w:val="00873840"/>
    <w:rsid w:val="00875844"/>
    <w:rsid w:val="00876617"/>
    <w:rsid w:val="00880153"/>
    <w:rsid w:val="00880F97"/>
    <w:rsid w:val="0088133A"/>
    <w:rsid w:val="00881505"/>
    <w:rsid w:val="00884330"/>
    <w:rsid w:val="00885F80"/>
    <w:rsid w:val="008912DE"/>
    <w:rsid w:val="0089285E"/>
    <w:rsid w:val="00892F02"/>
    <w:rsid w:val="0089436C"/>
    <w:rsid w:val="00894416"/>
    <w:rsid w:val="00895771"/>
    <w:rsid w:val="00897415"/>
    <w:rsid w:val="00897C12"/>
    <w:rsid w:val="008A206B"/>
    <w:rsid w:val="008A2DF5"/>
    <w:rsid w:val="008A2F64"/>
    <w:rsid w:val="008A6F9D"/>
    <w:rsid w:val="008B0048"/>
    <w:rsid w:val="008B528F"/>
    <w:rsid w:val="008B6575"/>
    <w:rsid w:val="008C135C"/>
    <w:rsid w:val="008C16DB"/>
    <w:rsid w:val="008C5810"/>
    <w:rsid w:val="008C61B2"/>
    <w:rsid w:val="008C7608"/>
    <w:rsid w:val="008D0147"/>
    <w:rsid w:val="008D365C"/>
    <w:rsid w:val="008D6EF6"/>
    <w:rsid w:val="008D7303"/>
    <w:rsid w:val="008D73F7"/>
    <w:rsid w:val="008D740C"/>
    <w:rsid w:val="008E1803"/>
    <w:rsid w:val="008E53FD"/>
    <w:rsid w:val="008E5540"/>
    <w:rsid w:val="008E5704"/>
    <w:rsid w:val="008E5B1E"/>
    <w:rsid w:val="008E5FB8"/>
    <w:rsid w:val="008F3487"/>
    <w:rsid w:val="00901F00"/>
    <w:rsid w:val="009027C0"/>
    <w:rsid w:val="009030BF"/>
    <w:rsid w:val="009032CE"/>
    <w:rsid w:val="009042BA"/>
    <w:rsid w:val="00905061"/>
    <w:rsid w:val="0091032F"/>
    <w:rsid w:val="00910DC5"/>
    <w:rsid w:val="00912B90"/>
    <w:rsid w:val="00914368"/>
    <w:rsid w:val="00914ABD"/>
    <w:rsid w:val="009209D0"/>
    <w:rsid w:val="00921D5E"/>
    <w:rsid w:val="00926DA2"/>
    <w:rsid w:val="00931076"/>
    <w:rsid w:val="009345D9"/>
    <w:rsid w:val="009347FE"/>
    <w:rsid w:val="00934B15"/>
    <w:rsid w:val="00940C87"/>
    <w:rsid w:val="00942B62"/>
    <w:rsid w:val="009435D7"/>
    <w:rsid w:val="00944AF0"/>
    <w:rsid w:val="00946AC0"/>
    <w:rsid w:val="0095323B"/>
    <w:rsid w:val="00956A0C"/>
    <w:rsid w:val="00956BD9"/>
    <w:rsid w:val="009570C5"/>
    <w:rsid w:val="00962253"/>
    <w:rsid w:val="00962489"/>
    <w:rsid w:val="009674FA"/>
    <w:rsid w:val="00970F42"/>
    <w:rsid w:val="00973365"/>
    <w:rsid w:val="00973872"/>
    <w:rsid w:val="009746F1"/>
    <w:rsid w:val="00975A7F"/>
    <w:rsid w:val="00976F10"/>
    <w:rsid w:val="00977C50"/>
    <w:rsid w:val="00984617"/>
    <w:rsid w:val="00984A9B"/>
    <w:rsid w:val="0098522B"/>
    <w:rsid w:val="00986F91"/>
    <w:rsid w:val="00990C2C"/>
    <w:rsid w:val="00992806"/>
    <w:rsid w:val="0099513C"/>
    <w:rsid w:val="009A2079"/>
    <w:rsid w:val="009A34C1"/>
    <w:rsid w:val="009A6F50"/>
    <w:rsid w:val="009B08AF"/>
    <w:rsid w:val="009B282A"/>
    <w:rsid w:val="009B41F8"/>
    <w:rsid w:val="009B5CBC"/>
    <w:rsid w:val="009C6283"/>
    <w:rsid w:val="009C66BB"/>
    <w:rsid w:val="009D472A"/>
    <w:rsid w:val="009D54DF"/>
    <w:rsid w:val="009D564E"/>
    <w:rsid w:val="009E16B7"/>
    <w:rsid w:val="009E1844"/>
    <w:rsid w:val="009E3369"/>
    <w:rsid w:val="009E3731"/>
    <w:rsid w:val="009E5BFD"/>
    <w:rsid w:val="009E6691"/>
    <w:rsid w:val="009E76AF"/>
    <w:rsid w:val="009F0D1B"/>
    <w:rsid w:val="009F696D"/>
    <w:rsid w:val="009F6BC6"/>
    <w:rsid w:val="00A03430"/>
    <w:rsid w:val="00A0346A"/>
    <w:rsid w:val="00A03BB9"/>
    <w:rsid w:val="00A05FB8"/>
    <w:rsid w:val="00A11F2E"/>
    <w:rsid w:val="00A1420F"/>
    <w:rsid w:val="00A1483C"/>
    <w:rsid w:val="00A153E0"/>
    <w:rsid w:val="00A17328"/>
    <w:rsid w:val="00A21D44"/>
    <w:rsid w:val="00A22A5D"/>
    <w:rsid w:val="00A23A20"/>
    <w:rsid w:val="00A244CC"/>
    <w:rsid w:val="00A25D9C"/>
    <w:rsid w:val="00A268B9"/>
    <w:rsid w:val="00A2703A"/>
    <w:rsid w:val="00A311B5"/>
    <w:rsid w:val="00A317A0"/>
    <w:rsid w:val="00A33DFF"/>
    <w:rsid w:val="00A35115"/>
    <w:rsid w:val="00A358E3"/>
    <w:rsid w:val="00A36D9A"/>
    <w:rsid w:val="00A37C75"/>
    <w:rsid w:val="00A37C81"/>
    <w:rsid w:val="00A401DF"/>
    <w:rsid w:val="00A4051F"/>
    <w:rsid w:val="00A416F2"/>
    <w:rsid w:val="00A45961"/>
    <w:rsid w:val="00A47F16"/>
    <w:rsid w:val="00A53B71"/>
    <w:rsid w:val="00A554AB"/>
    <w:rsid w:val="00A55EEF"/>
    <w:rsid w:val="00A564FE"/>
    <w:rsid w:val="00A56988"/>
    <w:rsid w:val="00A57062"/>
    <w:rsid w:val="00A60115"/>
    <w:rsid w:val="00A65C00"/>
    <w:rsid w:val="00A666A1"/>
    <w:rsid w:val="00A66772"/>
    <w:rsid w:val="00A6685B"/>
    <w:rsid w:val="00A71F16"/>
    <w:rsid w:val="00A72571"/>
    <w:rsid w:val="00A725B2"/>
    <w:rsid w:val="00A72C6E"/>
    <w:rsid w:val="00A7661B"/>
    <w:rsid w:val="00A86236"/>
    <w:rsid w:val="00A87AE0"/>
    <w:rsid w:val="00A90D08"/>
    <w:rsid w:val="00A917F3"/>
    <w:rsid w:val="00A92B53"/>
    <w:rsid w:val="00A94FA6"/>
    <w:rsid w:val="00AA00CA"/>
    <w:rsid w:val="00AA0123"/>
    <w:rsid w:val="00AA1E1F"/>
    <w:rsid w:val="00AA3C29"/>
    <w:rsid w:val="00AA49A0"/>
    <w:rsid w:val="00AA6710"/>
    <w:rsid w:val="00AB0681"/>
    <w:rsid w:val="00AB5399"/>
    <w:rsid w:val="00AB553A"/>
    <w:rsid w:val="00AC17E7"/>
    <w:rsid w:val="00AD0666"/>
    <w:rsid w:val="00AD0D0B"/>
    <w:rsid w:val="00AD2DED"/>
    <w:rsid w:val="00AD4C82"/>
    <w:rsid w:val="00AD520B"/>
    <w:rsid w:val="00AD6F37"/>
    <w:rsid w:val="00AE2D5D"/>
    <w:rsid w:val="00AF0650"/>
    <w:rsid w:val="00AF18E6"/>
    <w:rsid w:val="00AF2019"/>
    <w:rsid w:val="00AF41AF"/>
    <w:rsid w:val="00AF4FBC"/>
    <w:rsid w:val="00AF5753"/>
    <w:rsid w:val="00AF7F66"/>
    <w:rsid w:val="00B0081F"/>
    <w:rsid w:val="00B01663"/>
    <w:rsid w:val="00B01AB1"/>
    <w:rsid w:val="00B0436E"/>
    <w:rsid w:val="00B1438C"/>
    <w:rsid w:val="00B2098E"/>
    <w:rsid w:val="00B33293"/>
    <w:rsid w:val="00B33930"/>
    <w:rsid w:val="00B33E17"/>
    <w:rsid w:val="00B37913"/>
    <w:rsid w:val="00B421A9"/>
    <w:rsid w:val="00B425C3"/>
    <w:rsid w:val="00B43484"/>
    <w:rsid w:val="00B440AD"/>
    <w:rsid w:val="00B442A8"/>
    <w:rsid w:val="00B44C31"/>
    <w:rsid w:val="00B45425"/>
    <w:rsid w:val="00B45843"/>
    <w:rsid w:val="00B46645"/>
    <w:rsid w:val="00B479BB"/>
    <w:rsid w:val="00B51A71"/>
    <w:rsid w:val="00B524A7"/>
    <w:rsid w:val="00B53E7E"/>
    <w:rsid w:val="00B55119"/>
    <w:rsid w:val="00B554C0"/>
    <w:rsid w:val="00B60194"/>
    <w:rsid w:val="00B6342E"/>
    <w:rsid w:val="00B676FC"/>
    <w:rsid w:val="00B70FB1"/>
    <w:rsid w:val="00B7113F"/>
    <w:rsid w:val="00B71745"/>
    <w:rsid w:val="00B72CC1"/>
    <w:rsid w:val="00B72E64"/>
    <w:rsid w:val="00B7588D"/>
    <w:rsid w:val="00B81D68"/>
    <w:rsid w:val="00B82481"/>
    <w:rsid w:val="00B83C62"/>
    <w:rsid w:val="00B85F59"/>
    <w:rsid w:val="00B90CB1"/>
    <w:rsid w:val="00B94D0F"/>
    <w:rsid w:val="00B95FE3"/>
    <w:rsid w:val="00B9673A"/>
    <w:rsid w:val="00B96C28"/>
    <w:rsid w:val="00B96E53"/>
    <w:rsid w:val="00B9704E"/>
    <w:rsid w:val="00BA2EB8"/>
    <w:rsid w:val="00BA5AA9"/>
    <w:rsid w:val="00BA65B3"/>
    <w:rsid w:val="00BA73B6"/>
    <w:rsid w:val="00BA7E27"/>
    <w:rsid w:val="00BB2603"/>
    <w:rsid w:val="00BB4FCD"/>
    <w:rsid w:val="00BB61AC"/>
    <w:rsid w:val="00BB6F71"/>
    <w:rsid w:val="00BC04E9"/>
    <w:rsid w:val="00BC0C13"/>
    <w:rsid w:val="00BC1207"/>
    <w:rsid w:val="00BC3CE9"/>
    <w:rsid w:val="00BC52B0"/>
    <w:rsid w:val="00BD13EA"/>
    <w:rsid w:val="00BD2633"/>
    <w:rsid w:val="00BD2AA3"/>
    <w:rsid w:val="00BE1751"/>
    <w:rsid w:val="00BE2E89"/>
    <w:rsid w:val="00BE33EE"/>
    <w:rsid w:val="00BE3808"/>
    <w:rsid w:val="00BF0D2E"/>
    <w:rsid w:val="00BF48A3"/>
    <w:rsid w:val="00BF614B"/>
    <w:rsid w:val="00BF70EC"/>
    <w:rsid w:val="00C02CF5"/>
    <w:rsid w:val="00C02E95"/>
    <w:rsid w:val="00C031D5"/>
    <w:rsid w:val="00C062E9"/>
    <w:rsid w:val="00C07B64"/>
    <w:rsid w:val="00C100A9"/>
    <w:rsid w:val="00C109C9"/>
    <w:rsid w:val="00C12A01"/>
    <w:rsid w:val="00C136EB"/>
    <w:rsid w:val="00C13721"/>
    <w:rsid w:val="00C14FE4"/>
    <w:rsid w:val="00C17B54"/>
    <w:rsid w:val="00C228D2"/>
    <w:rsid w:val="00C2502E"/>
    <w:rsid w:val="00C254A5"/>
    <w:rsid w:val="00C3066D"/>
    <w:rsid w:val="00C333A9"/>
    <w:rsid w:val="00C33516"/>
    <w:rsid w:val="00C33B77"/>
    <w:rsid w:val="00C340DF"/>
    <w:rsid w:val="00C34C6B"/>
    <w:rsid w:val="00C41586"/>
    <w:rsid w:val="00C43B2E"/>
    <w:rsid w:val="00C51B36"/>
    <w:rsid w:val="00C520D3"/>
    <w:rsid w:val="00C52416"/>
    <w:rsid w:val="00C53A88"/>
    <w:rsid w:val="00C543F4"/>
    <w:rsid w:val="00C55A50"/>
    <w:rsid w:val="00C57677"/>
    <w:rsid w:val="00C61814"/>
    <w:rsid w:val="00C6291C"/>
    <w:rsid w:val="00C633CB"/>
    <w:rsid w:val="00C656E8"/>
    <w:rsid w:val="00C71B58"/>
    <w:rsid w:val="00C736B7"/>
    <w:rsid w:val="00C81D4A"/>
    <w:rsid w:val="00C83B0A"/>
    <w:rsid w:val="00C862BD"/>
    <w:rsid w:val="00C86ED0"/>
    <w:rsid w:val="00C8762C"/>
    <w:rsid w:val="00C912D0"/>
    <w:rsid w:val="00C92864"/>
    <w:rsid w:val="00C93E66"/>
    <w:rsid w:val="00C97503"/>
    <w:rsid w:val="00CA00F9"/>
    <w:rsid w:val="00CA2961"/>
    <w:rsid w:val="00CA39C6"/>
    <w:rsid w:val="00CA4ED8"/>
    <w:rsid w:val="00CA618B"/>
    <w:rsid w:val="00CA634E"/>
    <w:rsid w:val="00CA7051"/>
    <w:rsid w:val="00CB0450"/>
    <w:rsid w:val="00CB10EE"/>
    <w:rsid w:val="00CB50D7"/>
    <w:rsid w:val="00CB5B89"/>
    <w:rsid w:val="00CB6695"/>
    <w:rsid w:val="00CB6E95"/>
    <w:rsid w:val="00CB7177"/>
    <w:rsid w:val="00CC1998"/>
    <w:rsid w:val="00CC257D"/>
    <w:rsid w:val="00CC4946"/>
    <w:rsid w:val="00CD0F1B"/>
    <w:rsid w:val="00CD56EF"/>
    <w:rsid w:val="00CE104B"/>
    <w:rsid w:val="00CE1428"/>
    <w:rsid w:val="00CF09F0"/>
    <w:rsid w:val="00CF552B"/>
    <w:rsid w:val="00CF707A"/>
    <w:rsid w:val="00D010D2"/>
    <w:rsid w:val="00D112F5"/>
    <w:rsid w:val="00D13809"/>
    <w:rsid w:val="00D270A4"/>
    <w:rsid w:val="00D31FE9"/>
    <w:rsid w:val="00D336A3"/>
    <w:rsid w:val="00D341DC"/>
    <w:rsid w:val="00D34E1B"/>
    <w:rsid w:val="00D3551A"/>
    <w:rsid w:val="00D36C84"/>
    <w:rsid w:val="00D376BA"/>
    <w:rsid w:val="00D413C4"/>
    <w:rsid w:val="00D43C75"/>
    <w:rsid w:val="00D43D66"/>
    <w:rsid w:val="00D448CC"/>
    <w:rsid w:val="00D45634"/>
    <w:rsid w:val="00D4652A"/>
    <w:rsid w:val="00D4680F"/>
    <w:rsid w:val="00D46E2D"/>
    <w:rsid w:val="00D52DB4"/>
    <w:rsid w:val="00D5321F"/>
    <w:rsid w:val="00D5568A"/>
    <w:rsid w:val="00D572E6"/>
    <w:rsid w:val="00D57D32"/>
    <w:rsid w:val="00D6187E"/>
    <w:rsid w:val="00D63D73"/>
    <w:rsid w:val="00D64452"/>
    <w:rsid w:val="00D66E1E"/>
    <w:rsid w:val="00D721FB"/>
    <w:rsid w:val="00D74820"/>
    <w:rsid w:val="00D751BB"/>
    <w:rsid w:val="00D75722"/>
    <w:rsid w:val="00D80CF5"/>
    <w:rsid w:val="00D8178E"/>
    <w:rsid w:val="00D872B5"/>
    <w:rsid w:val="00D91272"/>
    <w:rsid w:val="00D91A34"/>
    <w:rsid w:val="00D91BD2"/>
    <w:rsid w:val="00D92663"/>
    <w:rsid w:val="00D93341"/>
    <w:rsid w:val="00D94BB8"/>
    <w:rsid w:val="00D96048"/>
    <w:rsid w:val="00D97D01"/>
    <w:rsid w:val="00DA5BBA"/>
    <w:rsid w:val="00DB1C44"/>
    <w:rsid w:val="00DB26D2"/>
    <w:rsid w:val="00DB2A76"/>
    <w:rsid w:val="00DB6397"/>
    <w:rsid w:val="00DB67C9"/>
    <w:rsid w:val="00DB6ACA"/>
    <w:rsid w:val="00DC0C95"/>
    <w:rsid w:val="00DC4A15"/>
    <w:rsid w:val="00DC4AAF"/>
    <w:rsid w:val="00DD00DE"/>
    <w:rsid w:val="00DD3906"/>
    <w:rsid w:val="00DD6580"/>
    <w:rsid w:val="00DE0829"/>
    <w:rsid w:val="00DE4C8B"/>
    <w:rsid w:val="00E01CB3"/>
    <w:rsid w:val="00E03204"/>
    <w:rsid w:val="00E10839"/>
    <w:rsid w:val="00E144F5"/>
    <w:rsid w:val="00E17C72"/>
    <w:rsid w:val="00E21652"/>
    <w:rsid w:val="00E21FC6"/>
    <w:rsid w:val="00E22FE6"/>
    <w:rsid w:val="00E322AB"/>
    <w:rsid w:val="00E3345E"/>
    <w:rsid w:val="00E34F2D"/>
    <w:rsid w:val="00E412E7"/>
    <w:rsid w:val="00E431A9"/>
    <w:rsid w:val="00E4630A"/>
    <w:rsid w:val="00E51E30"/>
    <w:rsid w:val="00E56D83"/>
    <w:rsid w:val="00E60797"/>
    <w:rsid w:val="00E64111"/>
    <w:rsid w:val="00E642C1"/>
    <w:rsid w:val="00E64879"/>
    <w:rsid w:val="00E669E2"/>
    <w:rsid w:val="00E676FF"/>
    <w:rsid w:val="00E701E5"/>
    <w:rsid w:val="00E72D4A"/>
    <w:rsid w:val="00E75CB2"/>
    <w:rsid w:val="00E76135"/>
    <w:rsid w:val="00E811B7"/>
    <w:rsid w:val="00E82F4F"/>
    <w:rsid w:val="00E86849"/>
    <w:rsid w:val="00E879BC"/>
    <w:rsid w:val="00E87C93"/>
    <w:rsid w:val="00E92C77"/>
    <w:rsid w:val="00E92D86"/>
    <w:rsid w:val="00EA24D3"/>
    <w:rsid w:val="00EA2D99"/>
    <w:rsid w:val="00EA32A6"/>
    <w:rsid w:val="00EA4AFC"/>
    <w:rsid w:val="00EA7AFE"/>
    <w:rsid w:val="00EA7C0C"/>
    <w:rsid w:val="00EB0D38"/>
    <w:rsid w:val="00EB1D79"/>
    <w:rsid w:val="00EB1E4C"/>
    <w:rsid w:val="00EB408E"/>
    <w:rsid w:val="00EB526A"/>
    <w:rsid w:val="00EB723F"/>
    <w:rsid w:val="00EC10FD"/>
    <w:rsid w:val="00EC2046"/>
    <w:rsid w:val="00EC2844"/>
    <w:rsid w:val="00EC5500"/>
    <w:rsid w:val="00EC6164"/>
    <w:rsid w:val="00ED0F70"/>
    <w:rsid w:val="00ED18F8"/>
    <w:rsid w:val="00ED26F5"/>
    <w:rsid w:val="00ED78EF"/>
    <w:rsid w:val="00EE0ACE"/>
    <w:rsid w:val="00EE59E7"/>
    <w:rsid w:val="00EE65FB"/>
    <w:rsid w:val="00EE796F"/>
    <w:rsid w:val="00EF036A"/>
    <w:rsid w:val="00EF536D"/>
    <w:rsid w:val="00EF5590"/>
    <w:rsid w:val="00EF6C6C"/>
    <w:rsid w:val="00EF76D4"/>
    <w:rsid w:val="00F04E7E"/>
    <w:rsid w:val="00F04F8F"/>
    <w:rsid w:val="00F056FC"/>
    <w:rsid w:val="00F058FE"/>
    <w:rsid w:val="00F06BA6"/>
    <w:rsid w:val="00F10476"/>
    <w:rsid w:val="00F12B66"/>
    <w:rsid w:val="00F135D8"/>
    <w:rsid w:val="00F22A59"/>
    <w:rsid w:val="00F22C40"/>
    <w:rsid w:val="00F22C79"/>
    <w:rsid w:val="00F23D75"/>
    <w:rsid w:val="00F24086"/>
    <w:rsid w:val="00F2731E"/>
    <w:rsid w:val="00F275F4"/>
    <w:rsid w:val="00F31299"/>
    <w:rsid w:val="00F3534A"/>
    <w:rsid w:val="00F43532"/>
    <w:rsid w:val="00F453E0"/>
    <w:rsid w:val="00F51505"/>
    <w:rsid w:val="00F51609"/>
    <w:rsid w:val="00F542D7"/>
    <w:rsid w:val="00F60650"/>
    <w:rsid w:val="00F6221D"/>
    <w:rsid w:val="00F6402C"/>
    <w:rsid w:val="00F6567C"/>
    <w:rsid w:val="00F66B99"/>
    <w:rsid w:val="00F73736"/>
    <w:rsid w:val="00F74247"/>
    <w:rsid w:val="00F74B35"/>
    <w:rsid w:val="00F81006"/>
    <w:rsid w:val="00F85325"/>
    <w:rsid w:val="00F906F3"/>
    <w:rsid w:val="00F9305B"/>
    <w:rsid w:val="00F966C0"/>
    <w:rsid w:val="00F97011"/>
    <w:rsid w:val="00F9738D"/>
    <w:rsid w:val="00FA4108"/>
    <w:rsid w:val="00FA74EC"/>
    <w:rsid w:val="00FB1292"/>
    <w:rsid w:val="00FB2EA2"/>
    <w:rsid w:val="00FB5428"/>
    <w:rsid w:val="00FB7B4F"/>
    <w:rsid w:val="00FD00ED"/>
    <w:rsid w:val="00FD2224"/>
    <w:rsid w:val="00FD22B1"/>
    <w:rsid w:val="00FD4B26"/>
    <w:rsid w:val="00FD4B4E"/>
    <w:rsid w:val="00FD55BB"/>
    <w:rsid w:val="00FD6600"/>
    <w:rsid w:val="00FD6B55"/>
    <w:rsid w:val="00FD7663"/>
    <w:rsid w:val="00FE43D9"/>
    <w:rsid w:val="00FE441E"/>
    <w:rsid w:val="00FE4BAC"/>
    <w:rsid w:val="00FE5397"/>
    <w:rsid w:val="00FF558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Strong" w:uiPriority="22"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F0C57"/>
    <w:rPr>
      <w:sz w:val="26"/>
      <w:szCs w:val="24"/>
    </w:rPr>
  </w:style>
  <w:style w:type="paragraph" w:styleId="Heading1">
    <w:name w:val="heading 1"/>
    <w:basedOn w:val="Normal"/>
    <w:next w:val="BodyText"/>
    <w:link w:val="Heading1Char"/>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new legislation style,new legislation style1,new legislation style Ch"/>
    <w:link w:val="BodyTextChar"/>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3F7B30"/>
    <w:rPr>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numbering" w:customStyle="1" w:styleId="NoList1">
    <w:name w:val="No List1"/>
    <w:next w:val="NoList"/>
    <w:uiPriority w:val="99"/>
    <w:semiHidden/>
    <w:unhideWhenUsed/>
    <w:rsid w:val="00ED78EF"/>
  </w:style>
  <w:style w:type="character" w:customStyle="1" w:styleId="Heading1Char">
    <w:name w:val="Heading 1 Char"/>
    <w:basedOn w:val="DefaultParagraphFont"/>
    <w:link w:val="Heading1"/>
    <w:rsid w:val="00ED78EF"/>
    <w:rPr>
      <w:sz w:val="52"/>
      <w:szCs w:val="24"/>
    </w:rPr>
  </w:style>
  <w:style w:type="character" w:customStyle="1" w:styleId="Heading2Char">
    <w:name w:val="Heading 2 Char"/>
    <w:basedOn w:val="DefaultParagraphFont"/>
    <w:link w:val="Heading2"/>
    <w:rsid w:val="00ED78EF"/>
    <w:rPr>
      <w:rFonts w:ascii="Arial" w:hAnsi="Arial"/>
      <w:b/>
      <w:sz w:val="32"/>
    </w:rPr>
  </w:style>
  <w:style w:type="character" w:customStyle="1" w:styleId="Heading3Char">
    <w:name w:val="Heading 3 Char"/>
    <w:basedOn w:val="DefaultParagraphFont"/>
    <w:link w:val="Heading3"/>
    <w:rsid w:val="00ED78EF"/>
    <w:rPr>
      <w:rFonts w:ascii="Arial" w:hAnsi="Arial"/>
      <w:b/>
      <w:sz w:val="26"/>
    </w:rPr>
  </w:style>
  <w:style w:type="character" w:customStyle="1" w:styleId="Heading4Char">
    <w:name w:val="Heading 4 Char"/>
    <w:basedOn w:val="DefaultParagraphFont"/>
    <w:link w:val="Heading4"/>
    <w:rsid w:val="00ED78EF"/>
    <w:rPr>
      <w:rFonts w:ascii="Arial" w:hAnsi="Arial"/>
      <w:i/>
      <w:sz w:val="24"/>
    </w:rPr>
  </w:style>
  <w:style w:type="character" w:customStyle="1" w:styleId="Heading5Char">
    <w:name w:val="Heading 5 Char"/>
    <w:basedOn w:val="DefaultParagraphFont"/>
    <w:link w:val="Heading5"/>
    <w:rsid w:val="00ED78EF"/>
    <w:rPr>
      <w:i/>
      <w:sz w:val="26"/>
    </w:rPr>
  </w:style>
  <w:style w:type="character" w:customStyle="1" w:styleId="Heading6Char">
    <w:name w:val="Heading 6 Char"/>
    <w:basedOn w:val="DefaultParagraphFont"/>
    <w:link w:val="Heading6"/>
    <w:rsid w:val="00ED78EF"/>
    <w:rPr>
      <w:i/>
      <w:sz w:val="22"/>
    </w:rPr>
  </w:style>
  <w:style w:type="character" w:customStyle="1" w:styleId="Heading7Char">
    <w:name w:val="Heading 7 Char"/>
    <w:basedOn w:val="DefaultParagraphFont"/>
    <w:link w:val="Heading7"/>
    <w:rsid w:val="00ED78EF"/>
    <w:rPr>
      <w:rFonts w:ascii="Arial" w:hAnsi="Arial"/>
    </w:rPr>
  </w:style>
  <w:style w:type="character" w:customStyle="1" w:styleId="Heading8Char">
    <w:name w:val="Heading 8 Char"/>
    <w:basedOn w:val="DefaultParagraphFont"/>
    <w:link w:val="Heading8"/>
    <w:rsid w:val="00ED78EF"/>
    <w:rPr>
      <w:rFonts w:ascii="Arial" w:hAnsi="Arial"/>
      <w:i/>
    </w:rPr>
  </w:style>
  <w:style w:type="character" w:customStyle="1" w:styleId="Heading9Char">
    <w:name w:val="Heading 9 Char"/>
    <w:basedOn w:val="DefaultParagraphFont"/>
    <w:link w:val="Heading9"/>
    <w:rsid w:val="00ED78EF"/>
    <w:rPr>
      <w:rFonts w:ascii="Arial" w:hAnsi="Arial"/>
      <w:b/>
      <w:i/>
      <w:sz w:val="18"/>
    </w:rPr>
  </w:style>
  <w:style w:type="character" w:customStyle="1" w:styleId="BodyTextChar">
    <w:name w:val="Body Text Char"/>
    <w:aliases w:val="Body Text1 Char,new legislation style Char,new legislation style1 Char,new legislation style Ch Char"/>
    <w:basedOn w:val="DefaultParagraphFont"/>
    <w:link w:val="BodyText"/>
    <w:rsid w:val="00ED78EF"/>
    <w:rPr>
      <w:sz w:val="26"/>
    </w:rPr>
  </w:style>
  <w:style w:type="character" w:customStyle="1" w:styleId="FooterChar">
    <w:name w:val="Footer Char"/>
    <w:basedOn w:val="DefaultParagraphFont"/>
    <w:link w:val="Footer"/>
    <w:semiHidden/>
    <w:rsid w:val="00ED78EF"/>
    <w:rPr>
      <w:caps/>
      <w:spacing w:val="-4"/>
      <w:sz w:val="16"/>
    </w:rPr>
  </w:style>
  <w:style w:type="character" w:customStyle="1" w:styleId="HeaderChar">
    <w:name w:val="Header Char"/>
    <w:basedOn w:val="DefaultParagraphFont"/>
    <w:link w:val="Header"/>
    <w:rsid w:val="00ED78EF"/>
    <w:rPr>
      <w:rFonts w:ascii="Arial" w:hAnsi="Arial"/>
      <w:caps/>
      <w:sz w:val="26"/>
    </w:rPr>
  </w:style>
  <w:style w:type="paragraph" w:customStyle="1" w:styleId="BoxSpace">
    <w:name w:val="Box Space"/>
    <w:basedOn w:val="BodyText"/>
    <w:rsid w:val="00ED78EF"/>
    <w:pPr>
      <w:keepNext/>
      <w:spacing w:before="360" w:line="80" w:lineRule="exact"/>
      <w:jc w:val="left"/>
    </w:pPr>
  </w:style>
  <w:style w:type="character" w:customStyle="1" w:styleId="CommentTextChar">
    <w:name w:val="Comment Text Char"/>
    <w:basedOn w:val="DefaultParagraphFont"/>
    <w:semiHidden/>
    <w:rsid w:val="00ED78EF"/>
    <w:rPr>
      <w:szCs w:val="24"/>
    </w:rPr>
  </w:style>
  <w:style w:type="character" w:customStyle="1" w:styleId="FootnoteTextChar">
    <w:name w:val="Footnote Text Char"/>
    <w:basedOn w:val="DefaultParagraphFont"/>
    <w:link w:val="FootnoteText"/>
    <w:rsid w:val="00ED78EF"/>
    <w:rPr>
      <w:sz w:val="22"/>
    </w:rPr>
  </w:style>
  <w:style w:type="character" w:customStyle="1" w:styleId="QuoteChar">
    <w:name w:val="Quote Char"/>
    <w:basedOn w:val="DefaultParagraphFont"/>
    <w:link w:val="Quote"/>
    <w:rsid w:val="00ED78EF"/>
    <w:rPr>
      <w:sz w:val="24"/>
    </w:rPr>
  </w:style>
  <w:style w:type="paragraph" w:styleId="NormalWeb">
    <w:name w:val="Normal (Web)"/>
    <w:basedOn w:val="Normal"/>
    <w:uiPriority w:val="99"/>
    <w:rsid w:val="00ED78EF"/>
    <w:rPr>
      <w:sz w:val="24"/>
    </w:rPr>
  </w:style>
  <w:style w:type="character" w:styleId="Hyperlink">
    <w:name w:val="Hyperlink"/>
    <w:basedOn w:val="DefaultParagraphFont"/>
    <w:rsid w:val="00ED78EF"/>
    <w:rPr>
      <w:color w:val="0000FF" w:themeColor="hyperlink"/>
      <w:u w:val="single"/>
    </w:rPr>
  </w:style>
  <w:style w:type="paragraph" w:styleId="CommentSubject">
    <w:name w:val="annotation subject"/>
    <w:basedOn w:val="CommentText"/>
    <w:next w:val="CommentText"/>
    <w:link w:val="CommentSubjectChar"/>
    <w:rsid w:val="00ED78EF"/>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ED78EF"/>
    <w:rPr>
      <w:szCs w:val="24"/>
    </w:rPr>
  </w:style>
  <w:style w:type="character" w:customStyle="1" w:styleId="CommentSubjectChar">
    <w:name w:val="Comment Subject Char"/>
    <w:basedOn w:val="CommentTextChar1"/>
    <w:link w:val="CommentSubject"/>
    <w:rsid w:val="00ED78EF"/>
    <w:rPr>
      <w:b/>
      <w:bCs/>
      <w:szCs w:val="24"/>
    </w:rPr>
  </w:style>
  <w:style w:type="character" w:customStyle="1" w:styleId="ReferenceChar">
    <w:name w:val="Reference Char"/>
    <w:basedOn w:val="DefaultParagraphFont"/>
    <w:link w:val="Reference"/>
    <w:locked/>
    <w:rsid w:val="00ED78EF"/>
    <w:rPr>
      <w:sz w:val="26"/>
    </w:rPr>
  </w:style>
  <w:style w:type="character" w:customStyle="1" w:styleId="BodyTextChar1">
    <w:name w:val="Body Text Char1"/>
    <w:basedOn w:val="DefaultParagraphFont"/>
    <w:semiHidden/>
    <w:locked/>
    <w:rsid w:val="00ED78EF"/>
    <w:rPr>
      <w:sz w:val="26"/>
    </w:rPr>
  </w:style>
  <w:style w:type="character" w:styleId="FollowedHyperlink">
    <w:name w:val="FollowedHyperlink"/>
    <w:basedOn w:val="DefaultParagraphFont"/>
    <w:rsid w:val="00ED78EF"/>
    <w:rPr>
      <w:color w:val="800080" w:themeColor="followedHyperlink"/>
      <w:u w:val="single"/>
    </w:rPr>
  </w:style>
  <w:style w:type="paragraph" w:styleId="Revision">
    <w:name w:val="Revision"/>
    <w:hidden/>
    <w:uiPriority w:val="99"/>
    <w:semiHidden/>
    <w:rsid w:val="00ED78EF"/>
    <w:rPr>
      <w:sz w:val="26"/>
      <w:szCs w:val="24"/>
    </w:rPr>
  </w:style>
  <w:style w:type="paragraph" w:styleId="ListParagraph">
    <w:name w:val="List Paragraph"/>
    <w:basedOn w:val="Normal"/>
    <w:uiPriority w:val="34"/>
    <w:qFormat/>
    <w:rsid w:val="00ED78EF"/>
    <w:pPr>
      <w:ind w:left="720"/>
    </w:pPr>
    <w:rPr>
      <w:rFonts w:ascii="Calibri" w:eastAsiaTheme="minorHAnsi" w:hAnsi="Calibri" w:cs="Calibri"/>
      <w:sz w:val="22"/>
      <w:szCs w:val="22"/>
    </w:rPr>
  </w:style>
  <w:style w:type="paragraph" w:customStyle="1" w:styleId="Normal-Style2">
    <w:name w:val="Normal - Style2"/>
    <w:basedOn w:val="Normal"/>
    <w:qFormat/>
    <w:rsid w:val="00FE441E"/>
    <w:pPr>
      <w:spacing w:before="240" w:after="120"/>
    </w:pPr>
    <w:rPr>
      <w:rFonts w:asciiTheme="minorHAnsi" w:hAnsiTheme="minorHAnsi" w:cstheme="minorHAnsi"/>
      <w:color w:val="000000"/>
      <w:sz w:val="24"/>
      <w:lang w:eastAsia="en-US"/>
    </w:rPr>
  </w:style>
  <w:style w:type="character" w:styleId="Strong">
    <w:name w:val="Strong"/>
    <w:basedOn w:val="DefaultParagraphFont"/>
    <w:uiPriority w:val="22"/>
    <w:qFormat/>
    <w:rsid w:val="00B9704E"/>
    <w:rPr>
      <w:rFonts w:ascii="Times New Roman" w:hAnsi="Times New Roman" w:cs="Times New Roman" w:hint="default"/>
      <w:b/>
      <w:bCs/>
      <w:sz w:val="24"/>
      <w:szCs w:val="24"/>
      <w:bdr w:val="none" w:sz="0" w:space="0" w:color="auto" w:frame="1"/>
      <w:vertAlign w:val="baseline"/>
    </w:rPr>
  </w:style>
  <w:style w:type="character" w:customStyle="1" w:styleId="st">
    <w:name w:val="st"/>
    <w:basedOn w:val="DefaultParagraphFont"/>
    <w:rsid w:val="007747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Strong" w:uiPriority="22"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F0C57"/>
    <w:rPr>
      <w:sz w:val="26"/>
      <w:szCs w:val="24"/>
    </w:rPr>
  </w:style>
  <w:style w:type="paragraph" w:styleId="Heading1">
    <w:name w:val="heading 1"/>
    <w:basedOn w:val="Normal"/>
    <w:next w:val="BodyText"/>
    <w:link w:val="Heading1Char"/>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new legislation style,new legislation style1,new legislation style Ch"/>
    <w:link w:val="BodyTextChar"/>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3F7B30"/>
    <w:rPr>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numbering" w:customStyle="1" w:styleId="NoList1">
    <w:name w:val="No List1"/>
    <w:next w:val="NoList"/>
    <w:uiPriority w:val="99"/>
    <w:semiHidden/>
    <w:unhideWhenUsed/>
    <w:rsid w:val="00ED78EF"/>
  </w:style>
  <w:style w:type="character" w:customStyle="1" w:styleId="Heading1Char">
    <w:name w:val="Heading 1 Char"/>
    <w:basedOn w:val="DefaultParagraphFont"/>
    <w:link w:val="Heading1"/>
    <w:rsid w:val="00ED78EF"/>
    <w:rPr>
      <w:sz w:val="52"/>
      <w:szCs w:val="24"/>
    </w:rPr>
  </w:style>
  <w:style w:type="character" w:customStyle="1" w:styleId="Heading2Char">
    <w:name w:val="Heading 2 Char"/>
    <w:basedOn w:val="DefaultParagraphFont"/>
    <w:link w:val="Heading2"/>
    <w:rsid w:val="00ED78EF"/>
    <w:rPr>
      <w:rFonts w:ascii="Arial" w:hAnsi="Arial"/>
      <w:b/>
      <w:sz w:val="32"/>
    </w:rPr>
  </w:style>
  <w:style w:type="character" w:customStyle="1" w:styleId="Heading3Char">
    <w:name w:val="Heading 3 Char"/>
    <w:basedOn w:val="DefaultParagraphFont"/>
    <w:link w:val="Heading3"/>
    <w:rsid w:val="00ED78EF"/>
    <w:rPr>
      <w:rFonts w:ascii="Arial" w:hAnsi="Arial"/>
      <w:b/>
      <w:sz w:val="26"/>
    </w:rPr>
  </w:style>
  <w:style w:type="character" w:customStyle="1" w:styleId="Heading4Char">
    <w:name w:val="Heading 4 Char"/>
    <w:basedOn w:val="DefaultParagraphFont"/>
    <w:link w:val="Heading4"/>
    <w:rsid w:val="00ED78EF"/>
    <w:rPr>
      <w:rFonts w:ascii="Arial" w:hAnsi="Arial"/>
      <w:i/>
      <w:sz w:val="24"/>
    </w:rPr>
  </w:style>
  <w:style w:type="character" w:customStyle="1" w:styleId="Heading5Char">
    <w:name w:val="Heading 5 Char"/>
    <w:basedOn w:val="DefaultParagraphFont"/>
    <w:link w:val="Heading5"/>
    <w:rsid w:val="00ED78EF"/>
    <w:rPr>
      <w:i/>
      <w:sz w:val="26"/>
    </w:rPr>
  </w:style>
  <w:style w:type="character" w:customStyle="1" w:styleId="Heading6Char">
    <w:name w:val="Heading 6 Char"/>
    <w:basedOn w:val="DefaultParagraphFont"/>
    <w:link w:val="Heading6"/>
    <w:rsid w:val="00ED78EF"/>
    <w:rPr>
      <w:i/>
      <w:sz w:val="22"/>
    </w:rPr>
  </w:style>
  <w:style w:type="character" w:customStyle="1" w:styleId="Heading7Char">
    <w:name w:val="Heading 7 Char"/>
    <w:basedOn w:val="DefaultParagraphFont"/>
    <w:link w:val="Heading7"/>
    <w:rsid w:val="00ED78EF"/>
    <w:rPr>
      <w:rFonts w:ascii="Arial" w:hAnsi="Arial"/>
    </w:rPr>
  </w:style>
  <w:style w:type="character" w:customStyle="1" w:styleId="Heading8Char">
    <w:name w:val="Heading 8 Char"/>
    <w:basedOn w:val="DefaultParagraphFont"/>
    <w:link w:val="Heading8"/>
    <w:rsid w:val="00ED78EF"/>
    <w:rPr>
      <w:rFonts w:ascii="Arial" w:hAnsi="Arial"/>
      <w:i/>
    </w:rPr>
  </w:style>
  <w:style w:type="character" w:customStyle="1" w:styleId="Heading9Char">
    <w:name w:val="Heading 9 Char"/>
    <w:basedOn w:val="DefaultParagraphFont"/>
    <w:link w:val="Heading9"/>
    <w:rsid w:val="00ED78EF"/>
    <w:rPr>
      <w:rFonts w:ascii="Arial" w:hAnsi="Arial"/>
      <w:b/>
      <w:i/>
      <w:sz w:val="18"/>
    </w:rPr>
  </w:style>
  <w:style w:type="character" w:customStyle="1" w:styleId="BodyTextChar">
    <w:name w:val="Body Text Char"/>
    <w:aliases w:val="Body Text1 Char,new legislation style Char,new legislation style1 Char,new legislation style Ch Char"/>
    <w:basedOn w:val="DefaultParagraphFont"/>
    <w:link w:val="BodyText"/>
    <w:rsid w:val="00ED78EF"/>
    <w:rPr>
      <w:sz w:val="26"/>
    </w:rPr>
  </w:style>
  <w:style w:type="character" w:customStyle="1" w:styleId="FooterChar">
    <w:name w:val="Footer Char"/>
    <w:basedOn w:val="DefaultParagraphFont"/>
    <w:link w:val="Footer"/>
    <w:semiHidden/>
    <w:rsid w:val="00ED78EF"/>
    <w:rPr>
      <w:caps/>
      <w:spacing w:val="-4"/>
      <w:sz w:val="16"/>
    </w:rPr>
  </w:style>
  <w:style w:type="character" w:customStyle="1" w:styleId="HeaderChar">
    <w:name w:val="Header Char"/>
    <w:basedOn w:val="DefaultParagraphFont"/>
    <w:link w:val="Header"/>
    <w:rsid w:val="00ED78EF"/>
    <w:rPr>
      <w:rFonts w:ascii="Arial" w:hAnsi="Arial"/>
      <w:caps/>
      <w:sz w:val="26"/>
    </w:rPr>
  </w:style>
  <w:style w:type="paragraph" w:customStyle="1" w:styleId="BoxSpace">
    <w:name w:val="Box Space"/>
    <w:basedOn w:val="BodyText"/>
    <w:rsid w:val="00ED78EF"/>
    <w:pPr>
      <w:keepNext/>
      <w:spacing w:before="360" w:line="80" w:lineRule="exact"/>
      <w:jc w:val="left"/>
    </w:pPr>
  </w:style>
  <w:style w:type="character" w:customStyle="1" w:styleId="CommentTextChar">
    <w:name w:val="Comment Text Char"/>
    <w:basedOn w:val="DefaultParagraphFont"/>
    <w:semiHidden/>
    <w:rsid w:val="00ED78EF"/>
    <w:rPr>
      <w:szCs w:val="24"/>
    </w:rPr>
  </w:style>
  <w:style w:type="character" w:customStyle="1" w:styleId="FootnoteTextChar">
    <w:name w:val="Footnote Text Char"/>
    <w:basedOn w:val="DefaultParagraphFont"/>
    <w:link w:val="FootnoteText"/>
    <w:rsid w:val="00ED78EF"/>
    <w:rPr>
      <w:sz w:val="22"/>
    </w:rPr>
  </w:style>
  <w:style w:type="character" w:customStyle="1" w:styleId="QuoteChar">
    <w:name w:val="Quote Char"/>
    <w:basedOn w:val="DefaultParagraphFont"/>
    <w:link w:val="Quote"/>
    <w:rsid w:val="00ED78EF"/>
    <w:rPr>
      <w:sz w:val="24"/>
    </w:rPr>
  </w:style>
  <w:style w:type="paragraph" w:styleId="NormalWeb">
    <w:name w:val="Normal (Web)"/>
    <w:basedOn w:val="Normal"/>
    <w:uiPriority w:val="99"/>
    <w:rsid w:val="00ED78EF"/>
    <w:rPr>
      <w:sz w:val="24"/>
    </w:rPr>
  </w:style>
  <w:style w:type="character" w:styleId="Hyperlink">
    <w:name w:val="Hyperlink"/>
    <w:basedOn w:val="DefaultParagraphFont"/>
    <w:rsid w:val="00ED78EF"/>
    <w:rPr>
      <w:color w:val="0000FF" w:themeColor="hyperlink"/>
      <w:u w:val="single"/>
    </w:rPr>
  </w:style>
  <w:style w:type="paragraph" w:styleId="CommentSubject">
    <w:name w:val="annotation subject"/>
    <w:basedOn w:val="CommentText"/>
    <w:next w:val="CommentText"/>
    <w:link w:val="CommentSubjectChar"/>
    <w:rsid w:val="00ED78EF"/>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ED78EF"/>
    <w:rPr>
      <w:szCs w:val="24"/>
    </w:rPr>
  </w:style>
  <w:style w:type="character" w:customStyle="1" w:styleId="CommentSubjectChar">
    <w:name w:val="Comment Subject Char"/>
    <w:basedOn w:val="CommentTextChar1"/>
    <w:link w:val="CommentSubject"/>
    <w:rsid w:val="00ED78EF"/>
    <w:rPr>
      <w:b/>
      <w:bCs/>
      <w:szCs w:val="24"/>
    </w:rPr>
  </w:style>
  <w:style w:type="character" w:customStyle="1" w:styleId="ReferenceChar">
    <w:name w:val="Reference Char"/>
    <w:basedOn w:val="DefaultParagraphFont"/>
    <w:link w:val="Reference"/>
    <w:locked/>
    <w:rsid w:val="00ED78EF"/>
    <w:rPr>
      <w:sz w:val="26"/>
    </w:rPr>
  </w:style>
  <w:style w:type="character" w:customStyle="1" w:styleId="BodyTextChar1">
    <w:name w:val="Body Text Char1"/>
    <w:basedOn w:val="DefaultParagraphFont"/>
    <w:semiHidden/>
    <w:locked/>
    <w:rsid w:val="00ED78EF"/>
    <w:rPr>
      <w:sz w:val="26"/>
    </w:rPr>
  </w:style>
  <w:style w:type="character" w:styleId="FollowedHyperlink">
    <w:name w:val="FollowedHyperlink"/>
    <w:basedOn w:val="DefaultParagraphFont"/>
    <w:rsid w:val="00ED78EF"/>
    <w:rPr>
      <w:color w:val="800080" w:themeColor="followedHyperlink"/>
      <w:u w:val="single"/>
    </w:rPr>
  </w:style>
  <w:style w:type="paragraph" w:styleId="Revision">
    <w:name w:val="Revision"/>
    <w:hidden/>
    <w:uiPriority w:val="99"/>
    <w:semiHidden/>
    <w:rsid w:val="00ED78EF"/>
    <w:rPr>
      <w:sz w:val="26"/>
      <w:szCs w:val="24"/>
    </w:rPr>
  </w:style>
  <w:style w:type="paragraph" w:styleId="ListParagraph">
    <w:name w:val="List Paragraph"/>
    <w:basedOn w:val="Normal"/>
    <w:uiPriority w:val="34"/>
    <w:qFormat/>
    <w:rsid w:val="00ED78EF"/>
    <w:pPr>
      <w:ind w:left="720"/>
    </w:pPr>
    <w:rPr>
      <w:rFonts w:ascii="Calibri" w:eastAsiaTheme="minorHAnsi" w:hAnsi="Calibri" w:cs="Calibri"/>
      <w:sz w:val="22"/>
      <w:szCs w:val="22"/>
    </w:rPr>
  </w:style>
  <w:style w:type="paragraph" w:customStyle="1" w:styleId="Normal-Style2">
    <w:name w:val="Normal - Style2"/>
    <w:basedOn w:val="Normal"/>
    <w:qFormat/>
    <w:rsid w:val="00FE441E"/>
    <w:pPr>
      <w:spacing w:before="240" w:after="120"/>
    </w:pPr>
    <w:rPr>
      <w:rFonts w:asciiTheme="minorHAnsi" w:hAnsiTheme="minorHAnsi" w:cstheme="minorHAnsi"/>
      <w:color w:val="000000"/>
      <w:sz w:val="24"/>
      <w:lang w:eastAsia="en-US"/>
    </w:rPr>
  </w:style>
  <w:style w:type="character" w:styleId="Strong">
    <w:name w:val="Strong"/>
    <w:basedOn w:val="DefaultParagraphFont"/>
    <w:uiPriority w:val="22"/>
    <w:qFormat/>
    <w:rsid w:val="00B9704E"/>
    <w:rPr>
      <w:rFonts w:ascii="Times New Roman" w:hAnsi="Times New Roman" w:cs="Times New Roman" w:hint="default"/>
      <w:b/>
      <w:bCs/>
      <w:sz w:val="24"/>
      <w:szCs w:val="24"/>
      <w:bdr w:val="none" w:sz="0" w:space="0" w:color="auto" w:frame="1"/>
      <w:vertAlign w:val="baseline"/>
    </w:rPr>
  </w:style>
  <w:style w:type="character" w:customStyle="1" w:styleId="st">
    <w:name w:val="st"/>
    <w:basedOn w:val="DefaultParagraphFont"/>
    <w:rsid w:val="00774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70158">
      <w:bodyDiv w:val="1"/>
      <w:marLeft w:val="0"/>
      <w:marRight w:val="0"/>
      <w:marTop w:val="0"/>
      <w:marBottom w:val="0"/>
      <w:divBdr>
        <w:top w:val="none" w:sz="0" w:space="0" w:color="auto"/>
        <w:left w:val="none" w:sz="0" w:space="0" w:color="auto"/>
        <w:bottom w:val="none" w:sz="0" w:space="0" w:color="auto"/>
        <w:right w:val="none" w:sz="0" w:space="0" w:color="auto"/>
      </w:divBdr>
      <w:divsChild>
        <w:div w:id="853374167">
          <w:marLeft w:val="0"/>
          <w:marRight w:val="0"/>
          <w:marTop w:val="0"/>
          <w:marBottom w:val="0"/>
          <w:divBdr>
            <w:top w:val="none" w:sz="0" w:space="0" w:color="auto"/>
            <w:left w:val="none" w:sz="0" w:space="0" w:color="auto"/>
            <w:bottom w:val="none" w:sz="0" w:space="0" w:color="auto"/>
            <w:right w:val="none" w:sz="0" w:space="0" w:color="auto"/>
          </w:divBdr>
          <w:divsChild>
            <w:div w:id="1176306983">
              <w:marLeft w:val="0"/>
              <w:marRight w:val="0"/>
              <w:marTop w:val="0"/>
              <w:marBottom w:val="0"/>
              <w:divBdr>
                <w:top w:val="none" w:sz="0" w:space="0" w:color="auto"/>
                <w:left w:val="none" w:sz="0" w:space="0" w:color="auto"/>
                <w:bottom w:val="none" w:sz="0" w:space="0" w:color="auto"/>
                <w:right w:val="none" w:sz="0" w:space="0" w:color="auto"/>
              </w:divBdr>
              <w:divsChild>
                <w:div w:id="309284381">
                  <w:marLeft w:val="0"/>
                  <w:marRight w:val="0"/>
                  <w:marTop w:val="0"/>
                  <w:marBottom w:val="0"/>
                  <w:divBdr>
                    <w:top w:val="none" w:sz="0" w:space="0" w:color="auto"/>
                    <w:left w:val="none" w:sz="0" w:space="0" w:color="auto"/>
                    <w:bottom w:val="none" w:sz="0" w:space="0" w:color="auto"/>
                    <w:right w:val="none" w:sz="0" w:space="0" w:color="auto"/>
                  </w:divBdr>
                  <w:divsChild>
                    <w:div w:id="127668292">
                      <w:marLeft w:val="0"/>
                      <w:marRight w:val="0"/>
                      <w:marTop w:val="0"/>
                      <w:marBottom w:val="0"/>
                      <w:divBdr>
                        <w:top w:val="none" w:sz="0" w:space="0" w:color="auto"/>
                        <w:left w:val="none" w:sz="0" w:space="0" w:color="auto"/>
                        <w:bottom w:val="none" w:sz="0" w:space="0" w:color="auto"/>
                        <w:right w:val="none" w:sz="0" w:space="0" w:color="auto"/>
                      </w:divBdr>
                      <w:divsChild>
                        <w:div w:id="36125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469550">
      <w:bodyDiv w:val="1"/>
      <w:marLeft w:val="0"/>
      <w:marRight w:val="0"/>
      <w:marTop w:val="0"/>
      <w:marBottom w:val="0"/>
      <w:divBdr>
        <w:top w:val="none" w:sz="0" w:space="0" w:color="auto"/>
        <w:left w:val="none" w:sz="0" w:space="0" w:color="auto"/>
        <w:bottom w:val="none" w:sz="0" w:space="0" w:color="auto"/>
        <w:right w:val="none" w:sz="0" w:space="0" w:color="auto"/>
      </w:divBdr>
      <w:divsChild>
        <w:div w:id="197666902">
          <w:marLeft w:val="0"/>
          <w:marRight w:val="0"/>
          <w:marTop w:val="0"/>
          <w:marBottom w:val="0"/>
          <w:divBdr>
            <w:top w:val="none" w:sz="0" w:space="0" w:color="auto"/>
            <w:left w:val="none" w:sz="0" w:space="0" w:color="auto"/>
            <w:bottom w:val="none" w:sz="0" w:space="0" w:color="auto"/>
            <w:right w:val="none" w:sz="0" w:space="0" w:color="auto"/>
          </w:divBdr>
          <w:divsChild>
            <w:div w:id="109208226">
              <w:marLeft w:val="0"/>
              <w:marRight w:val="0"/>
              <w:marTop w:val="0"/>
              <w:marBottom w:val="0"/>
              <w:divBdr>
                <w:top w:val="none" w:sz="0" w:space="0" w:color="auto"/>
                <w:left w:val="none" w:sz="0" w:space="0" w:color="auto"/>
                <w:bottom w:val="none" w:sz="0" w:space="0" w:color="auto"/>
                <w:right w:val="none" w:sz="0" w:space="0" w:color="auto"/>
              </w:divBdr>
              <w:divsChild>
                <w:div w:id="297610877">
                  <w:marLeft w:val="0"/>
                  <w:marRight w:val="0"/>
                  <w:marTop w:val="0"/>
                  <w:marBottom w:val="0"/>
                  <w:divBdr>
                    <w:top w:val="none" w:sz="0" w:space="0" w:color="auto"/>
                    <w:left w:val="none" w:sz="0" w:space="0" w:color="auto"/>
                    <w:bottom w:val="none" w:sz="0" w:space="0" w:color="auto"/>
                    <w:right w:val="none" w:sz="0" w:space="0" w:color="auto"/>
                  </w:divBdr>
                  <w:divsChild>
                    <w:div w:id="2027899900">
                      <w:marLeft w:val="0"/>
                      <w:marRight w:val="0"/>
                      <w:marTop w:val="0"/>
                      <w:marBottom w:val="0"/>
                      <w:divBdr>
                        <w:top w:val="none" w:sz="0" w:space="0" w:color="auto"/>
                        <w:left w:val="none" w:sz="0" w:space="0" w:color="auto"/>
                        <w:bottom w:val="none" w:sz="0" w:space="0" w:color="auto"/>
                        <w:right w:val="none" w:sz="0" w:space="0" w:color="auto"/>
                      </w:divBdr>
                      <w:divsChild>
                        <w:div w:id="713621921">
                          <w:marLeft w:val="0"/>
                          <w:marRight w:val="0"/>
                          <w:marTop w:val="0"/>
                          <w:marBottom w:val="0"/>
                          <w:divBdr>
                            <w:top w:val="none" w:sz="0" w:space="0" w:color="auto"/>
                            <w:left w:val="none" w:sz="0" w:space="0" w:color="auto"/>
                            <w:bottom w:val="none" w:sz="0" w:space="0" w:color="auto"/>
                            <w:right w:val="none" w:sz="0" w:space="0" w:color="auto"/>
                          </w:divBdr>
                          <w:divsChild>
                            <w:div w:id="2122602820">
                              <w:marLeft w:val="0"/>
                              <w:marRight w:val="0"/>
                              <w:marTop w:val="0"/>
                              <w:marBottom w:val="0"/>
                              <w:divBdr>
                                <w:top w:val="none" w:sz="0" w:space="0" w:color="auto"/>
                                <w:left w:val="none" w:sz="0" w:space="0" w:color="auto"/>
                                <w:bottom w:val="none" w:sz="0" w:space="0" w:color="auto"/>
                                <w:right w:val="none" w:sz="0" w:space="0" w:color="auto"/>
                              </w:divBdr>
                              <w:divsChild>
                                <w:div w:id="1137259744">
                                  <w:marLeft w:val="0"/>
                                  <w:marRight w:val="0"/>
                                  <w:marTop w:val="0"/>
                                  <w:marBottom w:val="0"/>
                                  <w:divBdr>
                                    <w:top w:val="none" w:sz="0" w:space="0" w:color="auto"/>
                                    <w:left w:val="none" w:sz="0" w:space="0" w:color="auto"/>
                                    <w:bottom w:val="none" w:sz="0" w:space="0" w:color="auto"/>
                                    <w:right w:val="none" w:sz="0" w:space="0" w:color="auto"/>
                                  </w:divBdr>
                                  <w:divsChild>
                                    <w:div w:id="14550351">
                                      <w:marLeft w:val="0"/>
                                      <w:marRight w:val="0"/>
                                      <w:marTop w:val="0"/>
                                      <w:marBottom w:val="0"/>
                                      <w:divBdr>
                                        <w:top w:val="none" w:sz="0" w:space="0" w:color="auto"/>
                                        <w:left w:val="none" w:sz="0" w:space="0" w:color="auto"/>
                                        <w:bottom w:val="none" w:sz="0" w:space="0" w:color="auto"/>
                                        <w:right w:val="none" w:sz="0" w:space="0" w:color="auto"/>
                                      </w:divBdr>
                                      <w:divsChild>
                                        <w:div w:id="1584756661">
                                          <w:marLeft w:val="0"/>
                                          <w:marRight w:val="0"/>
                                          <w:marTop w:val="75"/>
                                          <w:marBottom w:val="0"/>
                                          <w:divBdr>
                                            <w:top w:val="none" w:sz="0" w:space="0" w:color="auto"/>
                                            <w:left w:val="none" w:sz="0" w:space="0" w:color="auto"/>
                                            <w:bottom w:val="none" w:sz="0" w:space="0" w:color="auto"/>
                                            <w:right w:val="none" w:sz="0" w:space="0" w:color="auto"/>
                                          </w:divBdr>
                                          <w:divsChild>
                                            <w:div w:id="104047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665634">
      <w:bodyDiv w:val="1"/>
      <w:marLeft w:val="0"/>
      <w:marRight w:val="0"/>
      <w:marTop w:val="0"/>
      <w:marBottom w:val="0"/>
      <w:divBdr>
        <w:top w:val="none" w:sz="0" w:space="0" w:color="auto"/>
        <w:left w:val="none" w:sz="0" w:space="0" w:color="auto"/>
        <w:bottom w:val="none" w:sz="0" w:space="0" w:color="auto"/>
        <w:right w:val="none" w:sz="0" w:space="0" w:color="auto"/>
      </w:divBdr>
      <w:divsChild>
        <w:div w:id="1336347669">
          <w:marLeft w:val="2925"/>
          <w:marRight w:val="0"/>
          <w:marTop w:val="0"/>
          <w:marBottom w:val="0"/>
          <w:divBdr>
            <w:top w:val="none" w:sz="0" w:space="0" w:color="auto"/>
            <w:left w:val="none" w:sz="0" w:space="0" w:color="auto"/>
            <w:bottom w:val="none" w:sz="0" w:space="0" w:color="auto"/>
            <w:right w:val="none" w:sz="0" w:space="0" w:color="auto"/>
          </w:divBdr>
          <w:divsChild>
            <w:div w:id="1233855229">
              <w:marLeft w:val="0"/>
              <w:marRight w:val="0"/>
              <w:marTop w:val="0"/>
              <w:marBottom w:val="0"/>
              <w:divBdr>
                <w:top w:val="none" w:sz="0" w:space="0" w:color="auto"/>
                <w:left w:val="none" w:sz="0" w:space="0" w:color="auto"/>
                <w:bottom w:val="none" w:sz="0" w:space="0" w:color="auto"/>
                <w:right w:val="none" w:sz="0" w:space="0" w:color="auto"/>
              </w:divBdr>
              <w:divsChild>
                <w:div w:id="560360904">
                  <w:marLeft w:val="0"/>
                  <w:marRight w:val="0"/>
                  <w:marTop w:val="0"/>
                  <w:marBottom w:val="0"/>
                  <w:divBdr>
                    <w:top w:val="none" w:sz="0" w:space="0" w:color="auto"/>
                    <w:left w:val="none" w:sz="0" w:space="0" w:color="auto"/>
                    <w:bottom w:val="none" w:sz="0" w:space="0" w:color="auto"/>
                    <w:right w:val="none" w:sz="0" w:space="0" w:color="auto"/>
                  </w:divBdr>
                  <w:divsChild>
                    <w:div w:id="119977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4613">
      <w:bodyDiv w:val="1"/>
      <w:marLeft w:val="0"/>
      <w:marRight w:val="0"/>
      <w:marTop w:val="0"/>
      <w:marBottom w:val="0"/>
      <w:divBdr>
        <w:top w:val="none" w:sz="0" w:space="0" w:color="auto"/>
        <w:left w:val="none" w:sz="0" w:space="0" w:color="auto"/>
        <w:bottom w:val="none" w:sz="0" w:space="0" w:color="auto"/>
        <w:right w:val="none" w:sz="0" w:space="0" w:color="auto"/>
      </w:divBdr>
      <w:divsChild>
        <w:div w:id="331879562">
          <w:marLeft w:val="0"/>
          <w:marRight w:val="0"/>
          <w:marTop w:val="0"/>
          <w:marBottom w:val="0"/>
          <w:divBdr>
            <w:top w:val="none" w:sz="0" w:space="0" w:color="auto"/>
            <w:left w:val="none" w:sz="0" w:space="0" w:color="auto"/>
            <w:bottom w:val="none" w:sz="0" w:space="0" w:color="auto"/>
            <w:right w:val="none" w:sz="0" w:space="0" w:color="auto"/>
          </w:divBdr>
          <w:divsChild>
            <w:div w:id="936251100">
              <w:marLeft w:val="0"/>
              <w:marRight w:val="0"/>
              <w:marTop w:val="0"/>
              <w:marBottom w:val="0"/>
              <w:divBdr>
                <w:top w:val="none" w:sz="0" w:space="0" w:color="auto"/>
                <w:left w:val="none" w:sz="0" w:space="0" w:color="auto"/>
                <w:bottom w:val="none" w:sz="0" w:space="0" w:color="auto"/>
                <w:right w:val="none" w:sz="0" w:space="0" w:color="auto"/>
              </w:divBdr>
              <w:divsChild>
                <w:div w:id="2118675221">
                  <w:marLeft w:val="0"/>
                  <w:marRight w:val="0"/>
                  <w:marTop w:val="0"/>
                  <w:marBottom w:val="0"/>
                  <w:divBdr>
                    <w:top w:val="none" w:sz="0" w:space="0" w:color="auto"/>
                    <w:left w:val="none" w:sz="0" w:space="0" w:color="auto"/>
                    <w:bottom w:val="none" w:sz="0" w:space="0" w:color="auto"/>
                    <w:right w:val="none" w:sz="0" w:space="0" w:color="auto"/>
                  </w:divBdr>
                  <w:divsChild>
                    <w:div w:id="228928155">
                      <w:marLeft w:val="0"/>
                      <w:marRight w:val="0"/>
                      <w:marTop w:val="0"/>
                      <w:marBottom w:val="0"/>
                      <w:divBdr>
                        <w:top w:val="none" w:sz="0" w:space="0" w:color="auto"/>
                        <w:left w:val="none" w:sz="0" w:space="0" w:color="auto"/>
                        <w:bottom w:val="none" w:sz="0" w:space="0" w:color="auto"/>
                        <w:right w:val="none" w:sz="0" w:space="0" w:color="auto"/>
                      </w:divBdr>
                      <w:divsChild>
                        <w:div w:id="171592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32763">
      <w:bodyDiv w:val="1"/>
      <w:marLeft w:val="0"/>
      <w:marRight w:val="0"/>
      <w:marTop w:val="0"/>
      <w:marBottom w:val="0"/>
      <w:divBdr>
        <w:top w:val="none" w:sz="0" w:space="0" w:color="auto"/>
        <w:left w:val="none" w:sz="0" w:space="0" w:color="auto"/>
        <w:bottom w:val="none" w:sz="0" w:space="0" w:color="auto"/>
        <w:right w:val="none" w:sz="0" w:space="0" w:color="auto"/>
      </w:divBdr>
    </w:div>
    <w:div w:id="263001636">
      <w:bodyDiv w:val="1"/>
      <w:marLeft w:val="0"/>
      <w:marRight w:val="0"/>
      <w:marTop w:val="0"/>
      <w:marBottom w:val="0"/>
      <w:divBdr>
        <w:top w:val="none" w:sz="0" w:space="0" w:color="auto"/>
        <w:left w:val="none" w:sz="0" w:space="0" w:color="auto"/>
        <w:bottom w:val="none" w:sz="0" w:space="0" w:color="auto"/>
        <w:right w:val="none" w:sz="0" w:space="0" w:color="auto"/>
      </w:divBdr>
      <w:divsChild>
        <w:div w:id="677076502">
          <w:marLeft w:val="0"/>
          <w:marRight w:val="0"/>
          <w:marTop w:val="0"/>
          <w:marBottom w:val="0"/>
          <w:divBdr>
            <w:top w:val="none" w:sz="0" w:space="0" w:color="auto"/>
            <w:left w:val="none" w:sz="0" w:space="0" w:color="auto"/>
            <w:bottom w:val="none" w:sz="0" w:space="0" w:color="auto"/>
            <w:right w:val="none" w:sz="0" w:space="0" w:color="auto"/>
          </w:divBdr>
          <w:divsChild>
            <w:div w:id="1346713161">
              <w:marLeft w:val="0"/>
              <w:marRight w:val="0"/>
              <w:marTop w:val="0"/>
              <w:marBottom w:val="0"/>
              <w:divBdr>
                <w:top w:val="none" w:sz="0" w:space="0" w:color="auto"/>
                <w:left w:val="none" w:sz="0" w:space="0" w:color="auto"/>
                <w:bottom w:val="none" w:sz="0" w:space="0" w:color="auto"/>
                <w:right w:val="none" w:sz="0" w:space="0" w:color="auto"/>
              </w:divBdr>
              <w:divsChild>
                <w:div w:id="1594123433">
                  <w:marLeft w:val="0"/>
                  <w:marRight w:val="0"/>
                  <w:marTop w:val="0"/>
                  <w:marBottom w:val="0"/>
                  <w:divBdr>
                    <w:top w:val="none" w:sz="0" w:space="0" w:color="auto"/>
                    <w:left w:val="none" w:sz="0" w:space="0" w:color="auto"/>
                    <w:bottom w:val="none" w:sz="0" w:space="0" w:color="auto"/>
                    <w:right w:val="none" w:sz="0" w:space="0" w:color="auto"/>
                  </w:divBdr>
                  <w:divsChild>
                    <w:div w:id="255797690">
                      <w:marLeft w:val="0"/>
                      <w:marRight w:val="0"/>
                      <w:marTop w:val="0"/>
                      <w:marBottom w:val="0"/>
                      <w:divBdr>
                        <w:top w:val="none" w:sz="0" w:space="0" w:color="auto"/>
                        <w:left w:val="none" w:sz="0" w:space="0" w:color="auto"/>
                        <w:bottom w:val="none" w:sz="0" w:space="0" w:color="auto"/>
                        <w:right w:val="none" w:sz="0" w:space="0" w:color="auto"/>
                      </w:divBdr>
                      <w:divsChild>
                        <w:div w:id="1004208849">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422409">
      <w:bodyDiv w:val="1"/>
      <w:marLeft w:val="0"/>
      <w:marRight w:val="0"/>
      <w:marTop w:val="0"/>
      <w:marBottom w:val="0"/>
      <w:divBdr>
        <w:top w:val="none" w:sz="0" w:space="0" w:color="auto"/>
        <w:left w:val="none" w:sz="0" w:space="0" w:color="auto"/>
        <w:bottom w:val="none" w:sz="0" w:space="0" w:color="auto"/>
        <w:right w:val="none" w:sz="0" w:space="0" w:color="auto"/>
      </w:divBdr>
      <w:divsChild>
        <w:div w:id="907230906">
          <w:marLeft w:val="0"/>
          <w:marRight w:val="0"/>
          <w:marTop w:val="0"/>
          <w:marBottom w:val="0"/>
          <w:divBdr>
            <w:top w:val="none" w:sz="0" w:space="0" w:color="auto"/>
            <w:left w:val="none" w:sz="0" w:space="0" w:color="auto"/>
            <w:bottom w:val="none" w:sz="0" w:space="0" w:color="auto"/>
            <w:right w:val="none" w:sz="0" w:space="0" w:color="auto"/>
          </w:divBdr>
          <w:divsChild>
            <w:div w:id="1707758582">
              <w:marLeft w:val="0"/>
              <w:marRight w:val="0"/>
              <w:marTop w:val="0"/>
              <w:marBottom w:val="0"/>
              <w:divBdr>
                <w:top w:val="none" w:sz="0" w:space="0" w:color="auto"/>
                <w:left w:val="none" w:sz="0" w:space="0" w:color="auto"/>
                <w:bottom w:val="none" w:sz="0" w:space="0" w:color="auto"/>
                <w:right w:val="none" w:sz="0" w:space="0" w:color="auto"/>
              </w:divBdr>
              <w:divsChild>
                <w:div w:id="6665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259534">
      <w:bodyDiv w:val="1"/>
      <w:marLeft w:val="0"/>
      <w:marRight w:val="0"/>
      <w:marTop w:val="0"/>
      <w:marBottom w:val="0"/>
      <w:divBdr>
        <w:top w:val="none" w:sz="0" w:space="0" w:color="auto"/>
        <w:left w:val="none" w:sz="0" w:space="0" w:color="auto"/>
        <w:bottom w:val="none" w:sz="0" w:space="0" w:color="auto"/>
        <w:right w:val="none" w:sz="0" w:space="0" w:color="auto"/>
      </w:divBdr>
      <w:divsChild>
        <w:div w:id="712465024">
          <w:marLeft w:val="0"/>
          <w:marRight w:val="0"/>
          <w:marTop w:val="0"/>
          <w:marBottom w:val="0"/>
          <w:divBdr>
            <w:top w:val="none" w:sz="0" w:space="0" w:color="auto"/>
            <w:left w:val="none" w:sz="0" w:space="0" w:color="auto"/>
            <w:bottom w:val="none" w:sz="0" w:space="0" w:color="auto"/>
            <w:right w:val="none" w:sz="0" w:space="0" w:color="auto"/>
          </w:divBdr>
          <w:divsChild>
            <w:div w:id="1962805136">
              <w:marLeft w:val="0"/>
              <w:marRight w:val="0"/>
              <w:marTop w:val="0"/>
              <w:marBottom w:val="0"/>
              <w:divBdr>
                <w:top w:val="none" w:sz="0" w:space="0" w:color="auto"/>
                <w:left w:val="none" w:sz="0" w:space="0" w:color="auto"/>
                <w:bottom w:val="none" w:sz="0" w:space="0" w:color="auto"/>
                <w:right w:val="none" w:sz="0" w:space="0" w:color="auto"/>
              </w:divBdr>
              <w:divsChild>
                <w:div w:id="1393432204">
                  <w:marLeft w:val="0"/>
                  <w:marRight w:val="0"/>
                  <w:marTop w:val="0"/>
                  <w:marBottom w:val="0"/>
                  <w:divBdr>
                    <w:top w:val="none" w:sz="0" w:space="0" w:color="auto"/>
                    <w:left w:val="none" w:sz="0" w:space="0" w:color="auto"/>
                    <w:bottom w:val="none" w:sz="0" w:space="0" w:color="auto"/>
                    <w:right w:val="none" w:sz="0" w:space="0" w:color="auto"/>
                  </w:divBdr>
                  <w:divsChild>
                    <w:div w:id="1939681322">
                      <w:marLeft w:val="0"/>
                      <w:marRight w:val="0"/>
                      <w:marTop w:val="0"/>
                      <w:marBottom w:val="0"/>
                      <w:divBdr>
                        <w:top w:val="none" w:sz="0" w:space="0" w:color="auto"/>
                        <w:left w:val="none" w:sz="0" w:space="0" w:color="auto"/>
                        <w:bottom w:val="none" w:sz="0" w:space="0" w:color="auto"/>
                        <w:right w:val="none" w:sz="0" w:space="0" w:color="auto"/>
                      </w:divBdr>
                      <w:divsChild>
                        <w:div w:id="1727947135">
                          <w:marLeft w:val="0"/>
                          <w:marRight w:val="0"/>
                          <w:marTop w:val="0"/>
                          <w:marBottom w:val="0"/>
                          <w:divBdr>
                            <w:top w:val="none" w:sz="0" w:space="0" w:color="auto"/>
                            <w:left w:val="none" w:sz="0" w:space="0" w:color="auto"/>
                            <w:bottom w:val="none" w:sz="0" w:space="0" w:color="auto"/>
                            <w:right w:val="none" w:sz="0" w:space="0" w:color="auto"/>
                          </w:divBdr>
                          <w:divsChild>
                            <w:div w:id="1129712914">
                              <w:marLeft w:val="0"/>
                              <w:marRight w:val="0"/>
                              <w:marTop w:val="0"/>
                              <w:marBottom w:val="0"/>
                              <w:divBdr>
                                <w:top w:val="none" w:sz="0" w:space="0" w:color="auto"/>
                                <w:left w:val="none" w:sz="0" w:space="0" w:color="auto"/>
                                <w:bottom w:val="none" w:sz="0" w:space="0" w:color="auto"/>
                                <w:right w:val="none" w:sz="0" w:space="0" w:color="auto"/>
                              </w:divBdr>
                              <w:divsChild>
                                <w:div w:id="2081519352">
                                  <w:marLeft w:val="0"/>
                                  <w:marRight w:val="0"/>
                                  <w:marTop w:val="0"/>
                                  <w:marBottom w:val="0"/>
                                  <w:divBdr>
                                    <w:top w:val="none" w:sz="0" w:space="0" w:color="auto"/>
                                    <w:left w:val="none" w:sz="0" w:space="0" w:color="auto"/>
                                    <w:bottom w:val="none" w:sz="0" w:space="0" w:color="auto"/>
                                    <w:right w:val="none" w:sz="0" w:space="0" w:color="auto"/>
                                  </w:divBdr>
                                  <w:divsChild>
                                    <w:div w:id="1078862523">
                                      <w:marLeft w:val="0"/>
                                      <w:marRight w:val="0"/>
                                      <w:marTop w:val="0"/>
                                      <w:marBottom w:val="0"/>
                                      <w:divBdr>
                                        <w:top w:val="none" w:sz="0" w:space="0" w:color="auto"/>
                                        <w:left w:val="none" w:sz="0" w:space="0" w:color="auto"/>
                                        <w:bottom w:val="none" w:sz="0" w:space="0" w:color="auto"/>
                                        <w:right w:val="none" w:sz="0" w:space="0" w:color="auto"/>
                                      </w:divBdr>
                                      <w:divsChild>
                                        <w:div w:id="556362161">
                                          <w:marLeft w:val="0"/>
                                          <w:marRight w:val="0"/>
                                          <w:marTop w:val="75"/>
                                          <w:marBottom w:val="0"/>
                                          <w:divBdr>
                                            <w:top w:val="none" w:sz="0" w:space="0" w:color="auto"/>
                                            <w:left w:val="none" w:sz="0" w:space="0" w:color="auto"/>
                                            <w:bottom w:val="none" w:sz="0" w:space="0" w:color="auto"/>
                                            <w:right w:val="none" w:sz="0" w:space="0" w:color="auto"/>
                                          </w:divBdr>
                                          <w:divsChild>
                                            <w:div w:id="158907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5519045">
      <w:bodyDiv w:val="1"/>
      <w:marLeft w:val="0"/>
      <w:marRight w:val="0"/>
      <w:marTop w:val="0"/>
      <w:marBottom w:val="0"/>
      <w:divBdr>
        <w:top w:val="none" w:sz="0" w:space="0" w:color="auto"/>
        <w:left w:val="none" w:sz="0" w:space="0" w:color="auto"/>
        <w:bottom w:val="none" w:sz="0" w:space="0" w:color="auto"/>
        <w:right w:val="none" w:sz="0" w:space="0" w:color="auto"/>
      </w:divBdr>
      <w:divsChild>
        <w:div w:id="1872452455">
          <w:marLeft w:val="0"/>
          <w:marRight w:val="0"/>
          <w:marTop w:val="0"/>
          <w:marBottom w:val="0"/>
          <w:divBdr>
            <w:top w:val="none" w:sz="0" w:space="0" w:color="auto"/>
            <w:left w:val="none" w:sz="0" w:space="0" w:color="auto"/>
            <w:bottom w:val="none" w:sz="0" w:space="0" w:color="auto"/>
            <w:right w:val="none" w:sz="0" w:space="0" w:color="auto"/>
          </w:divBdr>
          <w:divsChild>
            <w:div w:id="1590651397">
              <w:marLeft w:val="0"/>
              <w:marRight w:val="0"/>
              <w:marTop w:val="0"/>
              <w:marBottom w:val="0"/>
              <w:divBdr>
                <w:top w:val="none" w:sz="0" w:space="0" w:color="auto"/>
                <w:left w:val="none" w:sz="0" w:space="0" w:color="auto"/>
                <w:bottom w:val="none" w:sz="0" w:space="0" w:color="auto"/>
                <w:right w:val="none" w:sz="0" w:space="0" w:color="auto"/>
              </w:divBdr>
              <w:divsChild>
                <w:div w:id="1776829998">
                  <w:marLeft w:val="0"/>
                  <w:marRight w:val="0"/>
                  <w:marTop w:val="0"/>
                  <w:marBottom w:val="0"/>
                  <w:divBdr>
                    <w:top w:val="none" w:sz="0" w:space="0" w:color="auto"/>
                    <w:left w:val="none" w:sz="0" w:space="0" w:color="auto"/>
                    <w:bottom w:val="none" w:sz="0" w:space="0" w:color="auto"/>
                    <w:right w:val="none" w:sz="0" w:space="0" w:color="auto"/>
                  </w:divBdr>
                  <w:divsChild>
                    <w:div w:id="680013716">
                      <w:marLeft w:val="0"/>
                      <w:marRight w:val="0"/>
                      <w:marTop w:val="0"/>
                      <w:marBottom w:val="0"/>
                      <w:divBdr>
                        <w:top w:val="none" w:sz="0" w:space="0" w:color="auto"/>
                        <w:left w:val="none" w:sz="0" w:space="0" w:color="auto"/>
                        <w:bottom w:val="none" w:sz="0" w:space="0" w:color="auto"/>
                        <w:right w:val="none" w:sz="0" w:space="0" w:color="auto"/>
                      </w:divBdr>
                      <w:divsChild>
                        <w:div w:id="158780721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0250782">
      <w:bodyDiv w:val="1"/>
      <w:marLeft w:val="0"/>
      <w:marRight w:val="0"/>
      <w:marTop w:val="0"/>
      <w:marBottom w:val="0"/>
      <w:divBdr>
        <w:top w:val="none" w:sz="0" w:space="0" w:color="auto"/>
        <w:left w:val="none" w:sz="0" w:space="0" w:color="auto"/>
        <w:bottom w:val="none" w:sz="0" w:space="0" w:color="auto"/>
        <w:right w:val="none" w:sz="0" w:space="0" w:color="auto"/>
      </w:divBdr>
      <w:divsChild>
        <w:div w:id="170723546">
          <w:marLeft w:val="0"/>
          <w:marRight w:val="0"/>
          <w:marTop w:val="0"/>
          <w:marBottom w:val="0"/>
          <w:divBdr>
            <w:top w:val="none" w:sz="0" w:space="0" w:color="auto"/>
            <w:left w:val="none" w:sz="0" w:space="0" w:color="auto"/>
            <w:bottom w:val="none" w:sz="0" w:space="0" w:color="auto"/>
            <w:right w:val="none" w:sz="0" w:space="0" w:color="auto"/>
          </w:divBdr>
          <w:divsChild>
            <w:div w:id="1515728693">
              <w:marLeft w:val="2175"/>
              <w:marRight w:val="0"/>
              <w:marTop w:val="0"/>
              <w:marBottom w:val="0"/>
              <w:divBdr>
                <w:top w:val="none" w:sz="0" w:space="0" w:color="auto"/>
                <w:left w:val="none" w:sz="0" w:space="0" w:color="auto"/>
                <w:bottom w:val="none" w:sz="0" w:space="0" w:color="auto"/>
                <w:right w:val="none" w:sz="0" w:space="0" w:color="auto"/>
              </w:divBdr>
              <w:divsChild>
                <w:div w:id="1837189568">
                  <w:marLeft w:val="0"/>
                  <w:marRight w:val="0"/>
                  <w:marTop w:val="0"/>
                  <w:marBottom w:val="0"/>
                  <w:divBdr>
                    <w:top w:val="none" w:sz="0" w:space="0" w:color="auto"/>
                    <w:left w:val="none" w:sz="0" w:space="0" w:color="auto"/>
                    <w:bottom w:val="none" w:sz="0" w:space="0" w:color="auto"/>
                    <w:right w:val="none" w:sz="0" w:space="0" w:color="auto"/>
                  </w:divBdr>
                  <w:divsChild>
                    <w:div w:id="195777958">
                      <w:marLeft w:val="0"/>
                      <w:marRight w:val="0"/>
                      <w:marTop w:val="0"/>
                      <w:marBottom w:val="0"/>
                      <w:divBdr>
                        <w:top w:val="none" w:sz="0" w:space="0" w:color="auto"/>
                        <w:left w:val="none" w:sz="0" w:space="0" w:color="auto"/>
                        <w:bottom w:val="none" w:sz="0" w:space="0" w:color="auto"/>
                        <w:right w:val="none" w:sz="0" w:space="0" w:color="auto"/>
                      </w:divBdr>
                      <w:divsChild>
                        <w:div w:id="113150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3402658">
      <w:bodyDiv w:val="1"/>
      <w:marLeft w:val="0"/>
      <w:marRight w:val="0"/>
      <w:marTop w:val="0"/>
      <w:marBottom w:val="0"/>
      <w:divBdr>
        <w:top w:val="none" w:sz="0" w:space="0" w:color="auto"/>
        <w:left w:val="none" w:sz="0" w:space="0" w:color="auto"/>
        <w:bottom w:val="none" w:sz="0" w:space="0" w:color="auto"/>
        <w:right w:val="none" w:sz="0" w:space="0" w:color="auto"/>
      </w:divBdr>
      <w:divsChild>
        <w:div w:id="545026086">
          <w:marLeft w:val="0"/>
          <w:marRight w:val="0"/>
          <w:marTop w:val="0"/>
          <w:marBottom w:val="0"/>
          <w:divBdr>
            <w:top w:val="none" w:sz="0" w:space="0" w:color="auto"/>
            <w:left w:val="none" w:sz="0" w:space="0" w:color="auto"/>
            <w:bottom w:val="none" w:sz="0" w:space="0" w:color="auto"/>
            <w:right w:val="none" w:sz="0" w:space="0" w:color="auto"/>
          </w:divBdr>
          <w:divsChild>
            <w:div w:id="978069814">
              <w:marLeft w:val="0"/>
              <w:marRight w:val="0"/>
              <w:marTop w:val="0"/>
              <w:marBottom w:val="0"/>
              <w:divBdr>
                <w:top w:val="none" w:sz="0" w:space="0" w:color="auto"/>
                <w:left w:val="none" w:sz="0" w:space="0" w:color="auto"/>
                <w:bottom w:val="none" w:sz="0" w:space="0" w:color="auto"/>
                <w:right w:val="none" w:sz="0" w:space="0" w:color="auto"/>
              </w:divBdr>
              <w:divsChild>
                <w:div w:id="1663969661">
                  <w:marLeft w:val="0"/>
                  <w:marRight w:val="0"/>
                  <w:marTop w:val="0"/>
                  <w:marBottom w:val="0"/>
                  <w:divBdr>
                    <w:top w:val="none" w:sz="0" w:space="0" w:color="auto"/>
                    <w:left w:val="none" w:sz="0" w:space="0" w:color="auto"/>
                    <w:bottom w:val="none" w:sz="0" w:space="0" w:color="auto"/>
                    <w:right w:val="none" w:sz="0" w:space="0" w:color="auto"/>
                  </w:divBdr>
                  <w:divsChild>
                    <w:div w:id="1358854472">
                      <w:marLeft w:val="0"/>
                      <w:marRight w:val="0"/>
                      <w:marTop w:val="0"/>
                      <w:marBottom w:val="0"/>
                      <w:divBdr>
                        <w:top w:val="none" w:sz="0" w:space="0" w:color="auto"/>
                        <w:left w:val="none" w:sz="0" w:space="0" w:color="auto"/>
                        <w:bottom w:val="none" w:sz="0" w:space="0" w:color="auto"/>
                        <w:right w:val="none" w:sz="0" w:space="0" w:color="auto"/>
                      </w:divBdr>
                      <w:divsChild>
                        <w:div w:id="1659068985">
                          <w:marLeft w:val="8"/>
                          <w:marRight w:val="0"/>
                          <w:marTop w:val="0"/>
                          <w:marBottom w:val="0"/>
                          <w:divBdr>
                            <w:top w:val="none" w:sz="0" w:space="0" w:color="auto"/>
                            <w:left w:val="none" w:sz="0" w:space="0" w:color="auto"/>
                            <w:bottom w:val="none" w:sz="0" w:space="0" w:color="auto"/>
                            <w:right w:val="none" w:sz="0" w:space="0" w:color="auto"/>
                          </w:divBdr>
                          <w:divsChild>
                            <w:div w:id="13772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4870134">
      <w:bodyDiv w:val="1"/>
      <w:marLeft w:val="0"/>
      <w:marRight w:val="0"/>
      <w:marTop w:val="0"/>
      <w:marBottom w:val="0"/>
      <w:divBdr>
        <w:top w:val="none" w:sz="0" w:space="0" w:color="auto"/>
        <w:left w:val="none" w:sz="0" w:space="0" w:color="auto"/>
        <w:bottom w:val="none" w:sz="0" w:space="0" w:color="auto"/>
        <w:right w:val="none" w:sz="0" w:space="0" w:color="auto"/>
      </w:divBdr>
    </w:div>
    <w:div w:id="686908968">
      <w:bodyDiv w:val="1"/>
      <w:marLeft w:val="0"/>
      <w:marRight w:val="0"/>
      <w:marTop w:val="0"/>
      <w:marBottom w:val="0"/>
      <w:divBdr>
        <w:top w:val="none" w:sz="0" w:space="0" w:color="auto"/>
        <w:left w:val="none" w:sz="0" w:space="0" w:color="auto"/>
        <w:bottom w:val="none" w:sz="0" w:space="0" w:color="auto"/>
        <w:right w:val="none" w:sz="0" w:space="0" w:color="auto"/>
      </w:divBdr>
      <w:divsChild>
        <w:div w:id="2038387759">
          <w:marLeft w:val="0"/>
          <w:marRight w:val="0"/>
          <w:marTop w:val="0"/>
          <w:marBottom w:val="0"/>
          <w:divBdr>
            <w:top w:val="none" w:sz="0" w:space="0" w:color="auto"/>
            <w:left w:val="none" w:sz="0" w:space="0" w:color="auto"/>
            <w:bottom w:val="none" w:sz="0" w:space="0" w:color="auto"/>
            <w:right w:val="none" w:sz="0" w:space="0" w:color="auto"/>
          </w:divBdr>
          <w:divsChild>
            <w:div w:id="598292917">
              <w:marLeft w:val="2175"/>
              <w:marRight w:val="0"/>
              <w:marTop w:val="0"/>
              <w:marBottom w:val="0"/>
              <w:divBdr>
                <w:top w:val="none" w:sz="0" w:space="0" w:color="auto"/>
                <w:left w:val="none" w:sz="0" w:space="0" w:color="auto"/>
                <w:bottom w:val="none" w:sz="0" w:space="0" w:color="auto"/>
                <w:right w:val="none" w:sz="0" w:space="0" w:color="auto"/>
              </w:divBdr>
              <w:divsChild>
                <w:div w:id="1974945848">
                  <w:marLeft w:val="0"/>
                  <w:marRight w:val="0"/>
                  <w:marTop w:val="0"/>
                  <w:marBottom w:val="0"/>
                  <w:divBdr>
                    <w:top w:val="none" w:sz="0" w:space="0" w:color="auto"/>
                    <w:left w:val="none" w:sz="0" w:space="0" w:color="auto"/>
                    <w:bottom w:val="none" w:sz="0" w:space="0" w:color="auto"/>
                    <w:right w:val="none" w:sz="0" w:space="0" w:color="auto"/>
                  </w:divBdr>
                  <w:divsChild>
                    <w:div w:id="1290016335">
                      <w:marLeft w:val="0"/>
                      <w:marRight w:val="0"/>
                      <w:marTop w:val="0"/>
                      <w:marBottom w:val="0"/>
                      <w:divBdr>
                        <w:top w:val="none" w:sz="0" w:space="0" w:color="auto"/>
                        <w:left w:val="none" w:sz="0" w:space="0" w:color="auto"/>
                        <w:bottom w:val="none" w:sz="0" w:space="0" w:color="auto"/>
                        <w:right w:val="none" w:sz="0" w:space="0" w:color="auto"/>
                      </w:divBdr>
                      <w:divsChild>
                        <w:div w:id="23038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7585515">
      <w:bodyDiv w:val="1"/>
      <w:marLeft w:val="0"/>
      <w:marRight w:val="0"/>
      <w:marTop w:val="0"/>
      <w:marBottom w:val="0"/>
      <w:divBdr>
        <w:top w:val="none" w:sz="0" w:space="0" w:color="auto"/>
        <w:left w:val="none" w:sz="0" w:space="0" w:color="auto"/>
        <w:bottom w:val="none" w:sz="0" w:space="0" w:color="auto"/>
        <w:right w:val="none" w:sz="0" w:space="0" w:color="auto"/>
      </w:divBdr>
      <w:divsChild>
        <w:div w:id="1332955075">
          <w:marLeft w:val="0"/>
          <w:marRight w:val="0"/>
          <w:marTop w:val="0"/>
          <w:marBottom w:val="0"/>
          <w:divBdr>
            <w:top w:val="none" w:sz="0" w:space="0" w:color="auto"/>
            <w:left w:val="none" w:sz="0" w:space="0" w:color="auto"/>
            <w:bottom w:val="none" w:sz="0" w:space="0" w:color="auto"/>
            <w:right w:val="none" w:sz="0" w:space="0" w:color="auto"/>
          </w:divBdr>
          <w:divsChild>
            <w:div w:id="753672720">
              <w:marLeft w:val="2175"/>
              <w:marRight w:val="0"/>
              <w:marTop w:val="0"/>
              <w:marBottom w:val="0"/>
              <w:divBdr>
                <w:top w:val="none" w:sz="0" w:space="0" w:color="auto"/>
                <w:left w:val="none" w:sz="0" w:space="0" w:color="auto"/>
                <w:bottom w:val="none" w:sz="0" w:space="0" w:color="auto"/>
                <w:right w:val="none" w:sz="0" w:space="0" w:color="auto"/>
              </w:divBdr>
              <w:divsChild>
                <w:div w:id="378433185">
                  <w:marLeft w:val="0"/>
                  <w:marRight w:val="0"/>
                  <w:marTop w:val="0"/>
                  <w:marBottom w:val="0"/>
                  <w:divBdr>
                    <w:top w:val="none" w:sz="0" w:space="0" w:color="auto"/>
                    <w:left w:val="none" w:sz="0" w:space="0" w:color="auto"/>
                    <w:bottom w:val="none" w:sz="0" w:space="0" w:color="auto"/>
                    <w:right w:val="none" w:sz="0" w:space="0" w:color="auto"/>
                  </w:divBdr>
                  <w:divsChild>
                    <w:div w:id="1877810172">
                      <w:marLeft w:val="0"/>
                      <w:marRight w:val="0"/>
                      <w:marTop w:val="0"/>
                      <w:marBottom w:val="0"/>
                      <w:divBdr>
                        <w:top w:val="none" w:sz="0" w:space="0" w:color="auto"/>
                        <w:left w:val="none" w:sz="0" w:space="0" w:color="auto"/>
                        <w:bottom w:val="none" w:sz="0" w:space="0" w:color="auto"/>
                        <w:right w:val="none" w:sz="0" w:space="0" w:color="auto"/>
                      </w:divBdr>
                      <w:divsChild>
                        <w:div w:id="149619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1651751">
      <w:bodyDiv w:val="1"/>
      <w:marLeft w:val="0"/>
      <w:marRight w:val="0"/>
      <w:marTop w:val="0"/>
      <w:marBottom w:val="0"/>
      <w:divBdr>
        <w:top w:val="none" w:sz="0" w:space="0" w:color="auto"/>
        <w:left w:val="none" w:sz="0" w:space="0" w:color="auto"/>
        <w:bottom w:val="none" w:sz="0" w:space="0" w:color="auto"/>
        <w:right w:val="none" w:sz="0" w:space="0" w:color="auto"/>
      </w:divBdr>
    </w:div>
    <w:div w:id="811292083">
      <w:bodyDiv w:val="1"/>
      <w:marLeft w:val="0"/>
      <w:marRight w:val="0"/>
      <w:marTop w:val="0"/>
      <w:marBottom w:val="0"/>
      <w:divBdr>
        <w:top w:val="none" w:sz="0" w:space="0" w:color="auto"/>
        <w:left w:val="none" w:sz="0" w:space="0" w:color="auto"/>
        <w:bottom w:val="none" w:sz="0" w:space="0" w:color="auto"/>
        <w:right w:val="none" w:sz="0" w:space="0" w:color="auto"/>
      </w:divBdr>
    </w:div>
    <w:div w:id="881094325">
      <w:bodyDiv w:val="1"/>
      <w:marLeft w:val="0"/>
      <w:marRight w:val="0"/>
      <w:marTop w:val="0"/>
      <w:marBottom w:val="0"/>
      <w:divBdr>
        <w:top w:val="none" w:sz="0" w:space="0" w:color="auto"/>
        <w:left w:val="none" w:sz="0" w:space="0" w:color="auto"/>
        <w:bottom w:val="none" w:sz="0" w:space="0" w:color="auto"/>
        <w:right w:val="none" w:sz="0" w:space="0" w:color="auto"/>
      </w:divBdr>
    </w:div>
    <w:div w:id="942999844">
      <w:bodyDiv w:val="1"/>
      <w:marLeft w:val="0"/>
      <w:marRight w:val="0"/>
      <w:marTop w:val="0"/>
      <w:marBottom w:val="0"/>
      <w:divBdr>
        <w:top w:val="none" w:sz="0" w:space="0" w:color="auto"/>
        <w:left w:val="none" w:sz="0" w:space="0" w:color="auto"/>
        <w:bottom w:val="none" w:sz="0" w:space="0" w:color="auto"/>
        <w:right w:val="none" w:sz="0" w:space="0" w:color="auto"/>
      </w:divBdr>
      <w:divsChild>
        <w:div w:id="450978027">
          <w:marLeft w:val="0"/>
          <w:marRight w:val="0"/>
          <w:marTop w:val="0"/>
          <w:marBottom w:val="0"/>
          <w:divBdr>
            <w:top w:val="none" w:sz="0" w:space="0" w:color="auto"/>
            <w:left w:val="none" w:sz="0" w:space="0" w:color="auto"/>
            <w:bottom w:val="none" w:sz="0" w:space="0" w:color="auto"/>
            <w:right w:val="none" w:sz="0" w:space="0" w:color="auto"/>
          </w:divBdr>
          <w:divsChild>
            <w:div w:id="1162694746">
              <w:marLeft w:val="0"/>
              <w:marRight w:val="0"/>
              <w:marTop w:val="0"/>
              <w:marBottom w:val="0"/>
              <w:divBdr>
                <w:top w:val="none" w:sz="0" w:space="0" w:color="auto"/>
                <w:left w:val="none" w:sz="0" w:space="0" w:color="auto"/>
                <w:bottom w:val="none" w:sz="0" w:space="0" w:color="auto"/>
                <w:right w:val="none" w:sz="0" w:space="0" w:color="auto"/>
              </w:divBdr>
              <w:divsChild>
                <w:div w:id="1444231821">
                  <w:marLeft w:val="0"/>
                  <w:marRight w:val="0"/>
                  <w:marTop w:val="0"/>
                  <w:marBottom w:val="0"/>
                  <w:divBdr>
                    <w:top w:val="none" w:sz="0" w:space="0" w:color="auto"/>
                    <w:left w:val="none" w:sz="0" w:space="0" w:color="auto"/>
                    <w:bottom w:val="none" w:sz="0" w:space="0" w:color="auto"/>
                    <w:right w:val="none" w:sz="0" w:space="0" w:color="auto"/>
                  </w:divBdr>
                  <w:divsChild>
                    <w:div w:id="878014100">
                      <w:marLeft w:val="0"/>
                      <w:marRight w:val="0"/>
                      <w:marTop w:val="100"/>
                      <w:marBottom w:val="100"/>
                      <w:divBdr>
                        <w:top w:val="none" w:sz="0" w:space="0" w:color="auto"/>
                        <w:left w:val="none" w:sz="0" w:space="0" w:color="auto"/>
                        <w:bottom w:val="none" w:sz="0" w:space="0" w:color="auto"/>
                        <w:right w:val="none" w:sz="0" w:space="0" w:color="auto"/>
                      </w:divBdr>
                      <w:divsChild>
                        <w:div w:id="44048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0186407">
      <w:bodyDiv w:val="1"/>
      <w:marLeft w:val="0"/>
      <w:marRight w:val="0"/>
      <w:marTop w:val="0"/>
      <w:marBottom w:val="0"/>
      <w:divBdr>
        <w:top w:val="none" w:sz="0" w:space="0" w:color="auto"/>
        <w:left w:val="none" w:sz="0" w:space="0" w:color="auto"/>
        <w:bottom w:val="none" w:sz="0" w:space="0" w:color="auto"/>
        <w:right w:val="none" w:sz="0" w:space="0" w:color="auto"/>
      </w:divBdr>
      <w:divsChild>
        <w:div w:id="1183518926">
          <w:marLeft w:val="0"/>
          <w:marRight w:val="0"/>
          <w:marTop w:val="0"/>
          <w:marBottom w:val="0"/>
          <w:divBdr>
            <w:top w:val="none" w:sz="0" w:space="0" w:color="auto"/>
            <w:left w:val="none" w:sz="0" w:space="0" w:color="auto"/>
            <w:bottom w:val="none" w:sz="0" w:space="0" w:color="auto"/>
            <w:right w:val="none" w:sz="0" w:space="0" w:color="auto"/>
          </w:divBdr>
          <w:divsChild>
            <w:div w:id="715277182">
              <w:marLeft w:val="2175"/>
              <w:marRight w:val="0"/>
              <w:marTop w:val="0"/>
              <w:marBottom w:val="0"/>
              <w:divBdr>
                <w:top w:val="none" w:sz="0" w:space="0" w:color="auto"/>
                <w:left w:val="none" w:sz="0" w:space="0" w:color="auto"/>
                <w:bottom w:val="none" w:sz="0" w:space="0" w:color="auto"/>
                <w:right w:val="none" w:sz="0" w:space="0" w:color="auto"/>
              </w:divBdr>
              <w:divsChild>
                <w:div w:id="348222426">
                  <w:marLeft w:val="0"/>
                  <w:marRight w:val="0"/>
                  <w:marTop w:val="0"/>
                  <w:marBottom w:val="0"/>
                  <w:divBdr>
                    <w:top w:val="none" w:sz="0" w:space="0" w:color="auto"/>
                    <w:left w:val="none" w:sz="0" w:space="0" w:color="auto"/>
                    <w:bottom w:val="none" w:sz="0" w:space="0" w:color="auto"/>
                    <w:right w:val="none" w:sz="0" w:space="0" w:color="auto"/>
                  </w:divBdr>
                  <w:divsChild>
                    <w:div w:id="221605599">
                      <w:marLeft w:val="0"/>
                      <w:marRight w:val="0"/>
                      <w:marTop w:val="0"/>
                      <w:marBottom w:val="0"/>
                      <w:divBdr>
                        <w:top w:val="none" w:sz="0" w:space="0" w:color="auto"/>
                        <w:left w:val="none" w:sz="0" w:space="0" w:color="auto"/>
                        <w:bottom w:val="none" w:sz="0" w:space="0" w:color="auto"/>
                        <w:right w:val="none" w:sz="0" w:space="0" w:color="auto"/>
                      </w:divBdr>
                      <w:divsChild>
                        <w:div w:id="120579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8459256">
      <w:bodyDiv w:val="1"/>
      <w:marLeft w:val="0"/>
      <w:marRight w:val="0"/>
      <w:marTop w:val="0"/>
      <w:marBottom w:val="0"/>
      <w:divBdr>
        <w:top w:val="none" w:sz="0" w:space="0" w:color="auto"/>
        <w:left w:val="none" w:sz="0" w:space="0" w:color="auto"/>
        <w:bottom w:val="none" w:sz="0" w:space="0" w:color="auto"/>
        <w:right w:val="none" w:sz="0" w:space="0" w:color="auto"/>
      </w:divBdr>
      <w:divsChild>
        <w:div w:id="1748921143">
          <w:marLeft w:val="0"/>
          <w:marRight w:val="0"/>
          <w:marTop w:val="0"/>
          <w:marBottom w:val="0"/>
          <w:divBdr>
            <w:top w:val="none" w:sz="0" w:space="0" w:color="auto"/>
            <w:left w:val="none" w:sz="0" w:space="0" w:color="auto"/>
            <w:bottom w:val="none" w:sz="0" w:space="0" w:color="auto"/>
            <w:right w:val="none" w:sz="0" w:space="0" w:color="auto"/>
          </w:divBdr>
          <w:divsChild>
            <w:div w:id="1961447716">
              <w:marLeft w:val="0"/>
              <w:marRight w:val="0"/>
              <w:marTop w:val="450"/>
              <w:marBottom w:val="0"/>
              <w:divBdr>
                <w:top w:val="none" w:sz="0" w:space="0" w:color="auto"/>
                <w:left w:val="none" w:sz="0" w:space="0" w:color="auto"/>
                <w:bottom w:val="none" w:sz="0" w:space="0" w:color="auto"/>
                <w:right w:val="none" w:sz="0" w:space="0" w:color="auto"/>
              </w:divBdr>
              <w:divsChild>
                <w:div w:id="1654917791">
                  <w:marLeft w:val="0"/>
                  <w:marRight w:val="0"/>
                  <w:marTop w:val="0"/>
                  <w:marBottom w:val="0"/>
                  <w:divBdr>
                    <w:top w:val="none" w:sz="0" w:space="0" w:color="auto"/>
                    <w:left w:val="none" w:sz="0" w:space="0" w:color="auto"/>
                    <w:bottom w:val="none" w:sz="0" w:space="0" w:color="auto"/>
                    <w:right w:val="none" w:sz="0" w:space="0" w:color="auto"/>
                  </w:divBdr>
                  <w:divsChild>
                    <w:div w:id="143472726">
                      <w:marLeft w:val="0"/>
                      <w:marRight w:val="0"/>
                      <w:marTop w:val="0"/>
                      <w:marBottom w:val="300"/>
                      <w:divBdr>
                        <w:top w:val="single" w:sz="6" w:space="8" w:color="CCCCCC"/>
                        <w:left w:val="single" w:sz="6" w:space="8" w:color="CCCCCC"/>
                        <w:bottom w:val="single" w:sz="6" w:space="8" w:color="CCCCCC"/>
                        <w:right w:val="single" w:sz="6" w:space="8" w:color="CCCCCC"/>
                      </w:divBdr>
                    </w:div>
                  </w:divsChild>
                </w:div>
              </w:divsChild>
            </w:div>
          </w:divsChild>
        </w:div>
      </w:divsChild>
    </w:div>
    <w:div w:id="1012339008">
      <w:bodyDiv w:val="1"/>
      <w:marLeft w:val="0"/>
      <w:marRight w:val="0"/>
      <w:marTop w:val="0"/>
      <w:marBottom w:val="0"/>
      <w:divBdr>
        <w:top w:val="none" w:sz="0" w:space="0" w:color="auto"/>
        <w:left w:val="none" w:sz="0" w:space="0" w:color="auto"/>
        <w:bottom w:val="none" w:sz="0" w:space="0" w:color="auto"/>
        <w:right w:val="none" w:sz="0" w:space="0" w:color="auto"/>
      </w:divBdr>
      <w:divsChild>
        <w:div w:id="1935283689">
          <w:marLeft w:val="0"/>
          <w:marRight w:val="0"/>
          <w:marTop w:val="0"/>
          <w:marBottom w:val="0"/>
          <w:divBdr>
            <w:top w:val="none" w:sz="0" w:space="0" w:color="auto"/>
            <w:left w:val="none" w:sz="0" w:space="0" w:color="auto"/>
            <w:bottom w:val="none" w:sz="0" w:space="0" w:color="auto"/>
            <w:right w:val="none" w:sz="0" w:space="0" w:color="auto"/>
          </w:divBdr>
          <w:divsChild>
            <w:div w:id="6430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532505">
      <w:bodyDiv w:val="1"/>
      <w:marLeft w:val="0"/>
      <w:marRight w:val="0"/>
      <w:marTop w:val="0"/>
      <w:marBottom w:val="0"/>
      <w:divBdr>
        <w:top w:val="none" w:sz="0" w:space="0" w:color="auto"/>
        <w:left w:val="none" w:sz="0" w:space="0" w:color="auto"/>
        <w:bottom w:val="none" w:sz="0" w:space="0" w:color="auto"/>
        <w:right w:val="none" w:sz="0" w:space="0" w:color="auto"/>
      </w:divBdr>
      <w:divsChild>
        <w:div w:id="1698967694">
          <w:marLeft w:val="0"/>
          <w:marRight w:val="0"/>
          <w:marTop w:val="0"/>
          <w:marBottom w:val="0"/>
          <w:divBdr>
            <w:top w:val="none" w:sz="0" w:space="0" w:color="auto"/>
            <w:left w:val="none" w:sz="0" w:space="0" w:color="auto"/>
            <w:bottom w:val="none" w:sz="0" w:space="0" w:color="auto"/>
            <w:right w:val="none" w:sz="0" w:space="0" w:color="auto"/>
          </w:divBdr>
          <w:divsChild>
            <w:div w:id="706754863">
              <w:marLeft w:val="2175"/>
              <w:marRight w:val="0"/>
              <w:marTop w:val="0"/>
              <w:marBottom w:val="0"/>
              <w:divBdr>
                <w:top w:val="none" w:sz="0" w:space="0" w:color="auto"/>
                <w:left w:val="none" w:sz="0" w:space="0" w:color="auto"/>
                <w:bottom w:val="none" w:sz="0" w:space="0" w:color="auto"/>
                <w:right w:val="none" w:sz="0" w:space="0" w:color="auto"/>
              </w:divBdr>
              <w:divsChild>
                <w:div w:id="438109796">
                  <w:marLeft w:val="0"/>
                  <w:marRight w:val="0"/>
                  <w:marTop w:val="0"/>
                  <w:marBottom w:val="0"/>
                  <w:divBdr>
                    <w:top w:val="none" w:sz="0" w:space="0" w:color="auto"/>
                    <w:left w:val="none" w:sz="0" w:space="0" w:color="auto"/>
                    <w:bottom w:val="none" w:sz="0" w:space="0" w:color="auto"/>
                    <w:right w:val="none" w:sz="0" w:space="0" w:color="auto"/>
                  </w:divBdr>
                  <w:divsChild>
                    <w:div w:id="1408727269">
                      <w:marLeft w:val="0"/>
                      <w:marRight w:val="0"/>
                      <w:marTop w:val="0"/>
                      <w:marBottom w:val="0"/>
                      <w:divBdr>
                        <w:top w:val="none" w:sz="0" w:space="0" w:color="auto"/>
                        <w:left w:val="none" w:sz="0" w:space="0" w:color="auto"/>
                        <w:bottom w:val="none" w:sz="0" w:space="0" w:color="auto"/>
                        <w:right w:val="none" w:sz="0" w:space="0" w:color="auto"/>
                      </w:divBdr>
                      <w:divsChild>
                        <w:div w:id="19833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7231563">
      <w:bodyDiv w:val="1"/>
      <w:marLeft w:val="0"/>
      <w:marRight w:val="0"/>
      <w:marTop w:val="0"/>
      <w:marBottom w:val="0"/>
      <w:divBdr>
        <w:top w:val="none" w:sz="0" w:space="0" w:color="auto"/>
        <w:left w:val="none" w:sz="0" w:space="0" w:color="auto"/>
        <w:bottom w:val="none" w:sz="0" w:space="0" w:color="auto"/>
        <w:right w:val="none" w:sz="0" w:space="0" w:color="auto"/>
      </w:divBdr>
      <w:divsChild>
        <w:div w:id="675033023">
          <w:marLeft w:val="0"/>
          <w:marRight w:val="0"/>
          <w:marTop w:val="0"/>
          <w:marBottom w:val="0"/>
          <w:divBdr>
            <w:top w:val="none" w:sz="0" w:space="0" w:color="auto"/>
            <w:left w:val="none" w:sz="0" w:space="0" w:color="auto"/>
            <w:bottom w:val="none" w:sz="0" w:space="0" w:color="auto"/>
            <w:right w:val="none" w:sz="0" w:space="0" w:color="auto"/>
          </w:divBdr>
          <w:divsChild>
            <w:div w:id="1398626795">
              <w:marLeft w:val="0"/>
              <w:marRight w:val="0"/>
              <w:marTop w:val="0"/>
              <w:marBottom w:val="0"/>
              <w:divBdr>
                <w:top w:val="none" w:sz="0" w:space="0" w:color="auto"/>
                <w:left w:val="none" w:sz="0" w:space="0" w:color="auto"/>
                <w:bottom w:val="none" w:sz="0" w:space="0" w:color="auto"/>
                <w:right w:val="none" w:sz="0" w:space="0" w:color="auto"/>
              </w:divBdr>
              <w:divsChild>
                <w:div w:id="1898740196">
                  <w:marLeft w:val="0"/>
                  <w:marRight w:val="0"/>
                  <w:marTop w:val="0"/>
                  <w:marBottom w:val="0"/>
                  <w:divBdr>
                    <w:top w:val="none" w:sz="0" w:space="0" w:color="auto"/>
                    <w:left w:val="none" w:sz="0" w:space="0" w:color="auto"/>
                    <w:bottom w:val="none" w:sz="0" w:space="0" w:color="auto"/>
                    <w:right w:val="none" w:sz="0" w:space="0" w:color="auto"/>
                  </w:divBdr>
                  <w:divsChild>
                    <w:div w:id="60836225">
                      <w:marLeft w:val="0"/>
                      <w:marRight w:val="0"/>
                      <w:marTop w:val="0"/>
                      <w:marBottom w:val="0"/>
                      <w:divBdr>
                        <w:top w:val="none" w:sz="0" w:space="0" w:color="auto"/>
                        <w:left w:val="none" w:sz="0" w:space="0" w:color="auto"/>
                        <w:bottom w:val="none" w:sz="0" w:space="0" w:color="auto"/>
                        <w:right w:val="none" w:sz="0" w:space="0" w:color="auto"/>
                      </w:divBdr>
                      <w:divsChild>
                        <w:div w:id="1705212563">
                          <w:marLeft w:val="8"/>
                          <w:marRight w:val="0"/>
                          <w:marTop w:val="0"/>
                          <w:marBottom w:val="0"/>
                          <w:divBdr>
                            <w:top w:val="none" w:sz="0" w:space="0" w:color="auto"/>
                            <w:left w:val="none" w:sz="0" w:space="0" w:color="auto"/>
                            <w:bottom w:val="none" w:sz="0" w:space="0" w:color="auto"/>
                            <w:right w:val="none" w:sz="0" w:space="0" w:color="auto"/>
                          </w:divBdr>
                          <w:divsChild>
                            <w:div w:id="58950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1822201">
      <w:bodyDiv w:val="1"/>
      <w:marLeft w:val="0"/>
      <w:marRight w:val="0"/>
      <w:marTop w:val="0"/>
      <w:marBottom w:val="0"/>
      <w:divBdr>
        <w:top w:val="none" w:sz="0" w:space="0" w:color="auto"/>
        <w:left w:val="none" w:sz="0" w:space="0" w:color="auto"/>
        <w:bottom w:val="none" w:sz="0" w:space="0" w:color="auto"/>
        <w:right w:val="none" w:sz="0" w:space="0" w:color="auto"/>
      </w:divBdr>
    </w:div>
    <w:div w:id="1285498572">
      <w:bodyDiv w:val="1"/>
      <w:marLeft w:val="0"/>
      <w:marRight w:val="0"/>
      <w:marTop w:val="0"/>
      <w:marBottom w:val="0"/>
      <w:divBdr>
        <w:top w:val="none" w:sz="0" w:space="0" w:color="auto"/>
        <w:left w:val="none" w:sz="0" w:space="0" w:color="auto"/>
        <w:bottom w:val="none" w:sz="0" w:space="0" w:color="auto"/>
        <w:right w:val="none" w:sz="0" w:space="0" w:color="auto"/>
      </w:divBdr>
      <w:divsChild>
        <w:div w:id="1028488893">
          <w:marLeft w:val="0"/>
          <w:marRight w:val="0"/>
          <w:marTop w:val="0"/>
          <w:marBottom w:val="0"/>
          <w:divBdr>
            <w:top w:val="none" w:sz="0" w:space="0" w:color="auto"/>
            <w:left w:val="none" w:sz="0" w:space="0" w:color="auto"/>
            <w:bottom w:val="none" w:sz="0" w:space="0" w:color="auto"/>
            <w:right w:val="none" w:sz="0" w:space="0" w:color="auto"/>
          </w:divBdr>
          <w:divsChild>
            <w:div w:id="1012804362">
              <w:marLeft w:val="0"/>
              <w:marRight w:val="0"/>
              <w:marTop w:val="0"/>
              <w:marBottom w:val="0"/>
              <w:divBdr>
                <w:top w:val="none" w:sz="0" w:space="0" w:color="auto"/>
                <w:left w:val="none" w:sz="0" w:space="0" w:color="auto"/>
                <w:bottom w:val="none" w:sz="0" w:space="0" w:color="auto"/>
                <w:right w:val="none" w:sz="0" w:space="0" w:color="auto"/>
              </w:divBdr>
              <w:divsChild>
                <w:div w:id="272977477">
                  <w:marLeft w:val="0"/>
                  <w:marRight w:val="0"/>
                  <w:marTop w:val="0"/>
                  <w:marBottom w:val="0"/>
                  <w:divBdr>
                    <w:top w:val="none" w:sz="0" w:space="0" w:color="auto"/>
                    <w:left w:val="none" w:sz="0" w:space="0" w:color="auto"/>
                    <w:bottom w:val="none" w:sz="0" w:space="0" w:color="auto"/>
                    <w:right w:val="none" w:sz="0" w:space="0" w:color="auto"/>
                  </w:divBdr>
                  <w:divsChild>
                    <w:div w:id="1740904076">
                      <w:marLeft w:val="0"/>
                      <w:marRight w:val="0"/>
                      <w:marTop w:val="100"/>
                      <w:marBottom w:val="100"/>
                      <w:divBdr>
                        <w:top w:val="none" w:sz="0" w:space="0" w:color="auto"/>
                        <w:left w:val="none" w:sz="0" w:space="0" w:color="auto"/>
                        <w:bottom w:val="none" w:sz="0" w:space="0" w:color="auto"/>
                        <w:right w:val="none" w:sz="0" w:space="0" w:color="auto"/>
                      </w:divBdr>
                      <w:divsChild>
                        <w:div w:id="87615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6234106">
      <w:bodyDiv w:val="1"/>
      <w:marLeft w:val="0"/>
      <w:marRight w:val="0"/>
      <w:marTop w:val="0"/>
      <w:marBottom w:val="0"/>
      <w:divBdr>
        <w:top w:val="none" w:sz="0" w:space="0" w:color="auto"/>
        <w:left w:val="none" w:sz="0" w:space="0" w:color="auto"/>
        <w:bottom w:val="none" w:sz="0" w:space="0" w:color="auto"/>
        <w:right w:val="none" w:sz="0" w:space="0" w:color="auto"/>
      </w:divBdr>
      <w:divsChild>
        <w:div w:id="587614769">
          <w:marLeft w:val="0"/>
          <w:marRight w:val="0"/>
          <w:marTop w:val="0"/>
          <w:marBottom w:val="450"/>
          <w:divBdr>
            <w:top w:val="none" w:sz="0" w:space="0" w:color="auto"/>
            <w:left w:val="single" w:sz="48" w:space="0" w:color="FFFFFF"/>
            <w:bottom w:val="single" w:sz="48" w:space="0" w:color="FFFFFF"/>
            <w:right w:val="single" w:sz="48" w:space="0" w:color="FFFFFF"/>
          </w:divBdr>
          <w:divsChild>
            <w:div w:id="1635523910">
              <w:marLeft w:val="0"/>
              <w:marRight w:val="0"/>
              <w:marTop w:val="0"/>
              <w:marBottom w:val="300"/>
              <w:divBdr>
                <w:top w:val="none" w:sz="0" w:space="0" w:color="auto"/>
                <w:left w:val="none" w:sz="0" w:space="0" w:color="auto"/>
                <w:bottom w:val="none" w:sz="0" w:space="0" w:color="auto"/>
                <w:right w:val="none" w:sz="0" w:space="0" w:color="auto"/>
              </w:divBdr>
              <w:divsChild>
                <w:div w:id="176476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162064">
      <w:bodyDiv w:val="1"/>
      <w:marLeft w:val="0"/>
      <w:marRight w:val="0"/>
      <w:marTop w:val="0"/>
      <w:marBottom w:val="0"/>
      <w:divBdr>
        <w:top w:val="none" w:sz="0" w:space="0" w:color="auto"/>
        <w:left w:val="none" w:sz="0" w:space="0" w:color="auto"/>
        <w:bottom w:val="none" w:sz="0" w:space="0" w:color="auto"/>
        <w:right w:val="none" w:sz="0" w:space="0" w:color="auto"/>
      </w:divBdr>
      <w:divsChild>
        <w:div w:id="21250755">
          <w:marLeft w:val="0"/>
          <w:marRight w:val="0"/>
          <w:marTop w:val="0"/>
          <w:marBottom w:val="0"/>
          <w:divBdr>
            <w:top w:val="none" w:sz="0" w:space="0" w:color="auto"/>
            <w:left w:val="none" w:sz="0" w:space="0" w:color="auto"/>
            <w:bottom w:val="none" w:sz="0" w:space="0" w:color="auto"/>
            <w:right w:val="none" w:sz="0" w:space="0" w:color="auto"/>
          </w:divBdr>
          <w:divsChild>
            <w:div w:id="654530369">
              <w:marLeft w:val="2175"/>
              <w:marRight w:val="0"/>
              <w:marTop w:val="0"/>
              <w:marBottom w:val="0"/>
              <w:divBdr>
                <w:top w:val="none" w:sz="0" w:space="0" w:color="auto"/>
                <w:left w:val="none" w:sz="0" w:space="0" w:color="auto"/>
                <w:bottom w:val="none" w:sz="0" w:space="0" w:color="auto"/>
                <w:right w:val="none" w:sz="0" w:space="0" w:color="auto"/>
              </w:divBdr>
              <w:divsChild>
                <w:div w:id="1145582897">
                  <w:marLeft w:val="0"/>
                  <w:marRight w:val="0"/>
                  <w:marTop w:val="0"/>
                  <w:marBottom w:val="0"/>
                  <w:divBdr>
                    <w:top w:val="none" w:sz="0" w:space="0" w:color="auto"/>
                    <w:left w:val="none" w:sz="0" w:space="0" w:color="auto"/>
                    <w:bottom w:val="none" w:sz="0" w:space="0" w:color="auto"/>
                    <w:right w:val="none" w:sz="0" w:space="0" w:color="auto"/>
                  </w:divBdr>
                  <w:divsChild>
                    <w:div w:id="171634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351819">
      <w:bodyDiv w:val="1"/>
      <w:marLeft w:val="0"/>
      <w:marRight w:val="0"/>
      <w:marTop w:val="0"/>
      <w:marBottom w:val="0"/>
      <w:divBdr>
        <w:top w:val="none" w:sz="0" w:space="0" w:color="auto"/>
        <w:left w:val="none" w:sz="0" w:space="0" w:color="auto"/>
        <w:bottom w:val="none" w:sz="0" w:space="0" w:color="auto"/>
        <w:right w:val="none" w:sz="0" w:space="0" w:color="auto"/>
      </w:divBdr>
    </w:div>
    <w:div w:id="1403524407">
      <w:bodyDiv w:val="1"/>
      <w:marLeft w:val="0"/>
      <w:marRight w:val="0"/>
      <w:marTop w:val="0"/>
      <w:marBottom w:val="0"/>
      <w:divBdr>
        <w:top w:val="none" w:sz="0" w:space="0" w:color="auto"/>
        <w:left w:val="none" w:sz="0" w:space="0" w:color="auto"/>
        <w:bottom w:val="none" w:sz="0" w:space="0" w:color="auto"/>
        <w:right w:val="none" w:sz="0" w:space="0" w:color="auto"/>
      </w:divBdr>
      <w:divsChild>
        <w:div w:id="1474252227">
          <w:marLeft w:val="0"/>
          <w:marRight w:val="0"/>
          <w:marTop w:val="0"/>
          <w:marBottom w:val="0"/>
          <w:divBdr>
            <w:top w:val="none" w:sz="0" w:space="0" w:color="auto"/>
            <w:left w:val="none" w:sz="0" w:space="0" w:color="auto"/>
            <w:bottom w:val="none" w:sz="0" w:space="0" w:color="auto"/>
            <w:right w:val="none" w:sz="0" w:space="0" w:color="auto"/>
          </w:divBdr>
          <w:divsChild>
            <w:div w:id="1188982654">
              <w:marLeft w:val="2175"/>
              <w:marRight w:val="0"/>
              <w:marTop w:val="0"/>
              <w:marBottom w:val="0"/>
              <w:divBdr>
                <w:top w:val="none" w:sz="0" w:space="0" w:color="auto"/>
                <w:left w:val="none" w:sz="0" w:space="0" w:color="auto"/>
                <w:bottom w:val="none" w:sz="0" w:space="0" w:color="auto"/>
                <w:right w:val="none" w:sz="0" w:space="0" w:color="auto"/>
              </w:divBdr>
              <w:divsChild>
                <w:div w:id="398215618">
                  <w:marLeft w:val="0"/>
                  <w:marRight w:val="0"/>
                  <w:marTop w:val="0"/>
                  <w:marBottom w:val="0"/>
                  <w:divBdr>
                    <w:top w:val="none" w:sz="0" w:space="0" w:color="auto"/>
                    <w:left w:val="none" w:sz="0" w:space="0" w:color="auto"/>
                    <w:bottom w:val="none" w:sz="0" w:space="0" w:color="auto"/>
                    <w:right w:val="none" w:sz="0" w:space="0" w:color="auto"/>
                  </w:divBdr>
                  <w:divsChild>
                    <w:div w:id="1748263637">
                      <w:marLeft w:val="0"/>
                      <w:marRight w:val="0"/>
                      <w:marTop w:val="0"/>
                      <w:marBottom w:val="0"/>
                      <w:divBdr>
                        <w:top w:val="none" w:sz="0" w:space="0" w:color="auto"/>
                        <w:left w:val="none" w:sz="0" w:space="0" w:color="auto"/>
                        <w:bottom w:val="none" w:sz="0" w:space="0" w:color="auto"/>
                        <w:right w:val="none" w:sz="0" w:space="0" w:color="auto"/>
                      </w:divBdr>
                      <w:divsChild>
                        <w:div w:id="116866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8813667">
      <w:bodyDiv w:val="1"/>
      <w:marLeft w:val="0"/>
      <w:marRight w:val="0"/>
      <w:marTop w:val="0"/>
      <w:marBottom w:val="0"/>
      <w:divBdr>
        <w:top w:val="none" w:sz="0" w:space="0" w:color="auto"/>
        <w:left w:val="none" w:sz="0" w:space="0" w:color="auto"/>
        <w:bottom w:val="none" w:sz="0" w:space="0" w:color="auto"/>
        <w:right w:val="none" w:sz="0" w:space="0" w:color="auto"/>
      </w:divBdr>
      <w:divsChild>
        <w:div w:id="222445575">
          <w:marLeft w:val="0"/>
          <w:marRight w:val="0"/>
          <w:marTop w:val="0"/>
          <w:marBottom w:val="0"/>
          <w:divBdr>
            <w:top w:val="none" w:sz="0" w:space="0" w:color="auto"/>
            <w:left w:val="none" w:sz="0" w:space="0" w:color="auto"/>
            <w:bottom w:val="none" w:sz="0" w:space="0" w:color="auto"/>
            <w:right w:val="none" w:sz="0" w:space="0" w:color="auto"/>
          </w:divBdr>
          <w:divsChild>
            <w:div w:id="449132998">
              <w:marLeft w:val="0"/>
              <w:marRight w:val="0"/>
              <w:marTop w:val="0"/>
              <w:marBottom w:val="0"/>
              <w:divBdr>
                <w:top w:val="none" w:sz="0" w:space="0" w:color="auto"/>
                <w:left w:val="none" w:sz="0" w:space="0" w:color="auto"/>
                <w:bottom w:val="none" w:sz="0" w:space="0" w:color="auto"/>
                <w:right w:val="none" w:sz="0" w:space="0" w:color="auto"/>
              </w:divBdr>
              <w:divsChild>
                <w:div w:id="1198354374">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609894064">
      <w:bodyDiv w:val="1"/>
      <w:marLeft w:val="0"/>
      <w:marRight w:val="0"/>
      <w:marTop w:val="0"/>
      <w:marBottom w:val="0"/>
      <w:divBdr>
        <w:top w:val="none" w:sz="0" w:space="0" w:color="auto"/>
        <w:left w:val="none" w:sz="0" w:space="0" w:color="auto"/>
        <w:bottom w:val="none" w:sz="0" w:space="0" w:color="auto"/>
        <w:right w:val="none" w:sz="0" w:space="0" w:color="auto"/>
      </w:divBdr>
      <w:divsChild>
        <w:div w:id="716514562">
          <w:marLeft w:val="0"/>
          <w:marRight w:val="0"/>
          <w:marTop w:val="0"/>
          <w:marBottom w:val="0"/>
          <w:divBdr>
            <w:top w:val="none" w:sz="0" w:space="0" w:color="auto"/>
            <w:left w:val="none" w:sz="0" w:space="0" w:color="auto"/>
            <w:bottom w:val="none" w:sz="0" w:space="0" w:color="auto"/>
            <w:right w:val="none" w:sz="0" w:space="0" w:color="auto"/>
          </w:divBdr>
          <w:divsChild>
            <w:div w:id="96561023">
              <w:marLeft w:val="0"/>
              <w:marRight w:val="0"/>
              <w:marTop w:val="0"/>
              <w:marBottom w:val="0"/>
              <w:divBdr>
                <w:top w:val="none" w:sz="0" w:space="0" w:color="auto"/>
                <w:left w:val="none" w:sz="0" w:space="0" w:color="auto"/>
                <w:bottom w:val="none" w:sz="0" w:space="0" w:color="auto"/>
                <w:right w:val="none" w:sz="0" w:space="0" w:color="auto"/>
              </w:divBdr>
              <w:divsChild>
                <w:div w:id="1636910005">
                  <w:marLeft w:val="-300"/>
                  <w:marRight w:val="0"/>
                  <w:marTop w:val="150"/>
                  <w:marBottom w:val="150"/>
                  <w:divBdr>
                    <w:top w:val="none" w:sz="0" w:space="0" w:color="auto"/>
                    <w:left w:val="none" w:sz="0" w:space="0" w:color="auto"/>
                    <w:bottom w:val="none" w:sz="0" w:space="0" w:color="auto"/>
                    <w:right w:val="none" w:sz="0" w:space="0" w:color="auto"/>
                  </w:divBdr>
                  <w:divsChild>
                    <w:div w:id="869027544">
                      <w:marLeft w:val="0"/>
                      <w:marRight w:val="0"/>
                      <w:marTop w:val="0"/>
                      <w:marBottom w:val="0"/>
                      <w:divBdr>
                        <w:top w:val="none" w:sz="0" w:space="0" w:color="auto"/>
                        <w:left w:val="none" w:sz="0" w:space="0" w:color="auto"/>
                        <w:bottom w:val="none" w:sz="0" w:space="0" w:color="auto"/>
                        <w:right w:val="none" w:sz="0" w:space="0" w:color="auto"/>
                      </w:divBdr>
                      <w:divsChild>
                        <w:div w:id="485169532">
                          <w:marLeft w:val="0"/>
                          <w:marRight w:val="0"/>
                          <w:marTop w:val="0"/>
                          <w:marBottom w:val="0"/>
                          <w:divBdr>
                            <w:top w:val="none" w:sz="0" w:space="0" w:color="auto"/>
                            <w:left w:val="none" w:sz="0" w:space="0" w:color="auto"/>
                            <w:bottom w:val="none" w:sz="0" w:space="0" w:color="auto"/>
                            <w:right w:val="none" w:sz="0" w:space="0" w:color="auto"/>
                          </w:divBdr>
                          <w:divsChild>
                            <w:div w:id="372579627">
                              <w:marLeft w:val="0"/>
                              <w:marRight w:val="0"/>
                              <w:marTop w:val="0"/>
                              <w:marBottom w:val="0"/>
                              <w:divBdr>
                                <w:top w:val="none" w:sz="0" w:space="0" w:color="auto"/>
                                <w:left w:val="none" w:sz="0" w:space="0" w:color="auto"/>
                                <w:bottom w:val="none" w:sz="0" w:space="0" w:color="auto"/>
                                <w:right w:val="none" w:sz="0" w:space="0" w:color="auto"/>
                              </w:divBdr>
                              <w:divsChild>
                                <w:div w:id="94931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6499639">
      <w:bodyDiv w:val="1"/>
      <w:marLeft w:val="0"/>
      <w:marRight w:val="0"/>
      <w:marTop w:val="0"/>
      <w:marBottom w:val="0"/>
      <w:divBdr>
        <w:top w:val="none" w:sz="0" w:space="0" w:color="auto"/>
        <w:left w:val="none" w:sz="0" w:space="0" w:color="auto"/>
        <w:bottom w:val="none" w:sz="0" w:space="0" w:color="auto"/>
        <w:right w:val="none" w:sz="0" w:space="0" w:color="auto"/>
      </w:divBdr>
      <w:divsChild>
        <w:div w:id="1628507049">
          <w:marLeft w:val="0"/>
          <w:marRight w:val="0"/>
          <w:marTop w:val="0"/>
          <w:marBottom w:val="0"/>
          <w:divBdr>
            <w:top w:val="none" w:sz="0" w:space="0" w:color="auto"/>
            <w:left w:val="none" w:sz="0" w:space="0" w:color="auto"/>
            <w:bottom w:val="none" w:sz="0" w:space="0" w:color="auto"/>
            <w:right w:val="none" w:sz="0" w:space="0" w:color="auto"/>
          </w:divBdr>
          <w:divsChild>
            <w:div w:id="1206257290">
              <w:marLeft w:val="0"/>
              <w:marRight w:val="0"/>
              <w:marTop w:val="0"/>
              <w:marBottom w:val="0"/>
              <w:divBdr>
                <w:top w:val="none" w:sz="0" w:space="0" w:color="auto"/>
                <w:left w:val="none" w:sz="0" w:space="0" w:color="auto"/>
                <w:bottom w:val="none" w:sz="0" w:space="0" w:color="auto"/>
                <w:right w:val="none" w:sz="0" w:space="0" w:color="auto"/>
              </w:divBdr>
              <w:divsChild>
                <w:div w:id="915820354">
                  <w:marLeft w:val="3870"/>
                  <w:marRight w:val="0"/>
                  <w:marTop w:val="0"/>
                  <w:marBottom w:val="0"/>
                  <w:divBdr>
                    <w:top w:val="none" w:sz="0" w:space="0" w:color="auto"/>
                    <w:left w:val="none" w:sz="0" w:space="0" w:color="auto"/>
                    <w:bottom w:val="none" w:sz="0" w:space="0" w:color="auto"/>
                    <w:right w:val="none" w:sz="0" w:space="0" w:color="auto"/>
                  </w:divBdr>
                  <w:divsChild>
                    <w:div w:id="2015761851">
                      <w:marLeft w:val="0"/>
                      <w:marRight w:val="0"/>
                      <w:marTop w:val="0"/>
                      <w:marBottom w:val="300"/>
                      <w:divBdr>
                        <w:top w:val="none" w:sz="0" w:space="0" w:color="auto"/>
                        <w:left w:val="none" w:sz="0" w:space="0" w:color="auto"/>
                        <w:bottom w:val="none" w:sz="0" w:space="0" w:color="auto"/>
                        <w:right w:val="none" w:sz="0" w:space="0" w:color="auto"/>
                      </w:divBdr>
                      <w:divsChild>
                        <w:div w:id="163790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8216982">
      <w:bodyDiv w:val="1"/>
      <w:marLeft w:val="0"/>
      <w:marRight w:val="0"/>
      <w:marTop w:val="0"/>
      <w:marBottom w:val="0"/>
      <w:divBdr>
        <w:top w:val="none" w:sz="0" w:space="0" w:color="auto"/>
        <w:left w:val="none" w:sz="0" w:space="0" w:color="auto"/>
        <w:bottom w:val="none" w:sz="0" w:space="0" w:color="auto"/>
        <w:right w:val="none" w:sz="0" w:space="0" w:color="auto"/>
      </w:divBdr>
      <w:divsChild>
        <w:div w:id="1508712142">
          <w:marLeft w:val="0"/>
          <w:marRight w:val="0"/>
          <w:marTop w:val="0"/>
          <w:marBottom w:val="0"/>
          <w:divBdr>
            <w:top w:val="none" w:sz="0" w:space="0" w:color="auto"/>
            <w:left w:val="none" w:sz="0" w:space="0" w:color="auto"/>
            <w:bottom w:val="none" w:sz="0" w:space="0" w:color="auto"/>
            <w:right w:val="none" w:sz="0" w:space="0" w:color="auto"/>
          </w:divBdr>
          <w:divsChild>
            <w:div w:id="473523786">
              <w:marLeft w:val="0"/>
              <w:marRight w:val="0"/>
              <w:marTop w:val="0"/>
              <w:marBottom w:val="0"/>
              <w:divBdr>
                <w:top w:val="none" w:sz="0" w:space="0" w:color="auto"/>
                <w:left w:val="none" w:sz="0" w:space="0" w:color="auto"/>
                <w:bottom w:val="none" w:sz="0" w:space="0" w:color="auto"/>
                <w:right w:val="none" w:sz="0" w:space="0" w:color="auto"/>
              </w:divBdr>
              <w:divsChild>
                <w:div w:id="978193826">
                  <w:marLeft w:val="0"/>
                  <w:marRight w:val="0"/>
                  <w:marTop w:val="0"/>
                  <w:marBottom w:val="0"/>
                  <w:divBdr>
                    <w:top w:val="none" w:sz="0" w:space="0" w:color="auto"/>
                    <w:left w:val="none" w:sz="0" w:space="0" w:color="auto"/>
                    <w:bottom w:val="none" w:sz="0" w:space="0" w:color="auto"/>
                    <w:right w:val="none" w:sz="0" w:space="0" w:color="auto"/>
                  </w:divBdr>
                  <w:divsChild>
                    <w:div w:id="1876456848">
                      <w:marLeft w:val="0"/>
                      <w:marRight w:val="0"/>
                      <w:marTop w:val="0"/>
                      <w:marBottom w:val="0"/>
                      <w:divBdr>
                        <w:top w:val="none" w:sz="0" w:space="0" w:color="auto"/>
                        <w:left w:val="none" w:sz="0" w:space="0" w:color="auto"/>
                        <w:bottom w:val="none" w:sz="0" w:space="0" w:color="auto"/>
                        <w:right w:val="none" w:sz="0" w:space="0" w:color="auto"/>
                      </w:divBdr>
                      <w:divsChild>
                        <w:div w:id="405342375">
                          <w:marLeft w:val="0"/>
                          <w:marRight w:val="0"/>
                          <w:marTop w:val="0"/>
                          <w:marBottom w:val="0"/>
                          <w:divBdr>
                            <w:top w:val="none" w:sz="0" w:space="0" w:color="auto"/>
                            <w:left w:val="none" w:sz="0" w:space="0" w:color="auto"/>
                            <w:bottom w:val="none" w:sz="0" w:space="0" w:color="auto"/>
                            <w:right w:val="none" w:sz="0" w:space="0" w:color="auto"/>
                          </w:divBdr>
                          <w:divsChild>
                            <w:div w:id="2120371396">
                              <w:marLeft w:val="2325"/>
                              <w:marRight w:val="3000"/>
                              <w:marTop w:val="0"/>
                              <w:marBottom w:val="0"/>
                              <w:divBdr>
                                <w:top w:val="none" w:sz="0" w:space="0" w:color="auto"/>
                                <w:left w:val="dashed" w:sz="6" w:space="0" w:color="808080"/>
                                <w:bottom w:val="none" w:sz="0" w:space="0" w:color="auto"/>
                                <w:right w:val="dashed" w:sz="6" w:space="0" w:color="808080"/>
                              </w:divBdr>
                              <w:divsChild>
                                <w:div w:id="1292444294">
                                  <w:marLeft w:val="0"/>
                                  <w:marRight w:val="0"/>
                                  <w:marTop w:val="0"/>
                                  <w:marBottom w:val="0"/>
                                  <w:divBdr>
                                    <w:top w:val="single" w:sz="2" w:space="0" w:color="000000"/>
                                    <w:left w:val="single" w:sz="2" w:space="0" w:color="000000"/>
                                    <w:bottom w:val="single" w:sz="2" w:space="15" w:color="000000"/>
                                    <w:right w:val="single" w:sz="2" w:space="0" w:color="000000"/>
                                  </w:divBdr>
                                  <w:divsChild>
                                    <w:div w:id="436145495">
                                      <w:marLeft w:val="0"/>
                                      <w:marRight w:val="0"/>
                                      <w:marTop w:val="0"/>
                                      <w:marBottom w:val="0"/>
                                      <w:divBdr>
                                        <w:top w:val="none" w:sz="0" w:space="0" w:color="auto"/>
                                        <w:left w:val="none" w:sz="0" w:space="0" w:color="auto"/>
                                        <w:bottom w:val="none" w:sz="0" w:space="0" w:color="auto"/>
                                        <w:right w:val="none" w:sz="0" w:space="0" w:color="auto"/>
                                      </w:divBdr>
                                      <w:divsChild>
                                        <w:div w:id="1235777004">
                                          <w:marLeft w:val="0"/>
                                          <w:marRight w:val="0"/>
                                          <w:marTop w:val="0"/>
                                          <w:marBottom w:val="0"/>
                                          <w:divBdr>
                                            <w:top w:val="none" w:sz="0" w:space="0" w:color="auto"/>
                                            <w:left w:val="none" w:sz="0" w:space="0" w:color="auto"/>
                                            <w:bottom w:val="none" w:sz="0" w:space="0" w:color="auto"/>
                                            <w:right w:val="none" w:sz="0" w:space="0" w:color="auto"/>
                                          </w:divBdr>
                                          <w:divsChild>
                                            <w:div w:id="183726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4384401">
      <w:bodyDiv w:val="1"/>
      <w:marLeft w:val="0"/>
      <w:marRight w:val="0"/>
      <w:marTop w:val="0"/>
      <w:marBottom w:val="0"/>
      <w:divBdr>
        <w:top w:val="none" w:sz="0" w:space="0" w:color="auto"/>
        <w:left w:val="none" w:sz="0" w:space="0" w:color="auto"/>
        <w:bottom w:val="none" w:sz="0" w:space="0" w:color="auto"/>
        <w:right w:val="none" w:sz="0" w:space="0" w:color="auto"/>
      </w:divBdr>
    </w:div>
    <w:div w:id="1673144681">
      <w:bodyDiv w:val="1"/>
      <w:marLeft w:val="0"/>
      <w:marRight w:val="0"/>
      <w:marTop w:val="0"/>
      <w:marBottom w:val="0"/>
      <w:divBdr>
        <w:top w:val="none" w:sz="0" w:space="0" w:color="auto"/>
        <w:left w:val="none" w:sz="0" w:space="0" w:color="auto"/>
        <w:bottom w:val="none" w:sz="0" w:space="0" w:color="auto"/>
        <w:right w:val="none" w:sz="0" w:space="0" w:color="auto"/>
      </w:divBdr>
      <w:divsChild>
        <w:div w:id="1695108841">
          <w:marLeft w:val="0"/>
          <w:marRight w:val="0"/>
          <w:marTop w:val="0"/>
          <w:marBottom w:val="0"/>
          <w:divBdr>
            <w:top w:val="none" w:sz="0" w:space="0" w:color="auto"/>
            <w:left w:val="none" w:sz="0" w:space="0" w:color="auto"/>
            <w:bottom w:val="none" w:sz="0" w:space="0" w:color="auto"/>
            <w:right w:val="none" w:sz="0" w:space="0" w:color="auto"/>
          </w:divBdr>
          <w:divsChild>
            <w:div w:id="1871453379">
              <w:marLeft w:val="0"/>
              <w:marRight w:val="0"/>
              <w:marTop w:val="0"/>
              <w:marBottom w:val="0"/>
              <w:divBdr>
                <w:top w:val="none" w:sz="0" w:space="0" w:color="auto"/>
                <w:left w:val="none" w:sz="0" w:space="0" w:color="auto"/>
                <w:bottom w:val="none" w:sz="0" w:space="0" w:color="auto"/>
                <w:right w:val="none" w:sz="0" w:space="0" w:color="auto"/>
              </w:divBdr>
              <w:divsChild>
                <w:div w:id="1609314490">
                  <w:marLeft w:val="0"/>
                  <w:marRight w:val="0"/>
                  <w:marTop w:val="0"/>
                  <w:marBottom w:val="0"/>
                  <w:divBdr>
                    <w:top w:val="none" w:sz="0" w:space="0" w:color="auto"/>
                    <w:left w:val="none" w:sz="0" w:space="0" w:color="auto"/>
                    <w:bottom w:val="none" w:sz="0" w:space="0" w:color="auto"/>
                    <w:right w:val="none" w:sz="0" w:space="0" w:color="auto"/>
                  </w:divBdr>
                  <w:divsChild>
                    <w:div w:id="471404731">
                      <w:marLeft w:val="0"/>
                      <w:marRight w:val="0"/>
                      <w:marTop w:val="0"/>
                      <w:marBottom w:val="0"/>
                      <w:divBdr>
                        <w:top w:val="none" w:sz="0" w:space="0" w:color="auto"/>
                        <w:left w:val="none" w:sz="0" w:space="0" w:color="auto"/>
                        <w:bottom w:val="none" w:sz="0" w:space="0" w:color="auto"/>
                        <w:right w:val="none" w:sz="0" w:space="0" w:color="auto"/>
                      </w:divBdr>
                      <w:divsChild>
                        <w:div w:id="1492720185">
                          <w:marLeft w:val="0"/>
                          <w:marRight w:val="0"/>
                          <w:marTop w:val="0"/>
                          <w:marBottom w:val="0"/>
                          <w:divBdr>
                            <w:top w:val="none" w:sz="0" w:space="0" w:color="auto"/>
                            <w:left w:val="none" w:sz="0" w:space="0" w:color="auto"/>
                            <w:bottom w:val="none" w:sz="0" w:space="0" w:color="auto"/>
                            <w:right w:val="none" w:sz="0" w:space="0" w:color="auto"/>
                          </w:divBdr>
                          <w:divsChild>
                            <w:div w:id="479464781">
                              <w:marLeft w:val="0"/>
                              <w:marRight w:val="0"/>
                              <w:marTop w:val="0"/>
                              <w:marBottom w:val="0"/>
                              <w:divBdr>
                                <w:top w:val="none" w:sz="0" w:space="0" w:color="auto"/>
                                <w:left w:val="none" w:sz="0" w:space="0" w:color="auto"/>
                                <w:bottom w:val="none" w:sz="0" w:space="0" w:color="auto"/>
                                <w:right w:val="none" w:sz="0" w:space="0" w:color="auto"/>
                              </w:divBdr>
                              <w:divsChild>
                                <w:div w:id="60700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1871507">
      <w:bodyDiv w:val="1"/>
      <w:marLeft w:val="0"/>
      <w:marRight w:val="0"/>
      <w:marTop w:val="0"/>
      <w:marBottom w:val="0"/>
      <w:divBdr>
        <w:top w:val="none" w:sz="0" w:space="0" w:color="auto"/>
        <w:left w:val="none" w:sz="0" w:space="0" w:color="auto"/>
        <w:bottom w:val="none" w:sz="0" w:space="0" w:color="auto"/>
        <w:right w:val="none" w:sz="0" w:space="0" w:color="auto"/>
      </w:divBdr>
    </w:div>
    <w:div w:id="1819152296">
      <w:bodyDiv w:val="1"/>
      <w:marLeft w:val="0"/>
      <w:marRight w:val="0"/>
      <w:marTop w:val="0"/>
      <w:marBottom w:val="0"/>
      <w:divBdr>
        <w:top w:val="none" w:sz="0" w:space="0" w:color="auto"/>
        <w:left w:val="none" w:sz="0" w:space="0" w:color="auto"/>
        <w:bottom w:val="none" w:sz="0" w:space="0" w:color="auto"/>
        <w:right w:val="none" w:sz="0" w:space="0" w:color="auto"/>
      </w:divBdr>
      <w:divsChild>
        <w:div w:id="732504569">
          <w:marLeft w:val="0"/>
          <w:marRight w:val="0"/>
          <w:marTop w:val="0"/>
          <w:marBottom w:val="0"/>
          <w:divBdr>
            <w:top w:val="none" w:sz="0" w:space="0" w:color="auto"/>
            <w:left w:val="none" w:sz="0" w:space="0" w:color="auto"/>
            <w:bottom w:val="none" w:sz="0" w:space="0" w:color="auto"/>
            <w:right w:val="none" w:sz="0" w:space="0" w:color="auto"/>
          </w:divBdr>
          <w:divsChild>
            <w:div w:id="156188691">
              <w:marLeft w:val="0"/>
              <w:marRight w:val="0"/>
              <w:marTop w:val="0"/>
              <w:marBottom w:val="0"/>
              <w:divBdr>
                <w:top w:val="none" w:sz="0" w:space="0" w:color="auto"/>
                <w:left w:val="none" w:sz="0" w:space="0" w:color="auto"/>
                <w:bottom w:val="none" w:sz="0" w:space="0" w:color="auto"/>
                <w:right w:val="none" w:sz="0" w:space="0" w:color="auto"/>
              </w:divBdr>
              <w:divsChild>
                <w:div w:id="1460025635">
                  <w:marLeft w:val="0"/>
                  <w:marRight w:val="0"/>
                  <w:marTop w:val="0"/>
                  <w:marBottom w:val="0"/>
                  <w:divBdr>
                    <w:top w:val="none" w:sz="0" w:space="0" w:color="auto"/>
                    <w:left w:val="none" w:sz="0" w:space="0" w:color="auto"/>
                    <w:bottom w:val="none" w:sz="0" w:space="0" w:color="auto"/>
                    <w:right w:val="none" w:sz="0" w:space="0" w:color="auto"/>
                  </w:divBdr>
                  <w:divsChild>
                    <w:div w:id="677080331">
                      <w:marLeft w:val="0"/>
                      <w:marRight w:val="0"/>
                      <w:marTop w:val="0"/>
                      <w:marBottom w:val="0"/>
                      <w:divBdr>
                        <w:top w:val="none" w:sz="0" w:space="0" w:color="auto"/>
                        <w:left w:val="none" w:sz="0" w:space="0" w:color="auto"/>
                        <w:bottom w:val="none" w:sz="0" w:space="0" w:color="auto"/>
                        <w:right w:val="none" w:sz="0" w:space="0" w:color="auto"/>
                      </w:divBdr>
                      <w:divsChild>
                        <w:div w:id="273951114">
                          <w:marLeft w:val="8"/>
                          <w:marRight w:val="0"/>
                          <w:marTop w:val="0"/>
                          <w:marBottom w:val="0"/>
                          <w:divBdr>
                            <w:top w:val="none" w:sz="0" w:space="0" w:color="auto"/>
                            <w:left w:val="none" w:sz="0" w:space="0" w:color="auto"/>
                            <w:bottom w:val="none" w:sz="0" w:space="0" w:color="auto"/>
                            <w:right w:val="none" w:sz="0" w:space="0" w:color="auto"/>
                          </w:divBdr>
                          <w:divsChild>
                            <w:div w:id="163266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7696720">
      <w:bodyDiv w:val="1"/>
      <w:marLeft w:val="0"/>
      <w:marRight w:val="0"/>
      <w:marTop w:val="0"/>
      <w:marBottom w:val="0"/>
      <w:divBdr>
        <w:top w:val="none" w:sz="0" w:space="0" w:color="auto"/>
        <w:left w:val="none" w:sz="0" w:space="0" w:color="auto"/>
        <w:bottom w:val="none" w:sz="0" w:space="0" w:color="auto"/>
        <w:right w:val="none" w:sz="0" w:space="0" w:color="auto"/>
      </w:divBdr>
      <w:divsChild>
        <w:div w:id="1084640998">
          <w:marLeft w:val="0"/>
          <w:marRight w:val="0"/>
          <w:marTop w:val="0"/>
          <w:marBottom w:val="0"/>
          <w:divBdr>
            <w:top w:val="none" w:sz="0" w:space="0" w:color="auto"/>
            <w:left w:val="none" w:sz="0" w:space="0" w:color="auto"/>
            <w:bottom w:val="none" w:sz="0" w:space="0" w:color="auto"/>
            <w:right w:val="none" w:sz="0" w:space="0" w:color="auto"/>
          </w:divBdr>
          <w:divsChild>
            <w:div w:id="1929194244">
              <w:marLeft w:val="0"/>
              <w:marRight w:val="0"/>
              <w:marTop w:val="0"/>
              <w:marBottom w:val="0"/>
              <w:divBdr>
                <w:top w:val="none" w:sz="0" w:space="0" w:color="auto"/>
                <w:left w:val="none" w:sz="0" w:space="0" w:color="auto"/>
                <w:bottom w:val="none" w:sz="0" w:space="0" w:color="auto"/>
                <w:right w:val="none" w:sz="0" w:space="0" w:color="auto"/>
              </w:divBdr>
              <w:divsChild>
                <w:div w:id="900796590">
                  <w:marLeft w:val="0"/>
                  <w:marRight w:val="0"/>
                  <w:marTop w:val="0"/>
                  <w:marBottom w:val="0"/>
                  <w:divBdr>
                    <w:top w:val="none" w:sz="0" w:space="0" w:color="auto"/>
                    <w:left w:val="none" w:sz="0" w:space="0" w:color="auto"/>
                    <w:bottom w:val="none" w:sz="0" w:space="0" w:color="auto"/>
                    <w:right w:val="none" w:sz="0" w:space="0" w:color="auto"/>
                  </w:divBdr>
                  <w:divsChild>
                    <w:div w:id="547186757">
                      <w:marLeft w:val="0"/>
                      <w:marRight w:val="0"/>
                      <w:marTop w:val="0"/>
                      <w:marBottom w:val="0"/>
                      <w:divBdr>
                        <w:top w:val="none" w:sz="0" w:space="0" w:color="auto"/>
                        <w:left w:val="none" w:sz="0" w:space="0" w:color="auto"/>
                        <w:bottom w:val="none" w:sz="0" w:space="0" w:color="auto"/>
                        <w:right w:val="none" w:sz="0" w:space="0" w:color="auto"/>
                      </w:divBdr>
                      <w:divsChild>
                        <w:div w:id="34341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13616056">
      <w:bodyDiv w:val="1"/>
      <w:marLeft w:val="0"/>
      <w:marRight w:val="0"/>
      <w:marTop w:val="0"/>
      <w:marBottom w:val="0"/>
      <w:divBdr>
        <w:top w:val="none" w:sz="0" w:space="0" w:color="auto"/>
        <w:left w:val="none" w:sz="0" w:space="0" w:color="auto"/>
        <w:bottom w:val="none" w:sz="0" w:space="0" w:color="auto"/>
        <w:right w:val="none" w:sz="0" w:space="0" w:color="auto"/>
      </w:divBdr>
      <w:divsChild>
        <w:div w:id="1034041054">
          <w:marLeft w:val="0"/>
          <w:marRight w:val="0"/>
          <w:marTop w:val="0"/>
          <w:marBottom w:val="0"/>
          <w:divBdr>
            <w:top w:val="none" w:sz="0" w:space="0" w:color="auto"/>
            <w:left w:val="none" w:sz="0" w:space="0" w:color="auto"/>
            <w:bottom w:val="none" w:sz="0" w:space="0" w:color="auto"/>
            <w:right w:val="none" w:sz="0" w:space="0" w:color="auto"/>
          </w:divBdr>
          <w:divsChild>
            <w:div w:id="782115961">
              <w:marLeft w:val="0"/>
              <w:marRight w:val="0"/>
              <w:marTop w:val="0"/>
              <w:marBottom w:val="0"/>
              <w:divBdr>
                <w:top w:val="none" w:sz="0" w:space="0" w:color="auto"/>
                <w:left w:val="none" w:sz="0" w:space="0" w:color="auto"/>
                <w:bottom w:val="none" w:sz="0" w:space="0" w:color="auto"/>
                <w:right w:val="none" w:sz="0" w:space="0" w:color="auto"/>
              </w:divBdr>
              <w:divsChild>
                <w:div w:id="1453554448">
                  <w:marLeft w:val="0"/>
                  <w:marRight w:val="0"/>
                  <w:marTop w:val="0"/>
                  <w:marBottom w:val="0"/>
                  <w:divBdr>
                    <w:top w:val="none" w:sz="0" w:space="0" w:color="auto"/>
                    <w:left w:val="none" w:sz="0" w:space="0" w:color="auto"/>
                    <w:bottom w:val="none" w:sz="0" w:space="0" w:color="auto"/>
                    <w:right w:val="none" w:sz="0" w:space="0" w:color="auto"/>
                  </w:divBdr>
                  <w:divsChild>
                    <w:div w:id="791481350">
                      <w:marLeft w:val="0"/>
                      <w:marRight w:val="0"/>
                      <w:marTop w:val="100"/>
                      <w:marBottom w:val="100"/>
                      <w:divBdr>
                        <w:top w:val="none" w:sz="0" w:space="0" w:color="auto"/>
                        <w:left w:val="none" w:sz="0" w:space="0" w:color="auto"/>
                        <w:bottom w:val="none" w:sz="0" w:space="0" w:color="auto"/>
                        <w:right w:val="none" w:sz="0" w:space="0" w:color="auto"/>
                      </w:divBdr>
                      <w:divsChild>
                        <w:div w:id="188994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6155805">
      <w:bodyDiv w:val="1"/>
      <w:marLeft w:val="0"/>
      <w:marRight w:val="0"/>
      <w:marTop w:val="0"/>
      <w:marBottom w:val="0"/>
      <w:divBdr>
        <w:top w:val="none" w:sz="0" w:space="0" w:color="auto"/>
        <w:left w:val="none" w:sz="0" w:space="0" w:color="auto"/>
        <w:bottom w:val="none" w:sz="0" w:space="0" w:color="auto"/>
        <w:right w:val="none" w:sz="0" w:space="0" w:color="auto"/>
      </w:divBdr>
      <w:divsChild>
        <w:div w:id="1085347488">
          <w:marLeft w:val="0"/>
          <w:marRight w:val="0"/>
          <w:marTop w:val="0"/>
          <w:marBottom w:val="0"/>
          <w:divBdr>
            <w:top w:val="none" w:sz="0" w:space="0" w:color="auto"/>
            <w:left w:val="none" w:sz="0" w:space="0" w:color="auto"/>
            <w:bottom w:val="none" w:sz="0" w:space="0" w:color="auto"/>
            <w:right w:val="none" w:sz="0" w:space="0" w:color="auto"/>
          </w:divBdr>
          <w:divsChild>
            <w:div w:id="195509521">
              <w:marLeft w:val="2175"/>
              <w:marRight w:val="0"/>
              <w:marTop w:val="0"/>
              <w:marBottom w:val="0"/>
              <w:divBdr>
                <w:top w:val="none" w:sz="0" w:space="0" w:color="auto"/>
                <w:left w:val="none" w:sz="0" w:space="0" w:color="auto"/>
                <w:bottom w:val="none" w:sz="0" w:space="0" w:color="auto"/>
                <w:right w:val="none" w:sz="0" w:space="0" w:color="auto"/>
              </w:divBdr>
              <w:divsChild>
                <w:div w:id="72166353">
                  <w:marLeft w:val="0"/>
                  <w:marRight w:val="0"/>
                  <w:marTop w:val="0"/>
                  <w:marBottom w:val="0"/>
                  <w:divBdr>
                    <w:top w:val="none" w:sz="0" w:space="0" w:color="auto"/>
                    <w:left w:val="none" w:sz="0" w:space="0" w:color="auto"/>
                    <w:bottom w:val="none" w:sz="0" w:space="0" w:color="auto"/>
                    <w:right w:val="none" w:sz="0" w:space="0" w:color="auto"/>
                  </w:divBdr>
                  <w:divsChild>
                    <w:div w:id="943852234">
                      <w:marLeft w:val="0"/>
                      <w:marRight w:val="0"/>
                      <w:marTop w:val="0"/>
                      <w:marBottom w:val="0"/>
                      <w:divBdr>
                        <w:top w:val="none" w:sz="0" w:space="0" w:color="auto"/>
                        <w:left w:val="none" w:sz="0" w:space="0" w:color="auto"/>
                        <w:bottom w:val="none" w:sz="0" w:space="0" w:color="auto"/>
                        <w:right w:val="none" w:sz="0" w:space="0" w:color="auto"/>
                      </w:divBdr>
                      <w:divsChild>
                        <w:div w:id="124055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489348">
      <w:bodyDiv w:val="1"/>
      <w:marLeft w:val="0"/>
      <w:marRight w:val="0"/>
      <w:marTop w:val="0"/>
      <w:marBottom w:val="0"/>
      <w:divBdr>
        <w:top w:val="none" w:sz="0" w:space="0" w:color="auto"/>
        <w:left w:val="none" w:sz="0" w:space="0" w:color="auto"/>
        <w:bottom w:val="none" w:sz="0" w:space="0" w:color="auto"/>
        <w:right w:val="none" w:sz="0" w:space="0" w:color="auto"/>
      </w:divBdr>
      <w:divsChild>
        <w:div w:id="1255018313">
          <w:marLeft w:val="0"/>
          <w:marRight w:val="0"/>
          <w:marTop w:val="0"/>
          <w:marBottom w:val="0"/>
          <w:divBdr>
            <w:top w:val="none" w:sz="0" w:space="0" w:color="auto"/>
            <w:left w:val="none" w:sz="0" w:space="0" w:color="auto"/>
            <w:bottom w:val="none" w:sz="0" w:space="0" w:color="auto"/>
            <w:right w:val="none" w:sz="0" w:space="0" w:color="auto"/>
          </w:divBdr>
          <w:divsChild>
            <w:div w:id="508519303">
              <w:marLeft w:val="2175"/>
              <w:marRight w:val="0"/>
              <w:marTop w:val="0"/>
              <w:marBottom w:val="0"/>
              <w:divBdr>
                <w:top w:val="none" w:sz="0" w:space="0" w:color="auto"/>
                <w:left w:val="none" w:sz="0" w:space="0" w:color="auto"/>
                <w:bottom w:val="none" w:sz="0" w:space="0" w:color="auto"/>
                <w:right w:val="none" w:sz="0" w:space="0" w:color="auto"/>
              </w:divBdr>
              <w:divsChild>
                <w:div w:id="1692802334">
                  <w:marLeft w:val="0"/>
                  <w:marRight w:val="0"/>
                  <w:marTop w:val="0"/>
                  <w:marBottom w:val="0"/>
                  <w:divBdr>
                    <w:top w:val="none" w:sz="0" w:space="0" w:color="auto"/>
                    <w:left w:val="none" w:sz="0" w:space="0" w:color="auto"/>
                    <w:bottom w:val="none" w:sz="0" w:space="0" w:color="auto"/>
                    <w:right w:val="none" w:sz="0" w:space="0" w:color="auto"/>
                  </w:divBdr>
                  <w:divsChild>
                    <w:div w:id="928193807">
                      <w:marLeft w:val="0"/>
                      <w:marRight w:val="0"/>
                      <w:marTop w:val="0"/>
                      <w:marBottom w:val="0"/>
                      <w:divBdr>
                        <w:top w:val="none" w:sz="0" w:space="0" w:color="auto"/>
                        <w:left w:val="none" w:sz="0" w:space="0" w:color="auto"/>
                        <w:bottom w:val="none" w:sz="0" w:space="0" w:color="auto"/>
                        <w:right w:val="none" w:sz="0" w:space="0" w:color="auto"/>
                      </w:divBdr>
                      <w:divsChild>
                        <w:div w:id="56446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4481773">
      <w:bodyDiv w:val="1"/>
      <w:marLeft w:val="0"/>
      <w:marRight w:val="0"/>
      <w:marTop w:val="0"/>
      <w:marBottom w:val="0"/>
      <w:divBdr>
        <w:top w:val="none" w:sz="0" w:space="0" w:color="auto"/>
        <w:left w:val="none" w:sz="0" w:space="0" w:color="auto"/>
        <w:bottom w:val="none" w:sz="0" w:space="0" w:color="auto"/>
        <w:right w:val="none" w:sz="0" w:space="0" w:color="auto"/>
      </w:divBdr>
      <w:divsChild>
        <w:div w:id="565652032">
          <w:marLeft w:val="0"/>
          <w:marRight w:val="0"/>
          <w:marTop w:val="0"/>
          <w:marBottom w:val="0"/>
          <w:divBdr>
            <w:top w:val="none" w:sz="0" w:space="0" w:color="auto"/>
            <w:left w:val="none" w:sz="0" w:space="0" w:color="auto"/>
            <w:bottom w:val="none" w:sz="0" w:space="0" w:color="auto"/>
            <w:right w:val="none" w:sz="0" w:space="0" w:color="auto"/>
          </w:divBdr>
          <w:divsChild>
            <w:div w:id="1068499829">
              <w:marLeft w:val="0"/>
              <w:marRight w:val="0"/>
              <w:marTop w:val="0"/>
              <w:marBottom w:val="0"/>
              <w:divBdr>
                <w:top w:val="none" w:sz="0" w:space="0" w:color="auto"/>
                <w:left w:val="none" w:sz="0" w:space="0" w:color="auto"/>
                <w:bottom w:val="none" w:sz="0" w:space="0" w:color="auto"/>
                <w:right w:val="none" w:sz="0" w:space="0" w:color="auto"/>
              </w:divBdr>
              <w:divsChild>
                <w:div w:id="674917111">
                  <w:marLeft w:val="0"/>
                  <w:marRight w:val="0"/>
                  <w:marTop w:val="0"/>
                  <w:marBottom w:val="0"/>
                  <w:divBdr>
                    <w:top w:val="none" w:sz="0" w:space="0" w:color="auto"/>
                    <w:left w:val="none" w:sz="0" w:space="0" w:color="auto"/>
                    <w:bottom w:val="none" w:sz="0" w:space="0" w:color="auto"/>
                    <w:right w:val="none" w:sz="0" w:space="0" w:color="auto"/>
                  </w:divBdr>
                  <w:divsChild>
                    <w:div w:id="1322124953">
                      <w:marLeft w:val="0"/>
                      <w:marRight w:val="0"/>
                      <w:marTop w:val="0"/>
                      <w:marBottom w:val="0"/>
                      <w:divBdr>
                        <w:top w:val="none" w:sz="0" w:space="0" w:color="auto"/>
                        <w:left w:val="none" w:sz="0" w:space="0" w:color="auto"/>
                        <w:bottom w:val="none" w:sz="0" w:space="0" w:color="auto"/>
                        <w:right w:val="none" w:sz="0" w:space="0" w:color="auto"/>
                      </w:divBdr>
                      <w:divsChild>
                        <w:div w:id="543954918">
                          <w:marLeft w:val="0"/>
                          <w:marRight w:val="0"/>
                          <w:marTop w:val="0"/>
                          <w:marBottom w:val="0"/>
                          <w:divBdr>
                            <w:top w:val="none" w:sz="0" w:space="0" w:color="auto"/>
                            <w:left w:val="none" w:sz="0" w:space="0" w:color="auto"/>
                            <w:bottom w:val="none" w:sz="0" w:space="0" w:color="auto"/>
                            <w:right w:val="none" w:sz="0" w:space="0" w:color="auto"/>
                          </w:divBdr>
                          <w:divsChild>
                            <w:div w:id="1977760246">
                              <w:marLeft w:val="2325"/>
                              <w:marRight w:val="3000"/>
                              <w:marTop w:val="0"/>
                              <w:marBottom w:val="0"/>
                              <w:divBdr>
                                <w:top w:val="none" w:sz="0" w:space="0" w:color="auto"/>
                                <w:left w:val="dashed" w:sz="6" w:space="0" w:color="808080"/>
                                <w:bottom w:val="none" w:sz="0" w:space="0" w:color="auto"/>
                                <w:right w:val="dashed" w:sz="6" w:space="0" w:color="808080"/>
                              </w:divBdr>
                              <w:divsChild>
                                <w:div w:id="1481926049">
                                  <w:marLeft w:val="0"/>
                                  <w:marRight w:val="0"/>
                                  <w:marTop w:val="0"/>
                                  <w:marBottom w:val="0"/>
                                  <w:divBdr>
                                    <w:top w:val="single" w:sz="2" w:space="0" w:color="000000"/>
                                    <w:left w:val="single" w:sz="2" w:space="0" w:color="000000"/>
                                    <w:bottom w:val="single" w:sz="2" w:space="15" w:color="000000"/>
                                    <w:right w:val="single" w:sz="2" w:space="0" w:color="000000"/>
                                  </w:divBdr>
                                  <w:divsChild>
                                    <w:div w:id="1991591413">
                                      <w:marLeft w:val="0"/>
                                      <w:marRight w:val="0"/>
                                      <w:marTop w:val="0"/>
                                      <w:marBottom w:val="0"/>
                                      <w:divBdr>
                                        <w:top w:val="none" w:sz="0" w:space="0" w:color="auto"/>
                                        <w:left w:val="none" w:sz="0" w:space="0" w:color="auto"/>
                                        <w:bottom w:val="none" w:sz="0" w:space="0" w:color="auto"/>
                                        <w:right w:val="none" w:sz="0" w:space="0" w:color="auto"/>
                                      </w:divBdr>
                                      <w:divsChild>
                                        <w:div w:id="1314063403">
                                          <w:marLeft w:val="0"/>
                                          <w:marRight w:val="0"/>
                                          <w:marTop w:val="0"/>
                                          <w:marBottom w:val="0"/>
                                          <w:divBdr>
                                            <w:top w:val="none" w:sz="0" w:space="0" w:color="auto"/>
                                            <w:left w:val="none" w:sz="0" w:space="0" w:color="auto"/>
                                            <w:bottom w:val="none" w:sz="0" w:space="0" w:color="auto"/>
                                            <w:right w:val="none" w:sz="0" w:space="0" w:color="auto"/>
                                          </w:divBdr>
                                          <w:divsChild>
                                            <w:div w:id="16305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1587367">
      <w:bodyDiv w:val="1"/>
      <w:marLeft w:val="0"/>
      <w:marRight w:val="0"/>
      <w:marTop w:val="0"/>
      <w:marBottom w:val="0"/>
      <w:divBdr>
        <w:top w:val="none" w:sz="0" w:space="0" w:color="auto"/>
        <w:left w:val="none" w:sz="0" w:space="0" w:color="auto"/>
        <w:bottom w:val="none" w:sz="0" w:space="0" w:color="auto"/>
        <w:right w:val="none" w:sz="0" w:space="0" w:color="auto"/>
      </w:divBdr>
      <w:divsChild>
        <w:div w:id="649208634">
          <w:marLeft w:val="0"/>
          <w:marRight w:val="0"/>
          <w:marTop w:val="0"/>
          <w:marBottom w:val="0"/>
          <w:divBdr>
            <w:top w:val="none" w:sz="0" w:space="0" w:color="auto"/>
            <w:left w:val="none" w:sz="0" w:space="0" w:color="auto"/>
            <w:bottom w:val="none" w:sz="0" w:space="0" w:color="auto"/>
            <w:right w:val="none" w:sz="0" w:space="0" w:color="auto"/>
          </w:divBdr>
          <w:divsChild>
            <w:div w:id="417949377">
              <w:marLeft w:val="0"/>
              <w:marRight w:val="0"/>
              <w:marTop w:val="0"/>
              <w:marBottom w:val="0"/>
              <w:divBdr>
                <w:top w:val="none" w:sz="0" w:space="0" w:color="auto"/>
                <w:left w:val="none" w:sz="0" w:space="0" w:color="auto"/>
                <w:bottom w:val="none" w:sz="0" w:space="0" w:color="auto"/>
                <w:right w:val="none" w:sz="0" w:space="0" w:color="auto"/>
              </w:divBdr>
              <w:divsChild>
                <w:div w:id="108593820">
                  <w:marLeft w:val="0"/>
                  <w:marRight w:val="0"/>
                  <w:marTop w:val="0"/>
                  <w:marBottom w:val="0"/>
                  <w:divBdr>
                    <w:top w:val="none" w:sz="0" w:space="0" w:color="auto"/>
                    <w:left w:val="none" w:sz="0" w:space="0" w:color="auto"/>
                    <w:bottom w:val="none" w:sz="0" w:space="0" w:color="auto"/>
                    <w:right w:val="none" w:sz="0" w:space="0" w:color="auto"/>
                  </w:divBdr>
                  <w:divsChild>
                    <w:div w:id="103693863">
                      <w:marLeft w:val="150"/>
                      <w:marRight w:val="150"/>
                      <w:marTop w:val="0"/>
                      <w:marBottom w:val="0"/>
                      <w:divBdr>
                        <w:top w:val="none" w:sz="0" w:space="0" w:color="auto"/>
                        <w:left w:val="none" w:sz="0" w:space="0" w:color="auto"/>
                        <w:bottom w:val="none" w:sz="0" w:space="0" w:color="auto"/>
                        <w:right w:val="none" w:sz="0" w:space="0" w:color="auto"/>
                      </w:divBdr>
                      <w:divsChild>
                        <w:div w:id="89015207">
                          <w:marLeft w:val="0"/>
                          <w:marRight w:val="0"/>
                          <w:marTop w:val="0"/>
                          <w:marBottom w:val="0"/>
                          <w:divBdr>
                            <w:top w:val="none" w:sz="0" w:space="0" w:color="auto"/>
                            <w:left w:val="none" w:sz="0" w:space="0" w:color="auto"/>
                            <w:bottom w:val="none" w:sz="0" w:space="0" w:color="auto"/>
                            <w:right w:val="none" w:sz="0" w:space="0" w:color="auto"/>
                          </w:divBdr>
                          <w:divsChild>
                            <w:div w:id="206374245">
                              <w:marLeft w:val="0"/>
                              <w:marRight w:val="0"/>
                              <w:marTop w:val="0"/>
                              <w:marBottom w:val="0"/>
                              <w:divBdr>
                                <w:top w:val="none" w:sz="0" w:space="0" w:color="auto"/>
                                <w:left w:val="none" w:sz="0" w:space="0" w:color="auto"/>
                                <w:bottom w:val="none" w:sz="0" w:space="0" w:color="auto"/>
                                <w:right w:val="none" w:sz="0" w:space="0" w:color="auto"/>
                              </w:divBdr>
                              <w:divsChild>
                                <w:div w:id="1881942753">
                                  <w:marLeft w:val="0"/>
                                  <w:marRight w:val="0"/>
                                  <w:marTop w:val="0"/>
                                  <w:marBottom w:val="0"/>
                                  <w:divBdr>
                                    <w:top w:val="none" w:sz="0" w:space="0" w:color="auto"/>
                                    <w:left w:val="none" w:sz="0" w:space="0" w:color="auto"/>
                                    <w:bottom w:val="none" w:sz="0" w:space="0" w:color="auto"/>
                                    <w:right w:val="none" w:sz="0" w:space="0" w:color="auto"/>
                                  </w:divBdr>
                                  <w:divsChild>
                                    <w:div w:id="1781871873">
                                      <w:marLeft w:val="0"/>
                                      <w:marRight w:val="0"/>
                                      <w:marTop w:val="0"/>
                                      <w:marBottom w:val="0"/>
                                      <w:divBdr>
                                        <w:top w:val="none" w:sz="0" w:space="0" w:color="auto"/>
                                        <w:left w:val="none" w:sz="0" w:space="0" w:color="auto"/>
                                        <w:bottom w:val="none" w:sz="0" w:space="0" w:color="auto"/>
                                        <w:right w:val="none" w:sz="0" w:space="0" w:color="auto"/>
                                      </w:divBdr>
                                      <w:divsChild>
                                        <w:div w:id="1260799270">
                                          <w:marLeft w:val="0"/>
                                          <w:marRight w:val="0"/>
                                          <w:marTop w:val="0"/>
                                          <w:marBottom w:val="0"/>
                                          <w:divBdr>
                                            <w:top w:val="none" w:sz="0" w:space="0" w:color="auto"/>
                                            <w:left w:val="none" w:sz="0" w:space="0" w:color="auto"/>
                                            <w:bottom w:val="none" w:sz="0" w:space="0" w:color="auto"/>
                                            <w:right w:val="none" w:sz="0" w:space="0" w:color="auto"/>
                                          </w:divBdr>
                                          <w:divsChild>
                                            <w:div w:id="200508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E9834-5B10-4B04-B951-503AF78D1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45</TotalTime>
  <Pages>21</Pages>
  <Words>6371</Words>
  <Characters>37187</Characters>
  <Application>Microsoft Office Word</Application>
  <DocSecurity>0</DocSecurity>
  <Lines>676</Lines>
  <Paragraphs>250</Paragraphs>
  <ScaleCrop>false</ScaleCrop>
  <HeadingPairs>
    <vt:vector size="2" baseType="variant">
      <vt:variant>
        <vt:lpstr>Title</vt:lpstr>
      </vt:variant>
      <vt:variant>
        <vt:i4>1</vt:i4>
      </vt:variant>
    </vt:vector>
  </HeadingPairs>
  <TitlesOfParts>
    <vt:vector size="1" baseType="lpstr">
      <vt:lpstr>Developments in industry assistance</vt:lpstr>
    </vt:vector>
  </TitlesOfParts>
  <Company>Productivity Commission</Company>
  <LinksUpToDate>false</LinksUpToDate>
  <CharactersWithSpaces>43308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Developments in industry assistance</dc:title>
  <dc:subject>trade &amp; assistance review 2012-13</dc:subject>
  <dc:creator>Productivity Commission</dc:creator>
  <cp:keywords/>
  <dc:description>5.</dc:description>
  <cp:lastModifiedBy>Productivity Commission</cp:lastModifiedBy>
  <cp:revision>18</cp:revision>
  <cp:lastPrinted>2014-06-19T05:14:00Z</cp:lastPrinted>
  <dcterms:created xsi:type="dcterms:W3CDTF">2014-06-18T11:39:00Z</dcterms:created>
  <dcterms:modified xsi:type="dcterms:W3CDTF">2014-06-24T05:26:00Z</dcterms:modified>
</cp:coreProperties>
</file>