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6FC" w:rsidRDefault="000B5158" w:rsidP="000B5158">
      <w:pPr>
        <w:pStyle w:val="Chapter"/>
        <w:ind w:left="907" w:hanging="907"/>
      </w:pPr>
      <w:bookmarkStart w:id="0" w:name="ChapterNumber"/>
      <w:bookmarkStart w:id="1" w:name="_GoBack"/>
      <w:bookmarkEnd w:id="1"/>
      <w:r>
        <w:t>6</w:t>
      </w:r>
      <w:bookmarkEnd w:id="0"/>
      <w:r>
        <w:tab/>
      </w:r>
      <w:bookmarkStart w:id="2" w:name="ChapterTitle"/>
      <w:r>
        <w:t>Recent developments in trade policy</w:t>
      </w:r>
      <w:bookmarkEnd w:id="2"/>
    </w:p>
    <w:p w:rsidR="00703D68" w:rsidRDefault="00E20405" w:rsidP="00703D68">
      <w:pPr>
        <w:pStyle w:val="BodyText"/>
      </w:pPr>
      <w:r>
        <w:t>R</w:t>
      </w:r>
      <w:r w:rsidR="00703D68">
        <w:t xml:space="preserve">ecent developments in Australia’s trade </w:t>
      </w:r>
      <w:r w:rsidR="00167186">
        <w:t xml:space="preserve">policy </w:t>
      </w:r>
      <w:r w:rsidR="00E140C3">
        <w:t>environment</w:t>
      </w:r>
      <w:r w:rsidR="00B265BD">
        <w:t xml:space="preserve"> includ</w:t>
      </w:r>
      <w:r>
        <w:t>e:</w:t>
      </w:r>
    </w:p>
    <w:p w:rsidR="00703D68" w:rsidRDefault="00703D68" w:rsidP="00703D68">
      <w:pPr>
        <w:pStyle w:val="ListBullet"/>
      </w:pPr>
      <w:r>
        <w:t>ongoing efforts to conclude the D</w:t>
      </w:r>
      <w:r w:rsidR="002B2E0B">
        <w:t>oha</w:t>
      </w:r>
      <w:r>
        <w:t xml:space="preserve"> Round of </w:t>
      </w:r>
      <w:r w:rsidR="007767AB">
        <w:t>World T</w:t>
      </w:r>
      <w:r>
        <w:t>rade Organization</w:t>
      </w:r>
      <w:r w:rsidR="00167186">
        <w:t xml:space="preserve"> (WTO)</w:t>
      </w:r>
      <w:r w:rsidR="00946BBC">
        <w:t xml:space="preserve"> trade negotiations</w:t>
      </w:r>
      <w:r w:rsidR="00167186">
        <w:t>;</w:t>
      </w:r>
    </w:p>
    <w:p w:rsidR="007D306D" w:rsidRDefault="00FD3BFD" w:rsidP="007D306D">
      <w:pPr>
        <w:pStyle w:val="ListBullet"/>
      </w:pPr>
      <w:r>
        <w:t>trade-</w:t>
      </w:r>
      <w:r w:rsidR="007D306D">
        <w:t>related aspects of the upcoming meeting of the twenty leading industrial countries (</w:t>
      </w:r>
      <w:proofErr w:type="spellStart"/>
      <w:r w:rsidR="007D306D">
        <w:t>G20</w:t>
      </w:r>
      <w:proofErr w:type="spellEnd"/>
      <w:r w:rsidR="007D306D">
        <w:t>) chaired by Australia</w:t>
      </w:r>
      <w:r w:rsidR="00DF71C1">
        <w:t xml:space="preserve"> and other </w:t>
      </w:r>
      <w:proofErr w:type="spellStart"/>
      <w:r w:rsidR="00DF71C1">
        <w:t>plurilateral</w:t>
      </w:r>
      <w:proofErr w:type="spellEnd"/>
      <w:r w:rsidR="00DF71C1">
        <w:t xml:space="preserve"> developments</w:t>
      </w:r>
      <w:r w:rsidR="00C92707">
        <w:t>;</w:t>
      </w:r>
      <w:r w:rsidR="006B0E70">
        <w:t xml:space="preserve"> and</w:t>
      </w:r>
    </w:p>
    <w:p w:rsidR="00C92707" w:rsidRDefault="006B0E70" w:rsidP="00703D68">
      <w:pPr>
        <w:pStyle w:val="ListBullet"/>
      </w:pPr>
      <w:r>
        <w:t>negotiation of preferential bilateral</w:t>
      </w:r>
      <w:r w:rsidR="007B64DB">
        <w:t xml:space="preserve"> </w:t>
      </w:r>
      <w:r>
        <w:t>and regional trade agreements and the intention to pursue further agreements</w:t>
      </w:r>
      <w:r w:rsidR="00D42677">
        <w:t>.</w:t>
      </w:r>
    </w:p>
    <w:p w:rsidR="00FD6B18" w:rsidRDefault="00E20405" w:rsidP="003D16C7">
      <w:pPr>
        <w:pStyle w:val="BodyText"/>
      </w:pPr>
      <w:r>
        <w:t xml:space="preserve">There are contrasting </w:t>
      </w:r>
      <w:r w:rsidR="00555080">
        <w:t>comparative</w:t>
      </w:r>
      <w:r w:rsidR="00622C0C">
        <w:t xml:space="preserve"> </w:t>
      </w:r>
      <w:r w:rsidR="00DB5AA0">
        <w:t xml:space="preserve">economic </w:t>
      </w:r>
      <w:r w:rsidR="00555080">
        <w:t xml:space="preserve">benefits </w:t>
      </w:r>
      <w:r w:rsidR="00372EEE">
        <w:t>of trade liberalisation</w:t>
      </w:r>
      <w:r>
        <w:t>. Bilateral</w:t>
      </w:r>
      <w:r w:rsidR="007B64DB">
        <w:t xml:space="preserve"> </w:t>
      </w:r>
      <w:r>
        <w:t xml:space="preserve">and regional trade agreements are often seen as valuable reform initiatives in their own right. In practice, they are generally not the most effective way to improve the welfare of nations, where preference should be given to </w:t>
      </w:r>
      <w:r w:rsidR="00B64582">
        <w:t xml:space="preserve">unilateral action to reduce or </w:t>
      </w:r>
      <w:r w:rsidR="008422C7">
        <w:t>eliminate</w:t>
      </w:r>
      <w:r w:rsidR="00B64582">
        <w:t xml:space="preserve"> trade barriers</w:t>
      </w:r>
      <w:r w:rsidR="00F9541E">
        <w:t>,</w:t>
      </w:r>
      <w:r w:rsidR="00F517B9">
        <w:t xml:space="preserve"> or to comprehensive global reform</w:t>
      </w:r>
      <w:r w:rsidR="00B64582">
        <w:t>.</w:t>
      </w:r>
      <w:r w:rsidR="00A753EA">
        <w:t xml:space="preserve"> </w:t>
      </w:r>
      <w:r w:rsidR="006D2165">
        <w:t>N</w:t>
      </w:r>
      <w:r w:rsidR="00815AA3">
        <w:t xml:space="preserve">egotiation and compliance costs </w:t>
      </w:r>
      <w:r w:rsidR="00A753EA">
        <w:t xml:space="preserve">associated with </w:t>
      </w:r>
      <w:r w:rsidR="006D2165">
        <w:rPr>
          <w:lang w:val="en"/>
        </w:rPr>
        <w:t>preferential agreements (</w:t>
      </w:r>
      <w:r w:rsidR="00E04DFD">
        <w:rPr>
          <w:lang w:val="en"/>
        </w:rPr>
        <w:t xml:space="preserve">including detailed </w:t>
      </w:r>
      <w:r w:rsidR="006D2165">
        <w:rPr>
          <w:lang w:val="en"/>
        </w:rPr>
        <w:t xml:space="preserve">and complex </w:t>
      </w:r>
      <w:r w:rsidR="00E04DFD">
        <w:rPr>
          <w:lang w:val="en"/>
        </w:rPr>
        <w:t>rules of origin</w:t>
      </w:r>
      <w:r w:rsidR="006D2165">
        <w:rPr>
          <w:lang w:val="en"/>
        </w:rPr>
        <w:t>)</w:t>
      </w:r>
      <w:r w:rsidR="00E04DFD">
        <w:rPr>
          <w:lang w:val="en"/>
        </w:rPr>
        <w:t xml:space="preserve"> and the </w:t>
      </w:r>
      <w:r w:rsidR="0033657F">
        <w:rPr>
          <w:lang w:val="en"/>
        </w:rPr>
        <w:t xml:space="preserve">potential </w:t>
      </w:r>
      <w:r w:rsidR="0065088D">
        <w:rPr>
          <w:lang w:val="en"/>
        </w:rPr>
        <w:t xml:space="preserve">for </w:t>
      </w:r>
      <w:r w:rsidR="00A74E8F">
        <w:rPr>
          <w:lang w:val="en"/>
        </w:rPr>
        <w:t xml:space="preserve">diversion of trade from lower cost sources of supply are </w:t>
      </w:r>
      <w:r>
        <w:rPr>
          <w:lang w:val="en"/>
        </w:rPr>
        <w:t xml:space="preserve">consequences of bilateral agreements. Australia suffers from reduced market access where other nations gain preferential </w:t>
      </w:r>
      <w:r w:rsidR="00F517B9">
        <w:rPr>
          <w:lang w:val="en"/>
        </w:rPr>
        <w:t xml:space="preserve">bilateral </w:t>
      </w:r>
      <w:r w:rsidR="00801395">
        <w:rPr>
          <w:lang w:val="en"/>
        </w:rPr>
        <w:t>trade access. P</w:t>
      </w:r>
      <w:r>
        <w:rPr>
          <w:lang w:val="en"/>
        </w:rPr>
        <w:t xml:space="preserve">ursuing more such agreements can make it difficult to pursue the better course, as tariffs and other trade-impeding devices are ‘reserved’ as negotiating coinage for </w:t>
      </w:r>
      <w:r w:rsidR="00F517B9">
        <w:rPr>
          <w:lang w:val="en"/>
        </w:rPr>
        <w:t xml:space="preserve">continuing rounds of </w:t>
      </w:r>
      <w:r>
        <w:rPr>
          <w:lang w:val="en"/>
        </w:rPr>
        <w:t xml:space="preserve">future bilateral negotiations. </w:t>
      </w:r>
    </w:p>
    <w:p w:rsidR="00F517B9" w:rsidRDefault="002E6C6A" w:rsidP="003D16C7">
      <w:pPr>
        <w:pStyle w:val="BodyText"/>
      </w:pPr>
      <w:r>
        <w:t>The</w:t>
      </w:r>
      <w:r w:rsidR="00F517B9">
        <w:t xml:space="preserve">re have also been recent developments in </w:t>
      </w:r>
      <w:r w:rsidR="00FF04EB">
        <w:t xml:space="preserve">Investor-State Dispute Settlement </w:t>
      </w:r>
      <w:r w:rsidR="00C66FC3">
        <w:t>(</w:t>
      </w:r>
      <w:proofErr w:type="spellStart"/>
      <w:r w:rsidR="00C66FC3">
        <w:t>ISDS</w:t>
      </w:r>
      <w:proofErr w:type="spellEnd"/>
      <w:r w:rsidR="00C66FC3">
        <w:t xml:space="preserve">) </w:t>
      </w:r>
      <w:r w:rsidR="00FF04EB">
        <w:t>provisions</w:t>
      </w:r>
      <w:r w:rsidR="00F517B9">
        <w:t xml:space="preserve"> which are </w:t>
      </w:r>
      <w:r w:rsidR="009F31BF">
        <w:t xml:space="preserve">contained in </w:t>
      </w:r>
      <w:r w:rsidR="00F517B9">
        <w:t xml:space="preserve">some </w:t>
      </w:r>
      <w:r w:rsidR="009F31BF">
        <w:t>preferential trade and investment agreements</w:t>
      </w:r>
      <w:r w:rsidR="00F517B9">
        <w:t>.</w:t>
      </w:r>
      <w:r w:rsidR="00ED721D">
        <w:t xml:space="preserve"> </w:t>
      </w:r>
    </w:p>
    <w:p w:rsidR="0085746D" w:rsidRDefault="00F517B9" w:rsidP="003D16C7">
      <w:pPr>
        <w:pStyle w:val="BodyText"/>
      </w:pPr>
      <w:r>
        <w:t xml:space="preserve">A number of </w:t>
      </w:r>
      <w:r w:rsidR="00686C01">
        <w:t xml:space="preserve">legal </w:t>
      </w:r>
      <w:r w:rsidR="009F31BF">
        <w:t xml:space="preserve">actions </w:t>
      </w:r>
      <w:r w:rsidR="00C66FC3">
        <w:t xml:space="preserve">against the Australian Government </w:t>
      </w:r>
      <w:r w:rsidR="00686C01">
        <w:t xml:space="preserve">by </w:t>
      </w:r>
      <w:r w:rsidR="003576F9">
        <w:t xml:space="preserve">private </w:t>
      </w:r>
      <w:r w:rsidR="00E91135">
        <w:t xml:space="preserve">investors from </w:t>
      </w:r>
      <w:r w:rsidR="00686C01">
        <w:t xml:space="preserve">other countries </w:t>
      </w:r>
      <w:r w:rsidR="00C66FC3">
        <w:t xml:space="preserve">under WTO </w:t>
      </w:r>
      <w:r w:rsidR="00374258">
        <w:t xml:space="preserve">processes </w:t>
      </w:r>
      <w:r w:rsidR="00C66FC3">
        <w:t xml:space="preserve">and </w:t>
      </w:r>
      <w:r w:rsidR="00F137DF">
        <w:t xml:space="preserve">firms under </w:t>
      </w:r>
      <w:proofErr w:type="spellStart"/>
      <w:r w:rsidR="00C66FC3">
        <w:t>ISDS</w:t>
      </w:r>
      <w:proofErr w:type="spellEnd"/>
      <w:r w:rsidR="00C66FC3">
        <w:t xml:space="preserve"> dispute settlement mechanisms</w:t>
      </w:r>
      <w:r>
        <w:t xml:space="preserve"> have also occurred</w:t>
      </w:r>
      <w:r w:rsidR="00361C34">
        <w:t>.</w:t>
      </w:r>
    </w:p>
    <w:p w:rsidR="003B7051" w:rsidRDefault="000B5158" w:rsidP="009E73A7">
      <w:pPr>
        <w:pStyle w:val="Heading2"/>
      </w:pPr>
      <w:r>
        <w:lastRenderedPageBreak/>
        <w:t>6.</w:t>
      </w:r>
      <w:r w:rsidR="00CE0B5E">
        <w:rPr>
          <w:noProof/>
        </w:rPr>
        <w:t>1</w:t>
      </w:r>
      <w:r w:rsidR="009E73A7">
        <w:tab/>
      </w:r>
      <w:r w:rsidR="003B7051">
        <w:t>Multilateral</w:t>
      </w:r>
      <w:r w:rsidR="006640C1">
        <w:t xml:space="preserve">, </w:t>
      </w:r>
      <w:proofErr w:type="spellStart"/>
      <w:r w:rsidR="006640C1">
        <w:t>plur</w:t>
      </w:r>
      <w:r w:rsidR="009B3DCE">
        <w:t>i</w:t>
      </w:r>
      <w:r w:rsidR="006640C1">
        <w:t>lateral</w:t>
      </w:r>
      <w:proofErr w:type="spellEnd"/>
      <w:r w:rsidR="003B7051">
        <w:t xml:space="preserve"> </w:t>
      </w:r>
      <w:r w:rsidR="005A0BF0">
        <w:t xml:space="preserve">and regional </w:t>
      </w:r>
      <w:r w:rsidR="003B7051">
        <w:t>developments</w:t>
      </w:r>
    </w:p>
    <w:p w:rsidR="00F33073" w:rsidRDefault="00B40ECC" w:rsidP="003B7051">
      <w:pPr>
        <w:pStyle w:val="Heading3"/>
      </w:pPr>
      <w:r>
        <w:t>World</w:t>
      </w:r>
      <w:r w:rsidR="00A65693">
        <w:t xml:space="preserve"> T</w:t>
      </w:r>
      <w:r w:rsidR="007767AB">
        <w:t>rade Organiz</w:t>
      </w:r>
      <w:r>
        <w:t>ation 9</w:t>
      </w:r>
      <w:r w:rsidRPr="00B40ECC">
        <w:rPr>
          <w:vertAlign w:val="superscript"/>
        </w:rPr>
        <w:t>th</w:t>
      </w:r>
      <w:r>
        <w:t xml:space="preserve"> Ministerial Conference</w:t>
      </w:r>
      <w:r w:rsidR="00F33A96">
        <w:t xml:space="preserve"> </w:t>
      </w:r>
    </w:p>
    <w:p w:rsidR="00313CF7" w:rsidRDefault="00C35B43" w:rsidP="009E73A7">
      <w:pPr>
        <w:pStyle w:val="BodyText"/>
      </w:pPr>
      <w:r>
        <w:t>The 9</w:t>
      </w:r>
      <w:r w:rsidRPr="00C35B43">
        <w:rPr>
          <w:vertAlign w:val="superscript"/>
        </w:rPr>
        <w:t>th</w:t>
      </w:r>
      <w:r>
        <w:t xml:space="preserve"> Ministerial Conference </w:t>
      </w:r>
      <w:r w:rsidR="007C4558">
        <w:t xml:space="preserve">of the </w:t>
      </w:r>
      <w:r w:rsidR="007B64DB">
        <w:t>WTO</w:t>
      </w:r>
      <w:r w:rsidR="007C4558">
        <w:t xml:space="preserve"> </w:t>
      </w:r>
      <w:r>
        <w:t xml:space="preserve">was held in Bali, Indonesia from 3 to </w:t>
      </w:r>
      <w:r w:rsidR="004759FA">
        <w:t>6 </w:t>
      </w:r>
      <w:r w:rsidR="003576F9">
        <w:t>December </w:t>
      </w:r>
      <w:r>
        <w:t xml:space="preserve">2013. </w:t>
      </w:r>
      <w:r w:rsidR="00156BB6">
        <w:t xml:space="preserve">The meeting </w:t>
      </w:r>
      <w:r w:rsidR="005006BB">
        <w:t>focused on</w:t>
      </w:r>
      <w:r w:rsidR="00156BB6">
        <w:t xml:space="preserve"> </w:t>
      </w:r>
      <w:r w:rsidR="001A6F5F">
        <w:t xml:space="preserve">reaching agreement on </w:t>
      </w:r>
      <w:r w:rsidR="00CE3790">
        <w:t xml:space="preserve">a package of </w:t>
      </w:r>
      <w:r w:rsidR="007D306D">
        <w:t>matters</w:t>
      </w:r>
      <w:r w:rsidR="00156BB6">
        <w:t xml:space="preserve"> that would </w:t>
      </w:r>
      <w:r w:rsidR="004759FA">
        <w:t>contribute to a conclusion of</w:t>
      </w:r>
      <w:r w:rsidR="00156BB6">
        <w:t xml:space="preserve"> the D</w:t>
      </w:r>
      <w:r w:rsidR="002B2E0B">
        <w:t>oha</w:t>
      </w:r>
      <w:r w:rsidR="00156BB6">
        <w:t xml:space="preserve"> Round </w:t>
      </w:r>
      <w:r w:rsidR="007B64DB">
        <w:t xml:space="preserve">of multilateral trade negotiations </w:t>
      </w:r>
      <w:r w:rsidR="005006BB">
        <w:t>launched in 2001</w:t>
      </w:r>
      <w:r w:rsidR="00156BB6">
        <w:t xml:space="preserve">. </w:t>
      </w:r>
      <w:r w:rsidR="00AE1A7E">
        <w:t>Progress with D</w:t>
      </w:r>
      <w:r w:rsidR="002B2E0B">
        <w:t>oha</w:t>
      </w:r>
      <w:r w:rsidR="00AE1A7E">
        <w:t xml:space="preserve"> Round </w:t>
      </w:r>
      <w:r w:rsidR="003C4B75">
        <w:t>negotiations had</w:t>
      </w:r>
      <w:r w:rsidR="00AE1A7E">
        <w:t xml:space="preserve"> stalled </w:t>
      </w:r>
      <w:r w:rsidR="007B64DB">
        <w:t>in 2008</w:t>
      </w:r>
      <w:r w:rsidR="00AE1A7E">
        <w:t xml:space="preserve"> and expectations for </w:t>
      </w:r>
      <w:r w:rsidR="00296FEE">
        <w:t xml:space="preserve">outcomes in Bali were </w:t>
      </w:r>
      <w:r w:rsidR="009F36DE">
        <w:t xml:space="preserve">low. </w:t>
      </w:r>
      <w:r w:rsidR="00284FE4">
        <w:t>Nevertheless, the package was agreed. It contained the Agreement on Trade Facilitation — which will facilitate the cross</w:t>
      </w:r>
      <w:r w:rsidR="003576F9">
        <w:t>-</w:t>
      </w:r>
      <w:r w:rsidR="00284FE4">
        <w:t>border movement of goods</w:t>
      </w:r>
      <w:r w:rsidR="004706D6">
        <w:t xml:space="preserve"> — </w:t>
      </w:r>
      <w:r w:rsidR="00284FE4">
        <w:t>some decisions on agriculture and some developing country initiatives</w:t>
      </w:r>
      <w:r w:rsidR="004759FA">
        <w:t xml:space="preserve"> </w:t>
      </w:r>
      <w:r w:rsidR="00313CF7">
        <w:t>(</w:t>
      </w:r>
      <w:r w:rsidR="001F6EE1">
        <w:t>box 6</w:t>
      </w:r>
      <w:r w:rsidR="00313CF7">
        <w:t>.1).</w:t>
      </w:r>
    </w:p>
    <w:p w:rsidR="001037E5" w:rsidRDefault="001037E5" w:rsidP="001037E5">
      <w:pPr>
        <w:pStyle w:val="BodyText"/>
      </w:pPr>
      <w:r>
        <w:t>In spite of the reservations that preceded the meeting, the conference was viewed as a success. The WTO Director</w:t>
      </w:r>
      <w:r w:rsidR="00D66705">
        <w:t>-</w:t>
      </w:r>
      <w:r>
        <w:t>General noted:</w:t>
      </w:r>
    </w:p>
    <w:p w:rsidR="001037E5" w:rsidRDefault="001037E5" w:rsidP="001037E5">
      <w:pPr>
        <w:pStyle w:val="Quote"/>
      </w:pPr>
      <w:r>
        <w:t>… the decisions we have taken [in Bali] are an important stepping</w:t>
      </w:r>
      <w:r w:rsidR="00615508">
        <w:t xml:space="preserve"> </w:t>
      </w:r>
      <w:r>
        <w:t>stone toward</w:t>
      </w:r>
      <w:r w:rsidR="00615508">
        <w:t>s</w:t>
      </w:r>
      <w:r>
        <w:t xml:space="preserve"> the completion of the D</w:t>
      </w:r>
      <w:r w:rsidR="002B2E0B">
        <w:t>oha</w:t>
      </w:r>
      <w:r>
        <w:t xml:space="preserve"> Round (</w:t>
      </w:r>
      <w:proofErr w:type="spellStart"/>
      <w:r>
        <w:t>Azev</w:t>
      </w:r>
      <w:r w:rsidR="007A5DC4">
        <w:t>ê</w:t>
      </w:r>
      <w:r>
        <w:t>do</w:t>
      </w:r>
      <w:proofErr w:type="spellEnd"/>
      <w:r w:rsidR="003576F9">
        <w:t> </w:t>
      </w:r>
      <w:proofErr w:type="spellStart"/>
      <w:r>
        <w:t>2013a</w:t>
      </w:r>
      <w:proofErr w:type="spellEnd"/>
      <w:r>
        <w:t>).</w:t>
      </w:r>
    </w:p>
    <w:p w:rsidR="001037E5" w:rsidRDefault="00B952B2" w:rsidP="001037E5">
      <w:pPr>
        <w:pStyle w:val="BodyText"/>
      </w:pPr>
      <w:r>
        <w:t>In advance of the meeting, t</w:t>
      </w:r>
      <w:r w:rsidR="001037E5">
        <w:t>he WTO Director</w:t>
      </w:r>
      <w:r w:rsidR="00565869">
        <w:t>-</w:t>
      </w:r>
      <w:r w:rsidR="001037E5">
        <w:t xml:space="preserve">General </w:t>
      </w:r>
      <w:r>
        <w:t>had</w:t>
      </w:r>
      <w:r w:rsidR="001037E5">
        <w:t xml:space="preserve"> emphasised the </w:t>
      </w:r>
      <w:r w:rsidR="00FF3EB6">
        <w:t xml:space="preserve">advantages </w:t>
      </w:r>
      <w:r w:rsidR="001037E5">
        <w:t xml:space="preserve">of multilateral trade agreements over </w:t>
      </w:r>
      <w:r w:rsidR="00F36877">
        <w:t xml:space="preserve">the </w:t>
      </w:r>
      <w:r w:rsidR="001037E5">
        <w:t>alternatives.</w:t>
      </w:r>
    </w:p>
    <w:p w:rsidR="001037E5" w:rsidRDefault="001037E5" w:rsidP="001037E5">
      <w:pPr>
        <w:pStyle w:val="Quote"/>
      </w:pPr>
      <w:r>
        <w:t>It</w:t>
      </w:r>
      <w:r w:rsidR="00361C34">
        <w:t>’</w:t>
      </w:r>
      <w:r>
        <w:t xml:space="preserve">s no secret that governments have been exploring other channels for liberalizing trade. These are positive initiatives, but they offer no substitute for global agreements and global rules. Regional or </w:t>
      </w:r>
      <w:proofErr w:type="spellStart"/>
      <w:r>
        <w:t>plurilateral</w:t>
      </w:r>
      <w:proofErr w:type="spellEnd"/>
      <w:r>
        <w:t xml:space="preserve"> agreements by definition are exclusive and the </w:t>
      </w:r>
      <w:proofErr w:type="spellStart"/>
      <w:r>
        <w:t>countries</w:t>
      </w:r>
      <w:proofErr w:type="spellEnd"/>
      <w:r>
        <w:t xml:space="preserve"> most often excluded from these pacts are the poorest and weakest (</w:t>
      </w:r>
      <w:proofErr w:type="spellStart"/>
      <w:r>
        <w:t>Azev</w:t>
      </w:r>
      <w:r w:rsidR="00CA28BB">
        <w:t>ê</w:t>
      </w:r>
      <w:r>
        <w:t>do</w:t>
      </w:r>
      <w:proofErr w:type="spellEnd"/>
      <w:r>
        <w:t> </w:t>
      </w:r>
      <w:proofErr w:type="spellStart"/>
      <w:r>
        <w:t>2013b</w:t>
      </w:r>
      <w:proofErr w:type="spellEnd"/>
      <w:r>
        <w:t>).</w:t>
      </w:r>
    </w:p>
    <w:p w:rsidR="0070521F" w:rsidRDefault="002815D4" w:rsidP="00FD6B18">
      <w:pPr>
        <w:pStyle w:val="BodyText"/>
      </w:pPr>
      <w:r>
        <w:t>The</w:t>
      </w:r>
      <w:r w:rsidR="001C7871">
        <w:t xml:space="preserve"> comparative benefits of multilateral reform </w:t>
      </w:r>
      <w:r w:rsidR="005545F4">
        <w:t>over preferential a</w:t>
      </w:r>
      <w:r w:rsidR="00B952FC">
        <w:t>rrangements</w:t>
      </w:r>
      <w:r w:rsidR="005545F4">
        <w:t xml:space="preserve"> </w:t>
      </w:r>
      <w:r>
        <w:t xml:space="preserve">are widely accepted. </w:t>
      </w:r>
      <w:r w:rsidR="00625516">
        <w:t>However,</w:t>
      </w:r>
      <w:r w:rsidR="008A6EDD" w:rsidRPr="008A6EDD">
        <w:t xml:space="preserve"> </w:t>
      </w:r>
      <w:r w:rsidR="008A6EDD">
        <w:t xml:space="preserve">the potential </w:t>
      </w:r>
      <w:r w:rsidR="00A42395">
        <w:t>benefits</w:t>
      </w:r>
      <w:r w:rsidR="008A6EDD">
        <w:t xml:space="preserve"> </w:t>
      </w:r>
      <w:r w:rsidR="00800C1F">
        <w:t xml:space="preserve">available </w:t>
      </w:r>
      <w:r w:rsidR="008A6EDD">
        <w:t xml:space="preserve">from unilateral </w:t>
      </w:r>
      <w:r w:rsidR="00800C64">
        <w:t>action</w:t>
      </w:r>
      <w:r w:rsidR="00625516">
        <w:t xml:space="preserve"> </w:t>
      </w:r>
      <w:r w:rsidR="008A6EDD">
        <w:t xml:space="preserve">to </w:t>
      </w:r>
      <w:r w:rsidR="00800C64">
        <w:t xml:space="preserve">remove impediments to </w:t>
      </w:r>
      <w:r w:rsidR="008A6EDD">
        <w:t xml:space="preserve">trade </w:t>
      </w:r>
      <w:r w:rsidR="009D1A47">
        <w:t xml:space="preserve">also warrant consideration </w:t>
      </w:r>
      <w:r w:rsidR="00895026">
        <w:t xml:space="preserve">in </w:t>
      </w:r>
      <w:r w:rsidR="00B952B2">
        <w:t xml:space="preserve">wider </w:t>
      </w:r>
      <w:r w:rsidR="009D1A47">
        <w:t>assessments of trade liberalisation strategies</w:t>
      </w:r>
      <w:r w:rsidR="00051A68">
        <w:t>.</w:t>
      </w:r>
      <w:r w:rsidR="00C664CE">
        <w:t xml:space="preserve"> </w:t>
      </w:r>
    </w:p>
    <w:p w:rsidR="00212EC1" w:rsidRDefault="003C644A" w:rsidP="00FD6B18">
      <w:pPr>
        <w:pStyle w:val="BodyText"/>
      </w:pPr>
      <w:r>
        <w:t xml:space="preserve">Past </w:t>
      </w:r>
      <w:r w:rsidR="001C7871">
        <w:t xml:space="preserve">Commission work </w:t>
      </w:r>
      <w:r w:rsidR="00F9541E">
        <w:t xml:space="preserve">has </w:t>
      </w:r>
      <w:r w:rsidR="001C7871">
        <w:t xml:space="preserve">modelled the economic impacts of </w:t>
      </w:r>
      <w:r w:rsidR="00B952FC">
        <w:t xml:space="preserve">merchandise </w:t>
      </w:r>
      <w:r w:rsidR="001C7871">
        <w:t>trade liberalisation at the unilateral, r</w:t>
      </w:r>
      <w:r w:rsidR="00BB3B14">
        <w:t>egional</w:t>
      </w:r>
      <w:r w:rsidR="005545F4">
        <w:t xml:space="preserve"> and multilateral</w:t>
      </w:r>
      <w:r w:rsidR="001C7871">
        <w:t xml:space="preserve"> </w:t>
      </w:r>
      <w:r w:rsidR="00EB6686">
        <w:t>level. I</w:t>
      </w:r>
      <w:r w:rsidR="00E30997">
        <w:t xml:space="preserve">t </w:t>
      </w:r>
      <w:r w:rsidR="001C7871">
        <w:t>found that around 60</w:t>
      </w:r>
      <w:r w:rsidR="00B952FC">
        <w:t> </w:t>
      </w:r>
      <w:r w:rsidR="001C7871">
        <w:t xml:space="preserve">per cent of </w:t>
      </w:r>
      <w:r w:rsidR="00793C44">
        <w:t xml:space="preserve">all </w:t>
      </w:r>
      <w:r w:rsidR="001C7871">
        <w:t xml:space="preserve">gains </w:t>
      </w:r>
      <w:r w:rsidR="00372EEE">
        <w:t xml:space="preserve">for Australia </w:t>
      </w:r>
      <w:r w:rsidR="001C7871">
        <w:t xml:space="preserve">from </w:t>
      </w:r>
      <w:r w:rsidR="00B952FC">
        <w:t>the elimination of remaining tariffs</w:t>
      </w:r>
      <w:r w:rsidR="001C7871">
        <w:t xml:space="preserve"> </w:t>
      </w:r>
      <w:r w:rsidR="00372EEE">
        <w:t xml:space="preserve">globally </w:t>
      </w:r>
      <w:r w:rsidR="001C7871">
        <w:t xml:space="preserve">would be achieved from Australia acting alone in removing all </w:t>
      </w:r>
      <w:r w:rsidR="009504BA">
        <w:t xml:space="preserve">of </w:t>
      </w:r>
      <w:r w:rsidR="00372EEE">
        <w:t>it</w:t>
      </w:r>
      <w:r w:rsidR="009504BA">
        <w:t>s</w:t>
      </w:r>
      <w:r w:rsidR="00372EEE">
        <w:t xml:space="preserve"> remaining </w:t>
      </w:r>
      <w:r w:rsidR="001C7871">
        <w:t>tariffs on imports</w:t>
      </w:r>
      <w:r w:rsidR="007A43E2">
        <w:t xml:space="preserve"> (PC</w:t>
      </w:r>
      <w:r w:rsidR="009D1A47">
        <w:t> </w:t>
      </w:r>
      <w:r w:rsidR="007A43E2">
        <w:t>2010, p.</w:t>
      </w:r>
      <w:r w:rsidR="009D1A47">
        <w:t> </w:t>
      </w:r>
      <w:r w:rsidR="007A43E2">
        <w:t>214)</w:t>
      </w:r>
      <w:r w:rsidR="001C7871">
        <w:t>.</w:t>
      </w:r>
      <w:r w:rsidR="00372EEE">
        <w:t xml:space="preserve"> </w:t>
      </w:r>
      <w:r w:rsidR="00B952B2">
        <w:t>Unilateral</w:t>
      </w:r>
      <w:r w:rsidR="001C7871">
        <w:t xml:space="preserve"> action </w:t>
      </w:r>
      <w:r w:rsidR="00AC698B">
        <w:t xml:space="preserve">would </w:t>
      </w:r>
      <w:r w:rsidR="00B952B2">
        <w:t>narrow the range of matters requir</w:t>
      </w:r>
      <w:r w:rsidR="00AC698B">
        <w:t>ing</w:t>
      </w:r>
      <w:r w:rsidR="00B952B2">
        <w:t xml:space="preserve"> </w:t>
      </w:r>
      <w:r w:rsidR="00CA28BB">
        <w:t xml:space="preserve">cross-country </w:t>
      </w:r>
      <w:r w:rsidR="00B952B2">
        <w:t xml:space="preserve">negotiation. </w:t>
      </w:r>
      <w:r w:rsidR="00AC698B">
        <w:t xml:space="preserve">Importantly, the benefits </w:t>
      </w:r>
      <w:r w:rsidR="00793C44">
        <w:t xml:space="preserve">directly </w:t>
      </w:r>
      <w:r w:rsidR="00AC698B">
        <w:t xml:space="preserve">available from </w:t>
      </w:r>
      <w:r w:rsidR="000B2901">
        <w:t xml:space="preserve">domestic economic reform </w:t>
      </w:r>
      <w:r w:rsidR="00AC698B">
        <w:t xml:space="preserve">suggest that it </w:t>
      </w:r>
      <w:r w:rsidR="000B2901">
        <w:t xml:space="preserve">should not be delayed to retain ‘bargaining coin’ in </w:t>
      </w:r>
      <w:r w:rsidR="00793C44">
        <w:t xml:space="preserve">multilateral as well as regional and bilateral </w:t>
      </w:r>
      <w:r w:rsidR="000B2901">
        <w:t>trade negotiations</w:t>
      </w:r>
      <w:r w:rsidR="009D1A47">
        <w:t>.</w:t>
      </w:r>
      <w:r w:rsidR="004D746A">
        <w:t xml:space="preserve"> </w:t>
      </w:r>
    </w:p>
    <w:p w:rsidR="00313CF7" w:rsidRDefault="00313CF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13CF7">
        <w:tc>
          <w:tcPr>
            <w:tcW w:w="8771" w:type="dxa"/>
            <w:tcBorders>
              <w:top w:val="single" w:sz="6" w:space="0" w:color="auto"/>
              <w:bottom w:val="nil"/>
            </w:tcBorders>
          </w:tcPr>
          <w:p w:rsidR="00313CF7" w:rsidRDefault="00313CF7">
            <w:pPr>
              <w:pStyle w:val="BoxTitle"/>
            </w:pPr>
            <w:r>
              <w:rPr>
                <w:b w:val="0"/>
              </w:rPr>
              <w:t xml:space="preserve">Box </w:t>
            </w:r>
            <w:r w:rsidR="000B5158">
              <w:rPr>
                <w:b w:val="0"/>
              </w:rPr>
              <w:t>6.</w:t>
            </w:r>
            <w:r w:rsidR="00CE0B5E">
              <w:rPr>
                <w:b w:val="0"/>
                <w:noProof/>
              </w:rPr>
              <w:t>1</w:t>
            </w:r>
            <w:r>
              <w:tab/>
            </w:r>
            <w:r w:rsidR="00CF1820">
              <w:t>WTO 9</w:t>
            </w:r>
            <w:r w:rsidR="00CF1820" w:rsidRPr="003D16C7">
              <w:rPr>
                <w:vertAlign w:val="superscript"/>
              </w:rPr>
              <w:t>th</w:t>
            </w:r>
            <w:r w:rsidR="00CF1820">
              <w:t xml:space="preserve"> </w:t>
            </w:r>
            <w:r w:rsidR="00E565F5">
              <w:t>Ministerial Conference outcomes</w:t>
            </w:r>
          </w:p>
        </w:tc>
      </w:tr>
      <w:tr w:rsidR="00313CF7">
        <w:trPr>
          <w:cantSplit/>
        </w:trPr>
        <w:tc>
          <w:tcPr>
            <w:tcW w:w="8771" w:type="dxa"/>
            <w:tcBorders>
              <w:top w:val="nil"/>
              <w:left w:val="single" w:sz="6" w:space="0" w:color="auto"/>
              <w:bottom w:val="nil"/>
              <w:right w:val="single" w:sz="6" w:space="0" w:color="auto"/>
            </w:tcBorders>
          </w:tcPr>
          <w:p w:rsidR="00232B30" w:rsidRDefault="00232B30" w:rsidP="003D16C7">
            <w:pPr>
              <w:pStyle w:val="BoxHeading1"/>
            </w:pPr>
            <w:r>
              <w:t>Trade facilitation</w:t>
            </w:r>
          </w:p>
          <w:p w:rsidR="00232B30" w:rsidRDefault="004857D8" w:rsidP="003D16C7">
            <w:pPr>
              <w:pStyle w:val="Box"/>
            </w:pPr>
            <w:r>
              <w:t>R</w:t>
            </w:r>
            <w:r w:rsidR="00974DE7">
              <w:t>ed tape</w:t>
            </w:r>
            <w:r w:rsidR="00565869">
              <w:t>, lack of transparency and certainty</w:t>
            </w:r>
            <w:r w:rsidR="00974DE7">
              <w:t xml:space="preserve"> involved in </w:t>
            </w:r>
            <w:r w:rsidR="0030513F">
              <w:t>moving</w:t>
            </w:r>
            <w:r w:rsidR="00A762E2">
              <w:t xml:space="preserve"> goods across borders</w:t>
            </w:r>
            <w:r w:rsidR="00974DE7">
              <w:t xml:space="preserve"> </w:t>
            </w:r>
            <w:r w:rsidR="00C52B74">
              <w:t>are</w:t>
            </w:r>
            <w:r w:rsidR="00A762E2">
              <w:t xml:space="preserve"> significant</w:t>
            </w:r>
            <w:r w:rsidR="00974DE7">
              <w:t xml:space="preserve"> restriction</w:t>
            </w:r>
            <w:r w:rsidR="00C52B74">
              <w:t>s</w:t>
            </w:r>
            <w:r w:rsidR="00974DE7">
              <w:t xml:space="preserve"> on trade. Citing work by the United Nations, the WTO noted </w:t>
            </w:r>
            <w:r w:rsidR="000645C9">
              <w:t xml:space="preserve">the </w:t>
            </w:r>
            <w:r w:rsidR="00974DE7">
              <w:t>average customs transaction involved 20-30 different parties, 40 documents, 200 data elements (30 of which are repeated at least 30 times) and the re-keying of 60-</w:t>
            </w:r>
            <w:r w:rsidR="00DA0D5F">
              <w:t>70 </w:t>
            </w:r>
            <w:r w:rsidR="00974DE7">
              <w:t xml:space="preserve">per cent of all data at least once. </w:t>
            </w:r>
            <w:r w:rsidR="00BE4C56">
              <w:t>Before the Conference, the</w:t>
            </w:r>
            <w:r w:rsidR="00974DE7">
              <w:t xml:space="preserve"> OECD </w:t>
            </w:r>
            <w:r w:rsidR="00847E72">
              <w:t>estimate</w:t>
            </w:r>
            <w:r w:rsidR="00610B4C">
              <w:t>d</w:t>
            </w:r>
            <w:r w:rsidR="00974DE7">
              <w:t xml:space="preserve"> that </w:t>
            </w:r>
            <w:r w:rsidR="00BE4C56">
              <w:t>a trade</w:t>
            </w:r>
            <w:r w:rsidR="00974DE7">
              <w:t xml:space="preserve"> facilitation agreement</w:t>
            </w:r>
            <w:r w:rsidR="00BE4C56">
              <w:t xml:space="preserve"> </w:t>
            </w:r>
            <w:r w:rsidR="00974DE7">
              <w:t xml:space="preserve">could </w:t>
            </w:r>
            <w:r w:rsidR="00601810">
              <w:t>reduce</w:t>
            </w:r>
            <w:r w:rsidR="00974DE7">
              <w:t xml:space="preserve"> trade costs </w:t>
            </w:r>
            <w:r w:rsidR="00601810">
              <w:t>by</w:t>
            </w:r>
            <w:r w:rsidR="00974DE7">
              <w:t xml:space="preserve"> </w:t>
            </w:r>
            <w:r w:rsidR="00DA0D5F">
              <w:t>10 </w:t>
            </w:r>
            <w:r w:rsidR="00974DE7">
              <w:t xml:space="preserve">per cent </w:t>
            </w:r>
            <w:r w:rsidR="00BE4C56">
              <w:t xml:space="preserve">for advanced economies and up to </w:t>
            </w:r>
            <w:r w:rsidR="00DA0D5F">
              <w:t xml:space="preserve">around </w:t>
            </w:r>
            <w:r w:rsidR="00974DE7">
              <w:t>15</w:t>
            </w:r>
            <w:r w:rsidR="00DA0D5F">
              <w:t> </w:t>
            </w:r>
            <w:r w:rsidR="00974DE7">
              <w:t xml:space="preserve">per cent </w:t>
            </w:r>
            <w:r w:rsidR="007E3EFC">
              <w:t>for</w:t>
            </w:r>
            <w:r w:rsidR="00974DE7">
              <w:t xml:space="preserve"> developing countries</w:t>
            </w:r>
            <w:r w:rsidR="00201C30">
              <w:t>.</w:t>
            </w:r>
            <w:r w:rsidR="00974DE7">
              <w:t xml:space="preserve"> </w:t>
            </w:r>
            <w:r w:rsidR="00AE2EBD">
              <w:t>Subsequently, a</w:t>
            </w:r>
            <w:r w:rsidR="00974DE7">
              <w:t xml:space="preserve"> consensus agreement </w:t>
            </w:r>
            <w:r w:rsidR="00611D5E">
              <w:t>on</w:t>
            </w:r>
            <w:r w:rsidR="00974DE7">
              <w:t xml:space="preserve"> trade facilitation </w:t>
            </w:r>
            <w:r w:rsidR="00AE2EBD">
              <w:t xml:space="preserve">was reached at </w:t>
            </w:r>
            <w:r w:rsidR="00974DE7">
              <w:t>the Ministerial Conference</w:t>
            </w:r>
            <w:r w:rsidR="0060681B">
              <w:t>. The</w:t>
            </w:r>
            <w:r w:rsidR="00974DE7">
              <w:t xml:space="preserve"> agreement </w:t>
            </w:r>
            <w:r w:rsidR="0030513F">
              <w:t>included</w:t>
            </w:r>
            <w:r w:rsidR="00974DE7">
              <w:t xml:space="preserve"> measures to accelerate cross</w:t>
            </w:r>
            <w:r w:rsidR="0030513F">
              <w:t>-</w:t>
            </w:r>
            <w:r w:rsidR="00974DE7">
              <w:t xml:space="preserve">border movement of goods </w:t>
            </w:r>
            <w:r w:rsidR="00611D5E">
              <w:t>by</w:t>
            </w:r>
            <w:r w:rsidR="00974DE7">
              <w:t xml:space="preserve"> simplifying and harmonising customs procedures and documentation and improving predictability of customs regulations through more effective cooperation between customs and other authorities on compliance issues.</w:t>
            </w:r>
          </w:p>
          <w:p w:rsidR="00232B30" w:rsidRDefault="00232B30" w:rsidP="003D16C7">
            <w:pPr>
              <w:pStyle w:val="BoxHeading1"/>
            </w:pPr>
            <w:r>
              <w:t xml:space="preserve">Agricultural sector </w:t>
            </w:r>
            <w:r w:rsidR="00601810">
              <w:t>outcomes</w:t>
            </w:r>
            <w:r>
              <w:t xml:space="preserve"> </w:t>
            </w:r>
          </w:p>
          <w:p w:rsidR="00313CF7" w:rsidRDefault="00313CF7" w:rsidP="003D16C7">
            <w:pPr>
              <w:pStyle w:val="Box"/>
            </w:pPr>
            <w:r>
              <w:t xml:space="preserve">Agricultural sector </w:t>
            </w:r>
            <w:r w:rsidR="000403ED">
              <w:t>negotiations</w:t>
            </w:r>
            <w:r w:rsidR="00232B30">
              <w:t xml:space="preserve"> </w:t>
            </w:r>
            <w:r w:rsidR="00601810">
              <w:t>prior to the Bali meeting covered</w:t>
            </w:r>
            <w:r w:rsidR="00232B30">
              <w:t xml:space="preserve"> </w:t>
            </w:r>
            <w:r w:rsidR="00427A42">
              <w:t xml:space="preserve">issues associated with </w:t>
            </w:r>
            <w:r w:rsidR="00C46DE5">
              <w:t>export competition;</w:t>
            </w:r>
            <w:r w:rsidR="00232B30">
              <w:t xml:space="preserve"> tariff rate quota administration</w:t>
            </w:r>
            <w:r w:rsidR="00C46DE5">
              <w:t>;</w:t>
            </w:r>
            <w:r w:rsidR="00232B30">
              <w:t xml:space="preserve"> </w:t>
            </w:r>
            <w:r w:rsidR="000403ED">
              <w:t xml:space="preserve">public stockholding </w:t>
            </w:r>
            <w:r w:rsidR="00601810">
              <w:t>an</w:t>
            </w:r>
            <w:r w:rsidR="0015173B">
              <w:t>d</w:t>
            </w:r>
            <w:r w:rsidR="00601810">
              <w:t xml:space="preserve"> cotton</w:t>
            </w:r>
            <w:r w:rsidR="00232B30">
              <w:t>.</w:t>
            </w:r>
          </w:p>
          <w:p w:rsidR="00313CF7" w:rsidRDefault="00610B4C" w:rsidP="003D16C7">
            <w:pPr>
              <w:pStyle w:val="BoxListBullet"/>
            </w:pPr>
            <w:r>
              <w:t>The e</w:t>
            </w:r>
            <w:r w:rsidR="00D02C23">
              <w:t>xport competition</w:t>
            </w:r>
            <w:r>
              <w:t xml:space="preserve"> stream</w:t>
            </w:r>
            <w:r w:rsidR="00D02C23">
              <w:t xml:space="preserve"> </w:t>
            </w:r>
            <w:r w:rsidR="005C5FF3">
              <w:t>cover</w:t>
            </w:r>
            <w:r>
              <w:t>ed:</w:t>
            </w:r>
            <w:r w:rsidR="00D02C23">
              <w:t xml:space="preserve"> e</w:t>
            </w:r>
            <w:r w:rsidR="00313CF7">
              <w:t>xport subsidies</w:t>
            </w:r>
            <w:r w:rsidR="00D02C23">
              <w:t xml:space="preserve">; </w:t>
            </w:r>
            <w:r w:rsidR="00FF23BC">
              <w:t xml:space="preserve">export financing support; </w:t>
            </w:r>
            <w:r w:rsidR="00313CF7">
              <w:t xml:space="preserve">food aid; and </w:t>
            </w:r>
            <w:r w:rsidR="00FF23BC">
              <w:t>trade distorting</w:t>
            </w:r>
            <w:r w:rsidR="009F6837">
              <w:t xml:space="preserve"> </w:t>
            </w:r>
            <w:r w:rsidR="004E5F50">
              <w:t>activities</w:t>
            </w:r>
            <w:r w:rsidR="00313CF7">
              <w:t xml:space="preserve"> of state owned enterpr</w:t>
            </w:r>
            <w:r w:rsidR="009F6837">
              <w:t>ises</w:t>
            </w:r>
            <w:r w:rsidR="00313CF7">
              <w:t>.</w:t>
            </w:r>
            <w:r w:rsidR="004E5F50">
              <w:t xml:space="preserve"> </w:t>
            </w:r>
            <w:r w:rsidR="007A5DC4">
              <w:t>WTO members</w:t>
            </w:r>
            <w:r>
              <w:t xml:space="preserve"> </w:t>
            </w:r>
            <w:r w:rsidR="0015173B">
              <w:t xml:space="preserve">reaffirmed </w:t>
            </w:r>
            <w:r w:rsidR="00C65D9E">
              <w:t>the</w:t>
            </w:r>
            <w:r w:rsidR="007A5DC4">
              <w:t>ir</w:t>
            </w:r>
            <w:r w:rsidR="00C65D9E">
              <w:t xml:space="preserve"> </w:t>
            </w:r>
            <w:r w:rsidR="0015173B">
              <w:t xml:space="preserve">commitment to parallel elimination </w:t>
            </w:r>
            <w:r w:rsidR="004704BE">
              <w:t>of all export subsidies</w:t>
            </w:r>
            <w:r w:rsidR="00C65D9E">
              <w:t>.</w:t>
            </w:r>
          </w:p>
          <w:p w:rsidR="00313CF7" w:rsidRDefault="00BF3823" w:rsidP="003D16C7">
            <w:pPr>
              <w:pStyle w:val="BoxListBullet"/>
            </w:pPr>
            <w:r>
              <w:t>T</w:t>
            </w:r>
            <w:r w:rsidR="00610B4C">
              <w:t>he tariff rate quota stream</w:t>
            </w:r>
            <w:r>
              <w:t xml:space="preserve"> </w:t>
            </w:r>
            <w:r w:rsidR="00765E14">
              <w:t>establishes</w:t>
            </w:r>
            <w:r w:rsidR="00610B4C">
              <w:t xml:space="preserve"> rules </w:t>
            </w:r>
            <w:r w:rsidR="008365F2">
              <w:t>on</w:t>
            </w:r>
            <w:r w:rsidR="00610B4C">
              <w:t xml:space="preserve"> procedural and transparency aspects of tariff rate quotas and a mechanism to address low fill rate</w:t>
            </w:r>
            <w:r w:rsidR="00DC5FB8">
              <w:t xml:space="preserve"> </w:t>
            </w:r>
            <w:r w:rsidR="00610B4C">
              <w:t xml:space="preserve">quotas. </w:t>
            </w:r>
            <w:r w:rsidR="00EB3F27">
              <w:t>The</w:t>
            </w:r>
            <w:r w:rsidR="00EB3F27" w:rsidRPr="00B514A3">
              <w:t xml:space="preserve"> Ministerial</w:t>
            </w:r>
            <w:r w:rsidR="00EB3F27" w:rsidRPr="008558DC">
              <w:t xml:space="preserve"> decision </w:t>
            </w:r>
            <w:r w:rsidR="00D11505">
              <w:t>supports</w:t>
            </w:r>
            <w:r w:rsidR="000F307E">
              <w:t xml:space="preserve"> </w:t>
            </w:r>
            <w:r w:rsidR="008E4205">
              <w:t>greater</w:t>
            </w:r>
            <w:r w:rsidR="00EB3F27" w:rsidRPr="00704E33">
              <w:t xml:space="preserve"> transparency, dialogue, monitoring and review.</w:t>
            </w:r>
          </w:p>
          <w:p w:rsidR="00313CF7" w:rsidRDefault="00610B4C" w:rsidP="003D16C7">
            <w:pPr>
              <w:pStyle w:val="BoxListBullet"/>
            </w:pPr>
            <w:r>
              <w:t>The p</w:t>
            </w:r>
            <w:r w:rsidR="00114A97">
              <w:t xml:space="preserve">ublic stockholding </w:t>
            </w:r>
            <w:r>
              <w:t xml:space="preserve">stream </w:t>
            </w:r>
            <w:r w:rsidR="004C006B">
              <w:t>covers</w:t>
            </w:r>
            <w:r>
              <w:t xml:space="preserve"> purchases</w:t>
            </w:r>
            <w:r w:rsidR="00114A97">
              <w:t xml:space="preserve"> </w:t>
            </w:r>
            <w:r>
              <w:t xml:space="preserve">of </w:t>
            </w:r>
            <w:r w:rsidR="00313CF7">
              <w:t>products at administered prices</w:t>
            </w:r>
            <w:r>
              <w:t xml:space="preserve"> by some developing countries </w:t>
            </w:r>
            <w:r w:rsidR="001018B3">
              <w:t>for food</w:t>
            </w:r>
            <w:r w:rsidR="004C006B">
              <w:t xml:space="preserve"> security purposes</w:t>
            </w:r>
            <w:r w:rsidR="001018B3">
              <w:t xml:space="preserve"> </w:t>
            </w:r>
            <w:r>
              <w:t>up to capped amounts under the</w:t>
            </w:r>
            <w:r w:rsidR="00313CF7">
              <w:t xml:space="preserve"> WTO Agreement on Agriculture</w:t>
            </w:r>
            <w:r>
              <w:t>.</w:t>
            </w:r>
            <w:r w:rsidR="00EB3F27">
              <w:t xml:space="preserve"> Members agreed to </w:t>
            </w:r>
            <w:r w:rsidR="00AE26EB">
              <w:t xml:space="preserve">an interim </w:t>
            </w:r>
            <w:r w:rsidR="001018B3">
              <w:t>mechanism for</w:t>
            </w:r>
            <w:r w:rsidR="00EB3F27">
              <w:t xml:space="preserve"> </w:t>
            </w:r>
            <w:r w:rsidR="00AE26EB">
              <w:t xml:space="preserve">these systems </w:t>
            </w:r>
            <w:r w:rsidR="00EB3F27">
              <w:t xml:space="preserve">with </w:t>
            </w:r>
            <w:r w:rsidR="00AE26EB">
              <w:t>greater</w:t>
            </w:r>
            <w:r w:rsidR="00097513">
              <w:t xml:space="preserve"> transparency </w:t>
            </w:r>
            <w:r w:rsidR="001018B3">
              <w:t xml:space="preserve">and safeguards </w:t>
            </w:r>
            <w:r w:rsidR="00097513">
              <w:t xml:space="preserve">on </w:t>
            </w:r>
            <w:r w:rsidR="001018B3">
              <w:t>such</w:t>
            </w:r>
            <w:r w:rsidR="00097513">
              <w:t xml:space="preserve"> </w:t>
            </w:r>
            <w:r w:rsidR="00EB3F27">
              <w:t>measures and to neg</w:t>
            </w:r>
            <w:r w:rsidR="00B0498F">
              <w:t>otiate for a permanent solution</w:t>
            </w:r>
            <w:r w:rsidR="00EB3F27">
              <w:t>.</w:t>
            </w:r>
          </w:p>
          <w:p w:rsidR="000F307E" w:rsidRDefault="00C876E9" w:rsidP="003D16C7">
            <w:pPr>
              <w:pStyle w:val="BoxListBullet"/>
            </w:pPr>
            <w:r>
              <w:t>The sector-specific cotton stream recognised the importance of cotton to developing countr</w:t>
            </w:r>
            <w:r w:rsidR="00BD6D2E">
              <w:t xml:space="preserve">y economies, particularly the least developed, </w:t>
            </w:r>
            <w:r>
              <w:t>with WTO members reaffirming their commitment to address cotton issues</w:t>
            </w:r>
            <w:r w:rsidR="00DA206C">
              <w:t xml:space="preserve"> within WTO agricul</w:t>
            </w:r>
            <w:r w:rsidR="008E4205">
              <w:t>tural nego</w:t>
            </w:r>
            <w:r w:rsidR="00DA206C">
              <w:t>tia</w:t>
            </w:r>
            <w:r w:rsidR="008E4205">
              <w:t>tions.</w:t>
            </w:r>
          </w:p>
          <w:p w:rsidR="005C6DFA" w:rsidRDefault="00181A0C" w:rsidP="003D16C7">
            <w:pPr>
              <w:pStyle w:val="BoxHeading1"/>
            </w:pPr>
            <w:r>
              <w:t>Least d</w:t>
            </w:r>
            <w:r w:rsidR="00313CF7">
              <w:t xml:space="preserve">eveloping country </w:t>
            </w:r>
            <w:r>
              <w:t>(</w:t>
            </w:r>
            <w:proofErr w:type="spellStart"/>
            <w:r>
              <w:t>LDC</w:t>
            </w:r>
            <w:proofErr w:type="spellEnd"/>
            <w:r>
              <w:t xml:space="preserve">) </w:t>
            </w:r>
            <w:r w:rsidR="00865A90">
              <w:t>initiatives</w:t>
            </w:r>
          </w:p>
          <w:p w:rsidR="00313CF7" w:rsidRDefault="00AE26EB">
            <w:pPr>
              <w:pStyle w:val="Box"/>
            </w:pPr>
            <w:r>
              <w:t>P</w:t>
            </w:r>
            <w:r w:rsidR="00313CF7">
              <w:t xml:space="preserve">rovisions beneficial to </w:t>
            </w:r>
            <w:proofErr w:type="spellStart"/>
            <w:r w:rsidR="00313CF7">
              <w:t>LDCs</w:t>
            </w:r>
            <w:proofErr w:type="spellEnd"/>
            <w:r w:rsidR="00313CF7">
              <w:t xml:space="preserve"> </w:t>
            </w:r>
            <w:r w:rsidR="00610B4C">
              <w:t xml:space="preserve">were discussed </w:t>
            </w:r>
            <w:r w:rsidR="00FC77D8">
              <w:t>including:</w:t>
            </w:r>
            <w:r w:rsidR="00313CF7">
              <w:t xml:space="preserve"> simplified rules of origin </w:t>
            </w:r>
            <w:r w:rsidR="00FC77D8">
              <w:t>for</w:t>
            </w:r>
            <w:r w:rsidR="00313CF7">
              <w:t xml:space="preserve"> </w:t>
            </w:r>
            <w:proofErr w:type="spellStart"/>
            <w:r>
              <w:t>LDC</w:t>
            </w:r>
            <w:proofErr w:type="spellEnd"/>
            <w:r>
              <w:t xml:space="preserve"> </w:t>
            </w:r>
            <w:r w:rsidR="00FC77D8">
              <w:t>products</w:t>
            </w:r>
            <w:r w:rsidR="00313CF7">
              <w:t xml:space="preserve">; preferential access to </w:t>
            </w:r>
            <w:proofErr w:type="spellStart"/>
            <w:r w:rsidR="00FC77D8">
              <w:t>LDC</w:t>
            </w:r>
            <w:proofErr w:type="spellEnd"/>
            <w:r w:rsidR="00FC77D8">
              <w:t xml:space="preserve"> </w:t>
            </w:r>
            <w:r w:rsidR="00313CF7">
              <w:t>serv</w:t>
            </w:r>
            <w:r w:rsidR="00FC77D8">
              <w:t>ice suppliers</w:t>
            </w:r>
            <w:r w:rsidR="00313CF7">
              <w:t xml:space="preserve">; improving the </w:t>
            </w:r>
            <w:r w:rsidR="00FC77D8">
              <w:t xml:space="preserve">cotton </w:t>
            </w:r>
            <w:r w:rsidR="00313CF7">
              <w:t>trade environment; and encouraging duty and quota free market access.</w:t>
            </w:r>
            <w:r w:rsidR="00865A90">
              <w:t xml:space="preserve"> Members agreed to </w:t>
            </w:r>
            <w:r w:rsidR="00FC77D8">
              <w:t>list</w:t>
            </w:r>
            <w:r w:rsidR="00865A90" w:rsidRPr="00704E33">
              <w:t xml:space="preserve"> allowable general services program</w:t>
            </w:r>
            <w:r w:rsidR="003C644A">
              <w:t>s</w:t>
            </w:r>
            <w:r w:rsidR="00865A90" w:rsidRPr="00704E33">
              <w:t xml:space="preserve"> (to promote rural dev</w:t>
            </w:r>
            <w:r w:rsidR="00FC77D8">
              <w:t xml:space="preserve">elopment and alleviate poverty). An </w:t>
            </w:r>
            <w:r w:rsidR="00865A90" w:rsidRPr="00704E33">
              <w:t>undertaking to enhance transp</w:t>
            </w:r>
            <w:r w:rsidR="003B692F">
              <w:t>arency and monitoring for trade-</w:t>
            </w:r>
            <w:r w:rsidR="00865A90" w:rsidRPr="00704E33">
              <w:t>related aspects of cotton was signed</w:t>
            </w:r>
            <w:r w:rsidR="00DA0D5F">
              <w:t>,</w:t>
            </w:r>
            <w:r w:rsidR="00553D90">
              <w:t xml:space="preserve"> but</w:t>
            </w:r>
            <w:r w:rsidR="00FC77D8" w:rsidRPr="00704E33">
              <w:t xml:space="preserve"> fell short of the 2005 announ</w:t>
            </w:r>
            <w:r w:rsidR="007C083D">
              <w:t xml:space="preserve">cement that export subsidies </w:t>
            </w:r>
            <w:r w:rsidR="00FC77D8" w:rsidRPr="00704E33">
              <w:t>would be eliminated and domestic support for cotton reduced</w:t>
            </w:r>
            <w:r w:rsidR="00BD7C70">
              <w:t>.</w:t>
            </w:r>
          </w:p>
        </w:tc>
      </w:tr>
      <w:tr w:rsidR="00313CF7">
        <w:trPr>
          <w:cantSplit/>
        </w:trPr>
        <w:tc>
          <w:tcPr>
            <w:tcW w:w="8771" w:type="dxa"/>
            <w:tcBorders>
              <w:top w:val="nil"/>
              <w:left w:val="single" w:sz="6" w:space="0" w:color="auto"/>
              <w:bottom w:val="nil"/>
              <w:right w:val="single" w:sz="6" w:space="0" w:color="auto"/>
            </w:tcBorders>
          </w:tcPr>
          <w:p w:rsidR="00313CF7" w:rsidRDefault="001103C4" w:rsidP="00DF71C1">
            <w:pPr>
              <w:pStyle w:val="BoxSource"/>
              <w:rPr>
                <w:i/>
              </w:rPr>
            </w:pPr>
            <w:r>
              <w:rPr>
                <w:i/>
              </w:rPr>
              <w:t>Source</w:t>
            </w:r>
            <w:r w:rsidR="00625361">
              <w:rPr>
                <w:i/>
              </w:rPr>
              <w:t>s</w:t>
            </w:r>
            <w:r w:rsidR="00313CF7" w:rsidRPr="00167F06">
              <w:t xml:space="preserve">: </w:t>
            </w:r>
            <w:proofErr w:type="spellStart"/>
            <w:r w:rsidR="00625361">
              <w:t>Azev</w:t>
            </w:r>
            <w:r w:rsidR="00DF71C1">
              <w:t>ê</w:t>
            </w:r>
            <w:r w:rsidR="00625361">
              <w:t>do</w:t>
            </w:r>
            <w:proofErr w:type="spellEnd"/>
            <w:r w:rsidR="00625361">
              <w:t xml:space="preserve"> </w:t>
            </w:r>
            <w:r w:rsidR="00BA314F">
              <w:t>(</w:t>
            </w:r>
            <w:proofErr w:type="spellStart"/>
            <w:r w:rsidR="00625361">
              <w:t>2013</w:t>
            </w:r>
            <w:r w:rsidR="009930EA">
              <w:t>a,b</w:t>
            </w:r>
            <w:proofErr w:type="spellEnd"/>
            <w:r w:rsidR="00BA314F">
              <w:t>)</w:t>
            </w:r>
            <w:r w:rsidR="00625361">
              <w:t xml:space="preserve">, </w:t>
            </w:r>
            <w:proofErr w:type="spellStart"/>
            <w:r w:rsidR="000F307E">
              <w:t>DFAT</w:t>
            </w:r>
            <w:proofErr w:type="spellEnd"/>
            <w:r w:rsidR="000352DF">
              <w:t xml:space="preserve"> (pers.</w:t>
            </w:r>
            <w:r w:rsidR="000F307E">
              <w:t xml:space="preserve"> comm.</w:t>
            </w:r>
            <w:r w:rsidR="00AB7A9B">
              <w:t xml:space="preserve"> 19 June 2014</w:t>
            </w:r>
            <w:r w:rsidR="000F307E">
              <w:t>),</w:t>
            </w:r>
            <w:r w:rsidR="00625361">
              <w:t xml:space="preserve"> European Commission </w:t>
            </w:r>
            <w:r w:rsidR="00BA314F">
              <w:t>(</w:t>
            </w:r>
            <w:r w:rsidR="00625361">
              <w:t>2013</w:t>
            </w:r>
            <w:r w:rsidR="00BA314F">
              <w:t>)</w:t>
            </w:r>
            <w:r w:rsidR="00625361">
              <w:t xml:space="preserve">, WTO </w:t>
            </w:r>
            <w:r w:rsidR="00BA314F">
              <w:t>(</w:t>
            </w:r>
            <w:proofErr w:type="spellStart"/>
            <w:r w:rsidR="00625361">
              <w:t>2013</w:t>
            </w:r>
            <w:r w:rsidR="00A96A06">
              <w:t>a</w:t>
            </w:r>
            <w:proofErr w:type="spellEnd"/>
            <w:r w:rsidR="00625361">
              <w:t>, p.</w:t>
            </w:r>
            <w:r w:rsidR="00361C34">
              <w:t> </w:t>
            </w:r>
            <w:r w:rsidR="00625361">
              <w:t>3</w:t>
            </w:r>
            <w:r w:rsidR="00BA314F">
              <w:t>)</w:t>
            </w:r>
            <w:r>
              <w:t>.</w:t>
            </w:r>
          </w:p>
        </w:tc>
      </w:tr>
      <w:tr w:rsidR="00313CF7">
        <w:trPr>
          <w:cantSplit/>
        </w:trPr>
        <w:tc>
          <w:tcPr>
            <w:tcW w:w="8771" w:type="dxa"/>
            <w:tcBorders>
              <w:top w:val="nil"/>
              <w:left w:val="single" w:sz="6" w:space="0" w:color="auto"/>
              <w:bottom w:val="single" w:sz="6" w:space="0" w:color="auto"/>
              <w:right w:val="single" w:sz="6" w:space="0" w:color="auto"/>
            </w:tcBorders>
          </w:tcPr>
          <w:p w:rsidR="00313CF7" w:rsidRDefault="00313CF7">
            <w:pPr>
              <w:pStyle w:val="Box"/>
              <w:spacing w:before="0" w:line="120" w:lineRule="exact"/>
            </w:pPr>
          </w:p>
        </w:tc>
      </w:tr>
      <w:tr w:rsidR="00313CF7" w:rsidRPr="000863A5">
        <w:tc>
          <w:tcPr>
            <w:tcW w:w="8771" w:type="dxa"/>
            <w:tcBorders>
              <w:top w:val="nil"/>
              <w:left w:val="nil"/>
              <w:bottom w:val="nil"/>
              <w:right w:val="nil"/>
            </w:tcBorders>
          </w:tcPr>
          <w:p w:rsidR="00313CF7" w:rsidRPr="00626D32" w:rsidRDefault="00313CF7" w:rsidP="0020642A">
            <w:pPr>
              <w:pStyle w:val="BoxSpaceBelow"/>
            </w:pPr>
          </w:p>
        </w:tc>
      </w:tr>
    </w:tbl>
    <w:p w:rsidR="001F6EE1" w:rsidRDefault="001F6EE1" w:rsidP="001F6EE1">
      <w:pPr>
        <w:pStyle w:val="Heading3"/>
        <w:rPr>
          <w:lang w:val="en"/>
        </w:rPr>
      </w:pPr>
      <w:r>
        <w:rPr>
          <w:lang w:val="en"/>
        </w:rPr>
        <w:lastRenderedPageBreak/>
        <w:t>Group of 20 (</w:t>
      </w:r>
      <w:proofErr w:type="spellStart"/>
      <w:r>
        <w:rPr>
          <w:lang w:val="en"/>
        </w:rPr>
        <w:t>G20</w:t>
      </w:r>
      <w:proofErr w:type="spellEnd"/>
      <w:r>
        <w:rPr>
          <w:lang w:val="en"/>
        </w:rPr>
        <w:t xml:space="preserve">) </w:t>
      </w:r>
    </w:p>
    <w:p w:rsidR="001F6EE1" w:rsidRDefault="001F6EE1" w:rsidP="001F6EE1">
      <w:pPr>
        <w:pStyle w:val="BodyText"/>
      </w:pPr>
      <w:r w:rsidRPr="00385BC9">
        <w:t xml:space="preserve">The </w:t>
      </w:r>
      <w:proofErr w:type="spellStart"/>
      <w:r w:rsidRPr="00385BC9">
        <w:t>G20</w:t>
      </w:r>
      <w:proofErr w:type="spellEnd"/>
      <w:r w:rsidRPr="00385BC9">
        <w:t xml:space="preserve"> </w:t>
      </w:r>
      <w:r>
        <w:t>began</w:t>
      </w:r>
      <w:r w:rsidRPr="00385BC9">
        <w:t xml:space="preserve"> in 1999 as a meeting of Finance Ministers and Central Bank Governors </w:t>
      </w:r>
      <w:r w:rsidR="00E860C5">
        <w:t>following</w:t>
      </w:r>
      <w:r w:rsidRPr="00385BC9">
        <w:t xml:space="preserve"> the Asian financial crisis. In 2008, the first </w:t>
      </w:r>
      <w:proofErr w:type="spellStart"/>
      <w:r w:rsidRPr="00385BC9">
        <w:t>G20</w:t>
      </w:r>
      <w:proofErr w:type="spellEnd"/>
      <w:r w:rsidRPr="00385BC9">
        <w:t xml:space="preserve"> Leaders Summit was held, and the group played a key role in responding to the global financial crisis. </w:t>
      </w:r>
      <w:proofErr w:type="spellStart"/>
      <w:r w:rsidRPr="00385BC9">
        <w:t>G20</w:t>
      </w:r>
      <w:proofErr w:type="spellEnd"/>
      <w:r w:rsidRPr="00385BC9">
        <w:t xml:space="preserve"> leaders have met eight times since 2008</w:t>
      </w:r>
      <w:r>
        <w:t xml:space="preserve">. The next meeting is in </w:t>
      </w:r>
      <w:r w:rsidRPr="00385BC9">
        <w:t>Brisbane on 15-16</w:t>
      </w:r>
      <w:r>
        <w:t> </w:t>
      </w:r>
      <w:r w:rsidRPr="00385BC9">
        <w:t>November</w:t>
      </w:r>
      <w:r>
        <w:t> </w:t>
      </w:r>
      <w:r w:rsidRPr="00385BC9">
        <w:t>2014</w:t>
      </w:r>
      <w:r w:rsidR="00A062D7">
        <w:t xml:space="preserve"> (</w:t>
      </w:r>
      <w:proofErr w:type="spellStart"/>
      <w:r w:rsidR="00A062D7">
        <w:t>G20</w:t>
      </w:r>
      <w:proofErr w:type="spellEnd"/>
      <w:r w:rsidR="00714B9D">
        <w:t> </w:t>
      </w:r>
      <w:r w:rsidR="00A062D7">
        <w:t>2014)</w:t>
      </w:r>
      <w:r w:rsidRPr="00385BC9">
        <w:t>.</w:t>
      </w:r>
    </w:p>
    <w:p w:rsidR="001F6EE1" w:rsidRDefault="001F6EE1" w:rsidP="001F6EE1">
      <w:pPr>
        <w:pStyle w:val="BodyText"/>
      </w:pPr>
      <w:r w:rsidRPr="00385BC9">
        <w:t xml:space="preserve">The focus of </w:t>
      </w:r>
      <w:proofErr w:type="spellStart"/>
      <w:r w:rsidRPr="00385BC9">
        <w:t>G20</w:t>
      </w:r>
      <w:proofErr w:type="spellEnd"/>
      <w:r w:rsidRPr="00385BC9">
        <w:t xml:space="preserve"> Summits has gradually expanded to include </w:t>
      </w:r>
      <w:r>
        <w:t>avenues to strengthen</w:t>
      </w:r>
      <w:r w:rsidRPr="00385BC9">
        <w:t xml:space="preserve"> </w:t>
      </w:r>
      <w:r>
        <w:t xml:space="preserve">the global economy, improve financial regulation, reform the </w:t>
      </w:r>
      <w:r w:rsidRPr="00385BC9">
        <w:t>governance of international financial institutions</w:t>
      </w:r>
      <w:r>
        <w:t xml:space="preserve"> and discussion of key economic reforms required in </w:t>
      </w:r>
      <w:proofErr w:type="spellStart"/>
      <w:r>
        <w:t>G20</w:t>
      </w:r>
      <w:proofErr w:type="spellEnd"/>
      <w:r>
        <w:t xml:space="preserve"> member countries</w:t>
      </w:r>
      <w:r w:rsidRPr="00385BC9">
        <w:t xml:space="preserve">. The </w:t>
      </w:r>
      <w:proofErr w:type="spellStart"/>
      <w:r w:rsidRPr="00385BC9">
        <w:t>G20</w:t>
      </w:r>
      <w:proofErr w:type="spellEnd"/>
      <w:r w:rsidRPr="00385BC9">
        <w:t xml:space="preserve"> agenda also </w:t>
      </w:r>
      <w:r>
        <w:t>covers</w:t>
      </w:r>
      <w:r w:rsidRPr="00385BC9">
        <w:t xml:space="preserve"> work on such issues as trade, development, anti-corruption, food security and employment</w:t>
      </w:r>
      <w:r>
        <w:t xml:space="preserve">. </w:t>
      </w:r>
      <w:r w:rsidR="00B76646">
        <w:t>In February</w:t>
      </w:r>
      <w:r w:rsidR="00DF71C1">
        <w:t> </w:t>
      </w:r>
      <w:r w:rsidR="00B76646">
        <w:t xml:space="preserve">2014, </w:t>
      </w:r>
      <w:proofErr w:type="spellStart"/>
      <w:r w:rsidR="00B76646">
        <w:t>G20</w:t>
      </w:r>
      <w:proofErr w:type="spellEnd"/>
      <w:r w:rsidR="00B76646">
        <w:t xml:space="preserve"> Finance Ministers and Central Bank Governors committed to develop new measures that would raise the level of </w:t>
      </w:r>
      <w:proofErr w:type="spellStart"/>
      <w:r w:rsidR="00B76646">
        <w:t>G20</w:t>
      </w:r>
      <w:proofErr w:type="spellEnd"/>
      <w:r w:rsidR="00B76646">
        <w:t xml:space="preserve"> output by at least 2 per cent above the currently projected level in the next five years.</w:t>
      </w:r>
    </w:p>
    <w:p w:rsidR="005904A4" w:rsidRDefault="005904A4" w:rsidP="005904A4">
      <w:pPr>
        <w:pStyle w:val="BodyText"/>
      </w:pPr>
      <w:r>
        <w:t xml:space="preserve">Australia has assumed the presidency of the </w:t>
      </w:r>
      <w:proofErr w:type="spellStart"/>
      <w:r>
        <w:t>G20</w:t>
      </w:r>
      <w:proofErr w:type="spellEnd"/>
      <w:r>
        <w:t xml:space="preserve"> for 2014. In his address to the World Economic Forum at Davos, Switzerland, the Australian Prime Minister listed (in order) trade, taxation, infrastructure, employment and banking as the main areas where specific outcomes w</w:t>
      </w:r>
      <w:r w:rsidR="00DA0D5F">
        <w:t>ould</w:t>
      </w:r>
      <w:r>
        <w:t xml:space="preserve"> be sought at the </w:t>
      </w:r>
      <w:proofErr w:type="spellStart"/>
      <w:r>
        <w:t>G20</w:t>
      </w:r>
      <w:proofErr w:type="spellEnd"/>
      <w:r>
        <w:t xml:space="preserve"> </w:t>
      </w:r>
      <w:r w:rsidR="002B3A5A">
        <w:t xml:space="preserve">Leaders Summit </w:t>
      </w:r>
      <w:r>
        <w:t>in Brisbane. On trade matters, the Prime Minister has stated:</w:t>
      </w:r>
    </w:p>
    <w:p w:rsidR="00114905" w:rsidRDefault="00114905" w:rsidP="00114905">
      <w:pPr>
        <w:pStyle w:val="Quote"/>
      </w:pPr>
      <w:r>
        <w:t xml:space="preserve">At the very least, the </w:t>
      </w:r>
      <w:proofErr w:type="spellStart"/>
      <w:r>
        <w:t>G20</w:t>
      </w:r>
      <w:proofErr w:type="spellEnd"/>
      <w:r>
        <w:t xml:space="preserve"> should renew its commitment against protectionism and in favour of freer markets. Each country should renew its resolve to undo any protectionist measures put in place since the [Global Financial] Crisis. Better still, each country should commit to open up trade through unilateral, </w:t>
      </w:r>
      <w:proofErr w:type="spellStart"/>
      <w:r>
        <w:t>bi-lateral</w:t>
      </w:r>
      <w:proofErr w:type="spellEnd"/>
      <w:r>
        <w:t xml:space="preserve">, </w:t>
      </w:r>
      <w:proofErr w:type="spellStart"/>
      <w:r>
        <w:t>plurilateral</w:t>
      </w:r>
      <w:proofErr w:type="spellEnd"/>
      <w:r>
        <w:t xml:space="preserve"> and </w:t>
      </w:r>
      <w:proofErr w:type="spellStart"/>
      <w:r>
        <w:t>multi-lateral</w:t>
      </w:r>
      <w:proofErr w:type="spellEnd"/>
      <w:r>
        <w:t xml:space="preserve"> actions and through domestic reforms to help businesses engage more fully in global commerce. As a trading nation, Australia will make the most of its </w:t>
      </w:r>
      <w:proofErr w:type="spellStart"/>
      <w:r>
        <w:t>G20</w:t>
      </w:r>
      <w:proofErr w:type="spellEnd"/>
      <w:r>
        <w:t xml:space="preserve"> presidency to promote free trade (Abbott </w:t>
      </w:r>
      <w:proofErr w:type="spellStart"/>
      <w:r>
        <w:t>2014</w:t>
      </w:r>
      <w:r w:rsidR="00731D8F">
        <w:t>a</w:t>
      </w:r>
      <w:proofErr w:type="spellEnd"/>
      <w:r>
        <w:t>, p. 4).</w:t>
      </w:r>
    </w:p>
    <w:p w:rsidR="005A508B" w:rsidRPr="005A508B" w:rsidRDefault="005A508B" w:rsidP="005A508B">
      <w:pPr>
        <w:pStyle w:val="BodyText"/>
      </w:pPr>
      <w:r>
        <w:t xml:space="preserve">Australia will host a </w:t>
      </w:r>
      <w:proofErr w:type="spellStart"/>
      <w:r>
        <w:t>G20</w:t>
      </w:r>
      <w:proofErr w:type="spellEnd"/>
      <w:r>
        <w:t xml:space="preserve"> Trade Ministers meeting on 19 July 2014 to discuss actions </w:t>
      </w:r>
      <w:proofErr w:type="spellStart"/>
      <w:r>
        <w:t>G20</w:t>
      </w:r>
      <w:proofErr w:type="spellEnd"/>
      <w:r>
        <w:t xml:space="preserve"> members can adopt to reduce barriers to global trade.</w:t>
      </w:r>
    </w:p>
    <w:p w:rsidR="00C43BC7" w:rsidRDefault="009B6FEA" w:rsidP="007D5F0F">
      <w:pPr>
        <w:pStyle w:val="Heading3"/>
      </w:pPr>
      <w:r>
        <w:t>Asia-</w:t>
      </w:r>
      <w:r w:rsidR="00C43BC7">
        <w:t xml:space="preserve">Pacific </w:t>
      </w:r>
      <w:r w:rsidR="00C43BC7" w:rsidRPr="007D5F0F">
        <w:t>Economic</w:t>
      </w:r>
      <w:r w:rsidR="00C43BC7">
        <w:t xml:space="preserve"> Cooperation</w:t>
      </w:r>
    </w:p>
    <w:p w:rsidR="00C43BC7" w:rsidRDefault="00FD49BA" w:rsidP="00BB1689">
      <w:pPr>
        <w:pStyle w:val="BodyText"/>
      </w:pPr>
      <w:r>
        <w:t xml:space="preserve">Established in 1989, APEC has become an important non-binding forum for </w:t>
      </w:r>
      <w:r w:rsidR="00AA3EA1">
        <w:t xml:space="preserve">encouraging </w:t>
      </w:r>
      <w:r w:rsidR="00044765">
        <w:t xml:space="preserve">greater economic integration in the region through </w:t>
      </w:r>
      <w:r w:rsidR="000F22BF">
        <w:t>the promotion of</w:t>
      </w:r>
      <w:r w:rsidR="00AA3EA1">
        <w:t xml:space="preserve"> </w:t>
      </w:r>
      <w:r w:rsidR="00044765">
        <w:t xml:space="preserve">unilateral reform and facilitating </w:t>
      </w:r>
      <w:r w:rsidR="000E4846">
        <w:t xml:space="preserve">collaboration between </w:t>
      </w:r>
      <w:r w:rsidR="00E07AF0">
        <w:t xml:space="preserve">government </w:t>
      </w:r>
      <w:r w:rsidR="000E4846">
        <w:t>officials</w:t>
      </w:r>
      <w:r w:rsidR="00E07AF0">
        <w:t xml:space="preserve">, business and academics in support of open and transparent markets and </w:t>
      </w:r>
      <w:r w:rsidR="005A508B">
        <w:t xml:space="preserve">economic </w:t>
      </w:r>
      <w:r w:rsidR="00E07AF0">
        <w:t xml:space="preserve">growth. The annual </w:t>
      </w:r>
      <w:r w:rsidR="0016021C">
        <w:t xml:space="preserve">APEC </w:t>
      </w:r>
      <w:r w:rsidR="00E07AF0">
        <w:t xml:space="preserve">Leaders’ meeting </w:t>
      </w:r>
      <w:r w:rsidR="00AA3EA1">
        <w:t xml:space="preserve">provides strategic direction to APEC’s work program </w:t>
      </w:r>
      <w:r w:rsidR="00880968">
        <w:t xml:space="preserve">and is complemented </w:t>
      </w:r>
      <w:r w:rsidR="00514558">
        <w:t xml:space="preserve">by ministerial meetings on </w:t>
      </w:r>
      <w:r w:rsidR="00A90EE3">
        <w:t>topics</w:t>
      </w:r>
      <w:r w:rsidR="00880968">
        <w:t xml:space="preserve"> including trade</w:t>
      </w:r>
      <w:r w:rsidR="00514558">
        <w:t xml:space="preserve">, food security, </w:t>
      </w:r>
      <w:r w:rsidR="00A90EE3">
        <w:t xml:space="preserve">energy, </w:t>
      </w:r>
      <w:r w:rsidR="00514558">
        <w:t>telecommunications</w:t>
      </w:r>
      <w:r w:rsidR="00A90EE3">
        <w:t xml:space="preserve"> and small and medium enterprises</w:t>
      </w:r>
      <w:r w:rsidR="0036321C">
        <w:t>.</w:t>
      </w:r>
    </w:p>
    <w:p w:rsidR="004D6870" w:rsidRDefault="004D6870" w:rsidP="00BB1689">
      <w:pPr>
        <w:pStyle w:val="BodyText"/>
      </w:pPr>
      <w:r>
        <w:lastRenderedPageBreak/>
        <w:t>China is hosting APEC in 2014. At the APEC Trade Minister</w:t>
      </w:r>
      <w:r w:rsidR="009509FE">
        <w:t>s</w:t>
      </w:r>
      <w:r>
        <w:t>’ meeting in Qingdao in May</w:t>
      </w:r>
      <w:r w:rsidR="005A508B">
        <w:t> </w:t>
      </w:r>
      <w:r>
        <w:t xml:space="preserve">2014, Ministers agreed </w:t>
      </w:r>
      <w:r w:rsidR="008E3E50">
        <w:t>to take steps toward APEC’s goal of a Free Trade Area of the Asia-Pacific (</w:t>
      </w:r>
      <w:proofErr w:type="spellStart"/>
      <w:r w:rsidR="008E3E50">
        <w:t>FTAAP</w:t>
      </w:r>
      <w:proofErr w:type="spellEnd"/>
      <w:r w:rsidR="008E3E50">
        <w:t xml:space="preserve">). This included enhanced information sharing on </w:t>
      </w:r>
      <w:r w:rsidR="00084EE5">
        <w:t xml:space="preserve">preferential trade agreements, capacity building for trade agreement negotiators and analysis toward a </w:t>
      </w:r>
      <w:proofErr w:type="spellStart"/>
      <w:r w:rsidR="00084EE5">
        <w:t>FTAAP</w:t>
      </w:r>
      <w:proofErr w:type="spellEnd"/>
      <w:r w:rsidR="00084EE5">
        <w:t>. Trade Ministers also agreed to a strategic blueprint on strengthening cooperation</w:t>
      </w:r>
      <w:r w:rsidR="00D703F0">
        <w:t xml:space="preserve"> among APEC members on issues including</w:t>
      </w:r>
      <w:r w:rsidR="00084EE5">
        <w:t xml:space="preserve"> </w:t>
      </w:r>
      <w:r w:rsidR="009C5A1C">
        <w:t xml:space="preserve">global value chains and </w:t>
      </w:r>
      <w:r w:rsidR="00084EE5">
        <w:t>trade facilitation,</w:t>
      </w:r>
      <w:r w:rsidR="004265A6">
        <w:t xml:space="preserve"> investment climates</w:t>
      </w:r>
      <w:r w:rsidR="00084EE5">
        <w:t xml:space="preserve">, </w:t>
      </w:r>
      <w:r w:rsidR="0036321C">
        <w:t>small and medium enterprises</w:t>
      </w:r>
      <w:r w:rsidR="00084EE5">
        <w:t>, services</w:t>
      </w:r>
      <w:r w:rsidR="002F4B9C">
        <w:t>,</w:t>
      </w:r>
      <w:r w:rsidR="00084EE5">
        <w:t xml:space="preserve"> and disaster resil</w:t>
      </w:r>
      <w:r w:rsidR="002C2B44">
        <w:t>i</w:t>
      </w:r>
      <w:r w:rsidR="00084EE5">
        <w:t>ence.</w:t>
      </w:r>
    </w:p>
    <w:p w:rsidR="002C2B44" w:rsidRPr="00BB1689" w:rsidRDefault="002C2B44" w:rsidP="00BB1689">
      <w:pPr>
        <w:pStyle w:val="BodyText"/>
        <w:rPr>
          <w:caps/>
        </w:rPr>
      </w:pPr>
      <w:r>
        <w:t xml:space="preserve">Trade Ministers in Qingdao also issued a statement of support for the multilateral trading system. This included </w:t>
      </w:r>
      <w:r w:rsidR="009C5A1C">
        <w:t>support</w:t>
      </w:r>
      <w:r>
        <w:t xml:space="preserve"> for early and effective implementation</w:t>
      </w:r>
      <w:r w:rsidR="0033289F">
        <w:t xml:space="preserve"> of the WTO A</w:t>
      </w:r>
      <w:r w:rsidR="00AA577C">
        <w:t>greement on Trade F</w:t>
      </w:r>
      <w:r>
        <w:t>acil</w:t>
      </w:r>
      <w:r w:rsidR="00AA577C">
        <w:t>it</w:t>
      </w:r>
      <w:r>
        <w:t>ation (box</w:t>
      </w:r>
      <w:r w:rsidR="005A508B">
        <w:t> </w:t>
      </w:r>
      <w:r>
        <w:t>6.1)</w:t>
      </w:r>
      <w:r w:rsidR="0033289F">
        <w:t xml:space="preserve">, an extension of the current ‘standstill’ agreement on protectionism from 2016 to 2018 </w:t>
      </w:r>
      <w:r w:rsidR="005A508B">
        <w:t>as well as</w:t>
      </w:r>
      <w:r w:rsidR="0033289F">
        <w:t xml:space="preserve"> </w:t>
      </w:r>
      <w:r w:rsidR="009C5A1C">
        <w:t xml:space="preserve">the </w:t>
      </w:r>
      <w:r w:rsidR="0033289F">
        <w:t>advance</w:t>
      </w:r>
      <w:r w:rsidR="009C5A1C">
        <w:t>ment of</w:t>
      </w:r>
      <w:r w:rsidR="0033289F">
        <w:t xml:space="preserve"> negotiations on liberalisation of environmental goods and expansion of the </w:t>
      </w:r>
      <w:r w:rsidR="007C2DA2">
        <w:t xml:space="preserve">WTO </w:t>
      </w:r>
      <w:r w:rsidR="0033289F">
        <w:t>Information Technology Agreement.</w:t>
      </w:r>
      <w:r w:rsidR="00B27A3F">
        <w:t xml:space="preserve"> The APEC Ministers’ meeting (Trade and Fo</w:t>
      </w:r>
      <w:r w:rsidR="00D21094">
        <w:t>r</w:t>
      </w:r>
      <w:r w:rsidR="00B27A3F">
        <w:t xml:space="preserve">eign Ministers) will be held on 7-8 November 2014 in Beijing and the Leaders’ meeting on 10-11 November </w:t>
      </w:r>
      <w:r w:rsidR="001B6DCF">
        <w:t xml:space="preserve">2014 </w:t>
      </w:r>
      <w:r w:rsidR="00B27A3F">
        <w:t>also in Beijing.</w:t>
      </w:r>
    </w:p>
    <w:p w:rsidR="001C2547" w:rsidRDefault="001C2547" w:rsidP="00BB1689">
      <w:pPr>
        <w:pStyle w:val="Heading3"/>
      </w:pPr>
      <w:r>
        <w:t xml:space="preserve">Other </w:t>
      </w:r>
      <w:proofErr w:type="spellStart"/>
      <w:r w:rsidR="0019670D">
        <w:t>plurilateral</w:t>
      </w:r>
      <w:proofErr w:type="spellEnd"/>
      <w:r w:rsidR="0019670D">
        <w:t xml:space="preserve"> </w:t>
      </w:r>
      <w:r>
        <w:t>negotiations</w:t>
      </w:r>
    </w:p>
    <w:p w:rsidR="00E97B69" w:rsidRDefault="00D02B28" w:rsidP="00BB1689">
      <w:pPr>
        <w:pStyle w:val="BodyText"/>
        <w:rPr>
          <w:lang w:val="en"/>
        </w:rPr>
      </w:pPr>
      <w:r>
        <w:rPr>
          <w:lang w:val="en"/>
        </w:rPr>
        <w:t xml:space="preserve">In addition to discussions </w:t>
      </w:r>
      <w:r w:rsidR="00547900">
        <w:rPr>
          <w:lang w:val="en"/>
        </w:rPr>
        <w:t>within</w:t>
      </w:r>
      <w:r w:rsidR="00792437">
        <w:rPr>
          <w:lang w:val="en"/>
        </w:rPr>
        <w:t xml:space="preserve"> the APEC forum</w:t>
      </w:r>
      <w:r>
        <w:rPr>
          <w:lang w:val="en"/>
        </w:rPr>
        <w:t xml:space="preserve">, </w:t>
      </w:r>
      <w:r w:rsidR="001C2547">
        <w:rPr>
          <w:lang w:val="en"/>
        </w:rPr>
        <w:t xml:space="preserve">Australia participated </w:t>
      </w:r>
      <w:r w:rsidR="009B6BA1">
        <w:rPr>
          <w:lang w:val="en"/>
        </w:rPr>
        <w:t xml:space="preserve">in </w:t>
      </w:r>
      <w:r w:rsidR="0012505E">
        <w:rPr>
          <w:lang w:val="en"/>
        </w:rPr>
        <w:t xml:space="preserve">WTO </w:t>
      </w:r>
      <w:r w:rsidR="001C2547">
        <w:rPr>
          <w:lang w:val="en"/>
        </w:rPr>
        <w:t xml:space="preserve">negotiations </w:t>
      </w:r>
      <w:r w:rsidR="00A47E42">
        <w:rPr>
          <w:lang w:val="en"/>
        </w:rPr>
        <w:t xml:space="preserve">related to </w:t>
      </w:r>
      <w:r w:rsidR="007D1B8D">
        <w:rPr>
          <w:lang w:val="en"/>
        </w:rPr>
        <w:t xml:space="preserve">three </w:t>
      </w:r>
      <w:proofErr w:type="spellStart"/>
      <w:r w:rsidR="005E3D1C">
        <w:rPr>
          <w:lang w:val="en"/>
        </w:rPr>
        <w:t>plurilateral</w:t>
      </w:r>
      <w:proofErr w:type="spellEnd"/>
      <w:r w:rsidR="0012505E">
        <w:rPr>
          <w:lang w:val="en"/>
        </w:rPr>
        <w:t xml:space="preserve"> agreements</w:t>
      </w:r>
      <w:r w:rsidR="009B6BA1">
        <w:rPr>
          <w:lang w:val="en"/>
        </w:rPr>
        <w:t xml:space="preserve"> </w:t>
      </w:r>
      <w:r w:rsidR="0035659B">
        <w:rPr>
          <w:lang w:val="en"/>
        </w:rPr>
        <w:t>over</w:t>
      </w:r>
      <w:r w:rsidR="009B6BA1">
        <w:rPr>
          <w:lang w:val="en"/>
        </w:rPr>
        <w:t xml:space="preserve"> the </w:t>
      </w:r>
      <w:r w:rsidR="0035659B">
        <w:rPr>
          <w:lang w:val="en"/>
        </w:rPr>
        <w:t xml:space="preserve">past </w:t>
      </w:r>
      <w:r w:rsidR="009B6BA1">
        <w:rPr>
          <w:lang w:val="en"/>
        </w:rPr>
        <w:t>year.</w:t>
      </w:r>
      <w:r w:rsidR="00596D62">
        <w:rPr>
          <w:lang w:val="en"/>
        </w:rPr>
        <w:t xml:space="preserve"> Specifically, </w:t>
      </w:r>
      <w:r w:rsidR="00F21B1E">
        <w:rPr>
          <w:lang w:val="en"/>
        </w:rPr>
        <w:t>Australia’s trade minister announced in January</w:t>
      </w:r>
      <w:r w:rsidR="00E544FE">
        <w:rPr>
          <w:lang w:val="en"/>
        </w:rPr>
        <w:t> </w:t>
      </w:r>
      <w:r w:rsidR="00F21B1E">
        <w:rPr>
          <w:lang w:val="en"/>
        </w:rPr>
        <w:t xml:space="preserve">2014 that </w:t>
      </w:r>
      <w:r w:rsidR="00406E65">
        <w:rPr>
          <w:lang w:val="en"/>
        </w:rPr>
        <w:t>Australia</w:t>
      </w:r>
      <w:r w:rsidR="00F30874">
        <w:rPr>
          <w:lang w:val="en"/>
        </w:rPr>
        <w:t xml:space="preserve"> would join </w:t>
      </w:r>
      <w:r w:rsidR="007617B3">
        <w:rPr>
          <w:lang w:val="en"/>
        </w:rPr>
        <w:t xml:space="preserve">13 other WTO members to negotiate a </w:t>
      </w:r>
      <w:proofErr w:type="spellStart"/>
      <w:r w:rsidR="007617B3">
        <w:rPr>
          <w:lang w:val="en"/>
        </w:rPr>
        <w:t>plurilateral</w:t>
      </w:r>
      <w:proofErr w:type="spellEnd"/>
      <w:r w:rsidR="007617B3">
        <w:rPr>
          <w:lang w:val="en"/>
        </w:rPr>
        <w:t xml:space="preserve"> agreement </w:t>
      </w:r>
      <w:r w:rsidR="00406E65">
        <w:rPr>
          <w:lang w:val="en"/>
        </w:rPr>
        <w:t>to remove</w:t>
      </w:r>
      <w:r w:rsidR="007617B3">
        <w:rPr>
          <w:lang w:val="en"/>
        </w:rPr>
        <w:t xml:space="preserve"> tariffs on a range of environmental goods</w:t>
      </w:r>
      <w:r w:rsidR="003E11F7">
        <w:rPr>
          <w:lang w:val="en"/>
        </w:rPr>
        <w:t xml:space="preserve">. Negotiations will initially focus on </w:t>
      </w:r>
      <w:r w:rsidR="00AF0851">
        <w:rPr>
          <w:lang w:val="en"/>
        </w:rPr>
        <w:t>the lis</w:t>
      </w:r>
      <w:r w:rsidR="003E11F7">
        <w:rPr>
          <w:lang w:val="en"/>
        </w:rPr>
        <w:t xml:space="preserve">t of environmental goods agreed by APEC leaders in 2012 </w:t>
      </w:r>
      <w:r w:rsidR="00C459DF">
        <w:rPr>
          <w:lang w:val="en"/>
        </w:rPr>
        <w:t>(</w:t>
      </w:r>
      <w:proofErr w:type="spellStart"/>
      <w:r w:rsidR="001A4947">
        <w:rPr>
          <w:lang w:val="en"/>
        </w:rPr>
        <w:t>DFAT</w:t>
      </w:r>
      <w:proofErr w:type="spellEnd"/>
      <w:r w:rsidR="00E544FE">
        <w:rPr>
          <w:lang w:val="en"/>
        </w:rPr>
        <w:t> </w:t>
      </w:r>
      <w:proofErr w:type="spellStart"/>
      <w:r w:rsidR="001A4947">
        <w:rPr>
          <w:lang w:val="en"/>
        </w:rPr>
        <w:t>2014g</w:t>
      </w:r>
      <w:proofErr w:type="spellEnd"/>
      <w:r w:rsidR="001A4947">
        <w:rPr>
          <w:lang w:val="en"/>
        </w:rPr>
        <w:t>).</w:t>
      </w:r>
      <w:r w:rsidR="00AF0851">
        <w:rPr>
          <w:lang w:val="en"/>
        </w:rPr>
        <w:t xml:space="preserve"> </w:t>
      </w:r>
    </w:p>
    <w:p w:rsidR="001C2547" w:rsidRPr="00BB1689" w:rsidRDefault="000A3B4B" w:rsidP="00BB1689">
      <w:pPr>
        <w:pStyle w:val="BodyText"/>
        <w:rPr>
          <w:lang w:val="en"/>
        </w:rPr>
      </w:pPr>
      <w:r>
        <w:rPr>
          <w:lang w:val="en"/>
        </w:rPr>
        <w:t>Negotiations to</w:t>
      </w:r>
      <w:r w:rsidR="00AF0851">
        <w:rPr>
          <w:lang w:val="en"/>
        </w:rPr>
        <w:t xml:space="preserve"> review the WTO</w:t>
      </w:r>
      <w:r w:rsidR="007E0DD3">
        <w:rPr>
          <w:lang w:val="en"/>
        </w:rPr>
        <w:t>’</w:t>
      </w:r>
      <w:r w:rsidR="00AF0851">
        <w:rPr>
          <w:lang w:val="en"/>
        </w:rPr>
        <w:t xml:space="preserve">s Information Technology Agreement </w:t>
      </w:r>
      <w:r>
        <w:rPr>
          <w:lang w:val="en"/>
        </w:rPr>
        <w:t>(</w:t>
      </w:r>
      <w:r w:rsidR="005669FF">
        <w:rPr>
          <w:lang w:val="en"/>
        </w:rPr>
        <w:t xml:space="preserve">which </w:t>
      </w:r>
      <w:r>
        <w:rPr>
          <w:lang w:val="en"/>
        </w:rPr>
        <w:t xml:space="preserve">entered into force in 1997) with the </w:t>
      </w:r>
      <w:r w:rsidR="005669FF">
        <w:rPr>
          <w:lang w:val="en"/>
        </w:rPr>
        <w:t xml:space="preserve">aims </w:t>
      </w:r>
      <w:r>
        <w:rPr>
          <w:lang w:val="en"/>
        </w:rPr>
        <w:t>of</w:t>
      </w:r>
      <w:r w:rsidR="005669FF">
        <w:rPr>
          <w:lang w:val="en"/>
        </w:rPr>
        <w:t xml:space="preserve"> expand</w:t>
      </w:r>
      <w:r w:rsidR="00C25E35">
        <w:rPr>
          <w:lang w:val="en"/>
        </w:rPr>
        <w:t>ing</w:t>
      </w:r>
      <w:r w:rsidR="005669FF">
        <w:rPr>
          <w:lang w:val="en"/>
        </w:rPr>
        <w:t xml:space="preserve"> the number of products </w:t>
      </w:r>
      <w:r w:rsidR="003C1207">
        <w:rPr>
          <w:lang w:val="en"/>
        </w:rPr>
        <w:t>covered by</w:t>
      </w:r>
      <w:r w:rsidR="005669FF">
        <w:rPr>
          <w:lang w:val="en"/>
        </w:rPr>
        <w:t xml:space="preserve"> commitments to eliminate tariffs</w:t>
      </w:r>
      <w:r w:rsidR="004E663F">
        <w:rPr>
          <w:lang w:val="en"/>
        </w:rPr>
        <w:t>,</w:t>
      </w:r>
      <w:r>
        <w:rPr>
          <w:lang w:val="en"/>
        </w:rPr>
        <w:t xml:space="preserve"> increase country membership </w:t>
      </w:r>
      <w:r w:rsidR="00433303">
        <w:rPr>
          <w:lang w:val="en"/>
        </w:rPr>
        <w:t xml:space="preserve">(from the current 75 </w:t>
      </w:r>
      <w:r w:rsidR="0076248C">
        <w:rPr>
          <w:lang w:val="en"/>
        </w:rPr>
        <w:t xml:space="preserve">signatories </w:t>
      </w:r>
      <w:r w:rsidR="00433303">
        <w:rPr>
          <w:lang w:val="en"/>
        </w:rPr>
        <w:t xml:space="preserve">to 79) </w:t>
      </w:r>
      <w:r>
        <w:rPr>
          <w:lang w:val="en"/>
        </w:rPr>
        <w:t xml:space="preserve">and develop non-binding principles for non-tariff barriers </w:t>
      </w:r>
      <w:r w:rsidR="0076248C">
        <w:rPr>
          <w:lang w:val="en"/>
        </w:rPr>
        <w:t xml:space="preserve">such as international standards, registration requirements and transparency of regulatory measures </w:t>
      </w:r>
      <w:r w:rsidR="005669FF">
        <w:rPr>
          <w:lang w:val="en"/>
        </w:rPr>
        <w:t>also commenced during the year</w:t>
      </w:r>
      <w:r w:rsidR="00717D71">
        <w:rPr>
          <w:lang w:val="en"/>
        </w:rPr>
        <w:t xml:space="preserve"> (</w:t>
      </w:r>
      <w:proofErr w:type="spellStart"/>
      <w:r w:rsidR="00717D71">
        <w:rPr>
          <w:lang w:val="en"/>
        </w:rPr>
        <w:t>DFAT</w:t>
      </w:r>
      <w:proofErr w:type="spellEnd"/>
      <w:r w:rsidR="00E544FE">
        <w:rPr>
          <w:lang w:val="en"/>
        </w:rPr>
        <w:t> </w:t>
      </w:r>
      <w:proofErr w:type="spellStart"/>
      <w:r w:rsidR="00717D71">
        <w:rPr>
          <w:lang w:val="en"/>
        </w:rPr>
        <w:t>2014h</w:t>
      </w:r>
      <w:proofErr w:type="spellEnd"/>
      <w:r w:rsidR="00717D71">
        <w:rPr>
          <w:lang w:val="en"/>
        </w:rPr>
        <w:t>).</w:t>
      </w:r>
      <w:r w:rsidR="00123E60">
        <w:rPr>
          <w:lang w:val="en"/>
        </w:rPr>
        <w:t xml:space="preserve"> Australia is also jointly leading (with the United States and the European Union) negotiations on a </w:t>
      </w:r>
      <w:r w:rsidR="00E17AF8">
        <w:rPr>
          <w:lang w:val="en"/>
        </w:rPr>
        <w:t>Trade in S</w:t>
      </w:r>
      <w:r w:rsidR="00123E60">
        <w:rPr>
          <w:lang w:val="en"/>
        </w:rPr>
        <w:t>ervices</w:t>
      </w:r>
      <w:r w:rsidR="00E17AF8">
        <w:rPr>
          <w:lang w:val="en"/>
        </w:rPr>
        <w:t xml:space="preserve"> A</w:t>
      </w:r>
      <w:r w:rsidR="00123E60">
        <w:rPr>
          <w:lang w:val="en"/>
        </w:rPr>
        <w:t>greement (TISA).</w:t>
      </w:r>
      <w:r w:rsidR="008F3A45">
        <w:rPr>
          <w:lang w:val="en"/>
        </w:rPr>
        <w:t xml:space="preserve"> Negotiations began in early 2013</w:t>
      </w:r>
      <w:r w:rsidR="009D4D39">
        <w:rPr>
          <w:lang w:val="en"/>
        </w:rPr>
        <w:t xml:space="preserve"> with the latest round chaired by Australia between 28</w:t>
      </w:r>
      <w:r w:rsidR="00E544FE">
        <w:rPr>
          <w:lang w:val="en"/>
        </w:rPr>
        <w:t> </w:t>
      </w:r>
      <w:r w:rsidR="009D4D39">
        <w:rPr>
          <w:lang w:val="en"/>
        </w:rPr>
        <w:t>April and 2</w:t>
      </w:r>
      <w:r w:rsidR="00E544FE">
        <w:rPr>
          <w:lang w:val="en"/>
        </w:rPr>
        <w:t> </w:t>
      </w:r>
      <w:r w:rsidR="009D4D39">
        <w:rPr>
          <w:lang w:val="en"/>
        </w:rPr>
        <w:t>May 2014.</w:t>
      </w:r>
      <w:r w:rsidR="005A7453">
        <w:rPr>
          <w:lang w:val="en"/>
        </w:rPr>
        <w:t xml:space="preserve"> Negotiation topics included market access, new and enhanced disciplines for financial services, domestic regulation and transparency, e-commerce and </w:t>
      </w:r>
      <w:r w:rsidR="00AD0277">
        <w:rPr>
          <w:lang w:val="en"/>
        </w:rPr>
        <w:t>telecommunications</w:t>
      </w:r>
      <w:r w:rsidR="005A7453">
        <w:rPr>
          <w:lang w:val="en"/>
        </w:rPr>
        <w:t>, air and maritime transport (</w:t>
      </w:r>
      <w:proofErr w:type="spellStart"/>
      <w:r w:rsidR="005A7453">
        <w:rPr>
          <w:lang w:val="en"/>
        </w:rPr>
        <w:t>DFAT</w:t>
      </w:r>
      <w:proofErr w:type="spellEnd"/>
      <w:r w:rsidR="00E544FE">
        <w:rPr>
          <w:lang w:val="en"/>
        </w:rPr>
        <w:t> </w:t>
      </w:r>
      <w:proofErr w:type="spellStart"/>
      <w:r w:rsidR="005A7453">
        <w:rPr>
          <w:lang w:val="en"/>
        </w:rPr>
        <w:t>2014i</w:t>
      </w:r>
      <w:proofErr w:type="spellEnd"/>
      <w:r w:rsidR="005A7453">
        <w:rPr>
          <w:lang w:val="en"/>
        </w:rPr>
        <w:t>)</w:t>
      </w:r>
      <w:r w:rsidR="00136DA9">
        <w:rPr>
          <w:lang w:val="en"/>
        </w:rPr>
        <w:t>.</w:t>
      </w:r>
    </w:p>
    <w:p w:rsidR="008E01C2" w:rsidRPr="009E64BA" w:rsidRDefault="000B5158" w:rsidP="009E64BA">
      <w:pPr>
        <w:pStyle w:val="Heading2"/>
      </w:pPr>
      <w:r w:rsidRPr="009E64BA">
        <w:lastRenderedPageBreak/>
        <w:t>6.</w:t>
      </w:r>
      <w:r w:rsidR="00CE0B5E">
        <w:rPr>
          <w:noProof/>
        </w:rPr>
        <w:t>2</w:t>
      </w:r>
      <w:r w:rsidR="000F74BA" w:rsidRPr="009E64BA">
        <w:tab/>
      </w:r>
      <w:r w:rsidR="00366544" w:rsidRPr="009E64BA">
        <w:t xml:space="preserve">Preferential </w:t>
      </w:r>
      <w:r w:rsidR="00DA0D5F" w:rsidRPr="009E64BA">
        <w:t xml:space="preserve">trade </w:t>
      </w:r>
      <w:r w:rsidR="00366544" w:rsidRPr="009E64BA">
        <w:t>agreements</w:t>
      </w:r>
    </w:p>
    <w:p w:rsidR="00C954D1" w:rsidRPr="008045FF" w:rsidRDefault="00972600" w:rsidP="003D16C7">
      <w:pPr>
        <w:pStyle w:val="BodyText"/>
      </w:pPr>
      <w:r>
        <w:t>In the Asia</w:t>
      </w:r>
      <w:r w:rsidR="00B4480A">
        <w:t>–Pacific region, the number of preferential trade</w:t>
      </w:r>
      <w:r w:rsidR="001F7434">
        <w:t xml:space="preserve"> agreements </w:t>
      </w:r>
      <w:r w:rsidR="0044379E">
        <w:t>has increased substantially over the last two decades or so.</w:t>
      </w:r>
      <w:r w:rsidR="00B2035A">
        <w:t xml:space="preserve"> In 1990, there were only five </w:t>
      </w:r>
      <w:r w:rsidR="001B5070">
        <w:t>prefe</w:t>
      </w:r>
      <w:r w:rsidR="007A7DED">
        <w:t>re</w:t>
      </w:r>
      <w:r w:rsidR="001B5070">
        <w:t xml:space="preserve">ntial </w:t>
      </w:r>
      <w:r w:rsidR="00B2035A">
        <w:t xml:space="preserve">agreements in force in the region, accounting for around </w:t>
      </w:r>
      <w:r w:rsidR="00DA0D5F">
        <w:t>20 </w:t>
      </w:r>
      <w:r w:rsidR="00B2035A">
        <w:t xml:space="preserve">per cent of </w:t>
      </w:r>
      <w:r w:rsidR="001B5070">
        <w:t xml:space="preserve">all trade </w:t>
      </w:r>
      <w:r w:rsidR="00B2035A">
        <w:t xml:space="preserve">agreements </w:t>
      </w:r>
      <w:r w:rsidR="00274334">
        <w:t>across the globe</w:t>
      </w:r>
      <w:r w:rsidR="00A21F4E">
        <w:t xml:space="preserve">. By 2000, 20 agreements were in force in the Asia-Pacific </w:t>
      </w:r>
      <w:r w:rsidR="008048D6">
        <w:t xml:space="preserve">including </w:t>
      </w:r>
      <w:r w:rsidR="00DB2E9E">
        <w:t>regional agreements such as the N</w:t>
      </w:r>
      <w:r w:rsidR="00001471">
        <w:t xml:space="preserve">orth </w:t>
      </w:r>
      <w:r w:rsidR="00DB2E9E">
        <w:t>A</w:t>
      </w:r>
      <w:r w:rsidR="00001471">
        <w:t xml:space="preserve">merican </w:t>
      </w:r>
      <w:r w:rsidR="00DB2E9E">
        <w:t>F</w:t>
      </w:r>
      <w:r w:rsidR="00001471">
        <w:t xml:space="preserve">ree </w:t>
      </w:r>
      <w:r w:rsidR="00DB2E9E">
        <w:t>T</w:t>
      </w:r>
      <w:r w:rsidR="00001471">
        <w:t xml:space="preserve">rade </w:t>
      </w:r>
      <w:r w:rsidR="00DB2E9E">
        <w:t>A</w:t>
      </w:r>
      <w:r w:rsidR="00063F11">
        <w:t>gre</w:t>
      </w:r>
      <w:r w:rsidR="00001471">
        <w:t>ement</w:t>
      </w:r>
      <w:r w:rsidR="00DB2E9E">
        <w:t xml:space="preserve"> and A</w:t>
      </w:r>
      <w:r w:rsidR="00063F11">
        <w:t xml:space="preserve">ssociation of South East Asian </w:t>
      </w:r>
      <w:r w:rsidR="0016327F">
        <w:t>N</w:t>
      </w:r>
      <w:r w:rsidR="00063F11">
        <w:t>ations (A</w:t>
      </w:r>
      <w:r w:rsidR="00DB2E9E">
        <w:t>SEAN</w:t>
      </w:r>
      <w:r w:rsidR="00063F11">
        <w:t>)</w:t>
      </w:r>
      <w:r w:rsidR="00DB2E9E">
        <w:t xml:space="preserve"> agreements. By the end of 2013, the number of preferential trade agreements in force in the region had risen</w:t>
      </w:r>
      <w:r w:rsidR="00856800">
        <w:t xml:space="preserve"> to 15</w:t>
      </w:r>
      <w:r w:rsidR="001A3D3F">
        <w:t>7</w:t>
      </w:r>
      <w:r w:rsidR="00DB2E9E">
        <w:t xml:space="preserve">, accounting </w:t>
      </w:r>
      <w:r w:rsidR="001B6112">
        <w:t xml:space="preserve">for over </w:t>
      </w:r>
      <w:r w:rsidR="00DA0D5F">
        <w:t>40 </w:t>
      </w:r>
      <w:r w:rsidR="00DB2E9E">
        <w:t xml:space="preserve">per cent of </w:t>
      </w:r>
      <w:r w:rsidR="00C66F4E">
        <w:t xml:space="preserve">all trade </w:t>
      </w:r>
      <w:r w:rsidR="00DB2E9E">
        <w:t>agreements.</w:t>
      </w:r>
      <w:r w:rsidR="00501EB7">
        <w:t xml:space="preserve"> (</w:t>
      </w:r>
      <w:r w:rsidR="004A0B46">
        <w:t>WTO</w:t>
      </w:r>
      <w:r w:rsidR="009C5A1C">
        <w:t> </w:t>
      </w:r>
      <w:proofErr w:type="spellStart"/>
      <w:r w:rsidR="004A0B46">
        <w:t>2014</w:t>
      </w:r>
      <w:r w:rsidR="00B7281A">
        <w:t>e</w:t>
      </w:r>
      <w:proofErr w:type="spellEnd"/>
      <w:r w:rsidR="004A0B46">
        <w:t>).</w:t>
      </w:r>
    </w:p>
    <w:p w:rsidR="00C954D1" w:rsidRDefault="00C954D1" w:rsidP="003D16C7">
      <w:pPr>
        <w:pStyle w:val="Heading3"/>
      </w:pPr>
      <w:r>
        <w:t xml:space="preserve">Bilateral </w:t>
      </w:r>
      <w:r w:rsidR="00DA0D5F">
        <w:t>a</w:t>
      </w:r>
      <w:r>
        <w:t>greements</w:t>
      </w:r>
    </w:p>
    <w:p w:rsidR="00C954D1" w:rsidRDefault="00C954D1" w:rsidP="00C954D1">
      <w:pPr>
        <w:pStyle w:val="BodyText"/>
      </w:pPr>
      <w:r>
        <w:t xml:space="preserve">Over the </w:t>
      </w:r>
      <w:r w:rsidR="00B25DD3">
        <w:t>p</w:t>
      </w:r>
      <w:r>
        <w:t xml:space="preserve">ast year, Australia </w:t>
      </w:r>
      <w:r w:rsidR="00B25DD3">
        <w:t>has</w:t>
      </w:r>
      <w:r>
        <w:t xml:space="preserve"> </w:t>
      </w:r>
      <w:r w:rsidR="00D37056">
        <w:t>signed</w:t>
      </w:r>
      <w:r>
        <w:t xml:space="preserve"> a </w:t>
      </w:r>
      <w:r w:rsidR="004A5ED7">
        <w:t>bilateral</w:t>
      </w:r>
      <w:r>
        <w:t xml:space="preserve"> trade agreement with Korea</w:t>
      </w:r>
      <w:r w:rsidR="00A00454">
        <w:t xml:space="preserve"> and</w:t>
      </w:r>
      <w:r w:rsidR="007C7B7F">
        <w:t xml:space="preserve"> concluded </w:t>
      </w:r>
      <w:r w:rsidR="00D37056">
        <w:t xml:space="preserve">negotiations on an </w:t>
      </w:r>
      <w:r w:rsidR="007C7B7F">
        <w:t>economic partnership agreement with Japan</w:t>
      </w:r>
      <w:r>
        <w:t xml:space="preserve">. </w:t>
      </w:r>
      <w:r w:rsidR="00A00454">
        <w:t xml:space="preserve">Australia also has trade agreements </w:t>
      </w:r>
      <w:r w:rsidR="00D37056">
        <w:t xml:space="preserve">currently in force </w:t>
      </w:r>
      <w:r w:rsidR="00A00454">
        <w:t xml:space="preserve">with </w:t>
      </w:r>
      <w:r w:rsidR="00875054">
        <w:t>New Zealand (</w:t>
      </w:r>
      <w:r w:rsidR="00D37056">
        <w:t>in force since</w:t>
      </w:r>
      <w:r w:rsidR="00A00454">
        <w:t xml:space="preserve"> </w:t>
      </w:r>
      <w:r w:rsidR="00875054">
        <w:t>1983), Singapore (2003), Thailand (2005), the United States (2005), Chile (2009)</w:t>
      </w:r>
      <w:r w:rsidR="00325EA2">
        <w:t>,</w:t>
      </w:r>
      <w:r w:rsidR="00875054">
        <w:t xml:space="preserve"> ASEAN and Ne</w:t>
      </w:r>
      <w:r w:rsidR="00A00454">
        <w:t xml:space="preserve">w Zealand (2010) </w:t>
      </w:r>
      <w:r w:rsidR="00325EA2">
        <w:t>and Malaysia (2013)</w:t>
      </w:r>
      <w:r w:rsidR="00EA3F6A">
        <w:t>,</w:t>
      </w:r>
      <w:r w:rsidR="00325EA2">
        <w:t xml:space="preserve"> </w:t>
      </w:r>
      <w:r w:rsidR="00A00454">
        <w:t xml:space="preserve">and </w:t>
      </w:r>
      <w:r w:rsidR="00875054">
        <w:t xml:space="preserve">is </w:t>
      </w:r>
      <w:r w:rsidR="00D37056">
        <w:t xml:space="preserve">negotiating </w:t>
      </w:r>
      <w:r w:rsidR="00875054">
        <w:t xml:space="preserve">agreements with a number of </w:t>
      </w:r>
      <w:r w:rsidR="00A00454">
        <w:t xml:space="preserve">other </w:t>
      </w:r>
      <w:r w:rsidR="00875054">
        <w:t>countries including China, India and Indonesia.</w:t>
      </w:r>
    </w:p>
    <w:p w:rsidR="00C954D1" w:rsidRDefault="00C954D1" w:rsidP="003D16C7">
      <w:pPr>
        <w:pStyle w:val="Heading4"/>
      </w:pPr>
      <w:r>
        <w:t>Korea</w:t>
      </w:r>
    </w:p>
    <w:p w:rsidR="00C954D1" w:rsidRDefault="00C954D1" w:rsidP="00C954D1">
      <w:pPr>
        <w:pStyle w:val="BodyText"/>
      </w:pPr>
      <w:r>
        <w:t xml:space="preserve">Australia and Korea </w:t>
      </w:r>
      <w:r w:rsidR="00912434">
        <w:t>concluded neg</w:t>
      </w:r>
      <w:r w:rsidR="00EB1C2F">
        <w:t>o</w:t>
      </w:r>
      <w:r w:rsidR="00912434">
        <w:t>tiations</w:t>
      </w:r>
      <w:r>
        <w:t xml:space="preserve"> </w:t>
      </w:r>
      <w:r w:rsidR="00A42850">
        <w:t xml:space="preserve">on a </w:t>
      </w:r>
      <w:r w:rsidR="00EF071E">
        <w:t>bilateral</w:t>
      </w:r>
      <w:r>
        <w:t xml:space="preserve"> trade agreement between the two countries in </w:t>
      </w:r>
      <w:r w:rsidR="00A42850">
        <w:t xml:space="preserve">December 2013 and released the full text of the agreement in </w:t>
      </w:r>
      <w:r w:rsidR="00325EA2">
        <w:t>February </w:t>
      </w:r>
      <w:r>
        <w:t xml:space="preserve">2014. </w:t>
      </w:r>
      <w:r w:rsidR="00A42850">
        <w:t>The agreement was signed in April</w:t>
      </w:r>
      <w:r w:rsidR="00EA3F6A">
        <w:t> </w:t>
      </w:r>
      <w:r w:rsidR="00A42850">
        <w:t xml:space="preserve">2014. </w:t>
      </w:r>
      <w:r>
        <w:t>The negotiat</w:t>
      </w:r>
      <w:r w:rsidR="004759FA">
        <w:t>ed</w:t>
      </w:r>
      <w:r>
        <w:t xml:space="preserve"> text along with a national interest analysis </w:t>
      </w:r>
      <w:r w:rsidR="00634E1A">
        <w:t>was tabled in the Australian Parliament in May</w:t>
      </w:r>
      <w:r w:rsidR="00EA3F6A">
        <w:t> </w:t>
      </w:r>
      <w:r w:rsidR="00634E1A">
        <w:t xml:space="preserve">2014. The agreement </w:t>
      </w:r>
      <w:r>
        <w:t xml:space="preserve">will be </w:t>
      </w:r>
      <w:r w:rsidR="00634E1A">
        <w:t xml:space="preserve">considered </w:t>
      </w:r>
      <w:r>
        <w:t xml:space="preserve">by the Joint Standing Committee </w:t>
      </w:r>
      <w:r w:rsidR="0003599C">
        <w:t>on Treaties</w:t>
      </w:r>
      <w:r w:rsidR="009C5A1C">
        <w:t xml:space="preserve"> </w:t>
      </w:r>
      <w:r w:rsidR="00EA3F6A">
        <w:t>which</w:t>
      </w:r>
      <w:r w:rsidR="00634E1A">
        <w:t xml:space="preserve"> is expected to provide a report to the</w:t>
      </w:r>
      <w:r>
        <w:t xml:space="preserve"> Australian Parliament</w:t>
      </w:r>
      <w:r w:rsidR="00634E1A">
        <w:t xml:space="preserve"> in September</w:t>
      </w:r>
      <w:r w:rsidR="00EA3F6A">
        <w:t> </w:t>
      </w:r>
      <w:r w:rsidR="00634E1A">
        <w:t>2014</w:t>
      </w:r>
      <w:r>
        <w:t xml:space="preserve">. </w:t>
      </w:r>
      <w:r w:rsidR="009A0A54">
        <w:t xml:space="preserve">Passage of the relevant legislation </w:t>
      </w:r>
      <w:r>
        <w:t>is expected to occur toward the end of 2014 (</w:t>
      </w:r>
      <w:proofErr w:type="spellStart"/>
      <w:r>
        <w:t>DFAT</w:t>
      </w:r>
      <w:proofErr w:type="spellEnd"/>
      <w:r w:rsidR="004759FA">
        <w:t> </w:t>
      </w:r>
      <w:proofErr w:type="spellStart"/>
      <w:r>
        <w:t>2014</w:t>
      </w:r>
      <w:r w:rsidR="00BB4941">
        <w:t>d</w:t>
      </w:r>
      <w:proofErr w:type="spellEnd"/>
      <w:r>
        <w:t>, p.</w:t>
      </w:r>
      <w:r w:rsidR="004759FA">
        <w:t> </w:t>
      </w:r>
      <w:r>
        <w:t>1).</w:t>
      </w:r>
      <w:r w:rsidR="009C5A1C">
        <w:rPr>
          <w:rStyle w:val="FootnoteReference"/>
        </w:rPr>
        <w:footnoteReference w:id="2"/>
      </w:r>
      <w:r w:rsidR="00B25DD3">
        <w:t xml:space="preserve"> </w:t>
      </w:r>
    </w:p>
    <w:p w:rsidR="00C954D1" w:rsidRDefault="00C954D1" w:rsidP="00C954D1">
      <w:pPr>
        <w:pStyle w:val="BodyText"/>
      </w:pPr>
      <w:r>
        <w:t>The agreement cover</w:t>
      </w:r>
      <w:r w:rsidR="004A5ED7">
        <w:t>s</w:t>
      </w:r>
      <w:r>
        <w:t xml:space="preserve"> a range of </w:t>
      </w:r>
      <w:r w:rsidR="00892211">
        <w:t xml:space="preserve">topics </w:t>
      </w:r>
      <w:r>
        <w:t>includ</w:t>
      </w:r>
      <w:r w:rsidR="00E86FF9">
        <w:t>ing</w:t>
      </w:r>
      <w:r>
        <w:t xml:space="preserve"> </w:t>
      </w:r>
      <w:r w:rsidR="00892211">
        <w:t xml:space="preserve">(but not limited to) </w:t>
      </w:r>
      <w:r>
        <w:t xml:space="preserve">trade in goods and services, trade remedies, trade facilitation, investment, government procurement, telecommunications, financial services, movement of </w:t>
      </w:r>
      <w:r w:rsidR="00B25DD3">
        <w:t xml:space="preserve">natural </w:t>
      </w:r>
      <w:r>
        <w:t xml:space="preserve">persons, intellectual property rights, technical barriers to trade, competition policy, labour </w:t>
      </w:r>
      <w:r>
        <w:lastRenderedPageBreak/>
        <w:t>and environmental standards</w:t>
      </w:r>
      <w:r w:rsidR="0038026F">
        <w:t>,</w:t>
      </w:r>
      <w:r>
        <w:t xml:space="preserve"> and </w:t>
      </w:r>
      <w:r w:rsidR="00046AEE">
        <w:t xml:space="preserve">investor-state </w:t>
      </w:r>
      <w:r>
        <w:t xml:space="preserve">dispute </w:t>
      </w:r>
      <w:r w:rsidR="00046AEE">
        <w:t>settlement mechanisms</w:t>
      </w:r>
      <w:r w:rsidR="004A5ED7">
        <w:t xml:space="preserve"> (</w:t>
      </w:r>
      <w:r w:rsidR="003D16C7">
        <w:t>box </w:t>
      </w:r>
      <w:r w:rsidR="001F6EE1">
        <w:t>6</w:t>
      </w:r>
      <w:r>
        <w:t>.2</w:t>
      </w:r>
      <w:r w:rsidR="004A5ED7">
        <w:t>)</w:t>
      </w:r>
      <w:r>
        <w:t>.</w:t>
      </w:r>
    </w:p>
    <w:p w:rsidR="00C954D1" w:rsidRDefault="00C954D1" w:rsidP="00C954D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54D1" w:rsidTr="00FC7507">
        <w:tc>
          <w:tcPr>
            <w:tcW w:w="8771" w:type="dxa"/>
            <w:tcBorders>
              <w:top w:val="single" w:sz="6" w:space="0" w:color="auto"/>
              <w:bottom w:val="nil"/>
            </w:tcBorders>
          </w:tcPr>
          <w:p w:rsidR="00C954D1" w:rsidRDefault="00C954D1" w:rsidP="004F04A3">
            <w:pPr>
              <w:pStyle w:val="BoxTitle"/>
            </w:pPr>
            <w:r>
              <w:rPr>
                <w:b w:val="0"/>
              </w:rPr>
              <w:t xml:space="preserve">Box </w:t>
            </w:r>
            <w:r w:rsidR="000B5158">
              <w:rPr>
                <w:b w:val="0"/>
              </w:rPr>
              <w:t>6.</w:t>
            </w:r>
            <w:r w:rsidR="00CE0B5E">
              <w:rPr>
                <w:b w:val="0"/>
                <w:noProof/>
              </w:rPr>
              <w:t>2</w:t>
            </w:r>
            <w:r>
              <w:tab/>
            </w:r>
            <w:r w:rsidR="004F04A3">
              <w:t xml:space="preserve">Key features </w:t>
            </w:r>
            <w:r>
              <w:t>of the Korea</w:t>
            </w:r>
            <w:r w:rsidR="00C635CD">
              <w:t>-</w:t>
            </w:r>
            <w:r>
              <w:t xml:space="preserve">Australia </w:t>
            </w:r>
            <w:r w:rsidR="00EF01B4">
              <w:t>a</w:t>
            </w:r>
            <w:r>
              <w:t xml:space="preserve">greement </w:t>
            </w:r>
          </w:p>
        </w:tc>
      </w:tr>
      <w:tr w:rsidR="00C954D1" w:rsidTr="00FC7507">
        <w:trPr>
          <w:cantSplit/>
        </w:trPr>
        <w:tc>
          <w:tcPr>
            <w:tcW w:w="8771" w:type="dxa"/>
            <w:tcBorders>
              <w:top w:val="nil"/>
              <w:left w:val="single" w:sz="6" w:space="0" w:color="auto"/>
              <w:bottom w:val="nil"/>
              <w:right w:val="single" w:sz="6" w:space="0" w:color="auto"/>
            </w:tcBorders>
          </w:tcPr>
          <w:p w:rsidR="00C954D1" w:rsidRPr="005335BF" w:rsidRDefault="00C954D1" w:rsidP="00465C92">
            <w:pPr>
              <w:pStyle w:val="Box"/>
            </w:pPr>
            <w:r w:rsidRPr="005335BF">
              <w:rPr>
                <w:b/>
              </w:rPr>
              <w:t>Goods trade</w:t>
            </w:r>
          </w:p>
          <w:p w:rsidR="00035B6D" w:rsidRDefault="003117BA" w:rsidP="00FC7507">
            <w:pPr>
              <w:pStyle w:val="BoxListBullet"/>
            </w:pPr>
            <w:r>
              <w:t xml:space="preserve">Australia to provide </w:t>
            </w:r>
            <w:r w:rsidR="00EA7428">
              <w:t>duty</w:t>
            </w:r>
            <w:r>
              <w:t>-</w:t>
            </w:r>
            <w:r w:rsidR="00EA7428">
              <w:t xml:space="preserve">free access for </w:t>
            </w:r>
            <w:r w:rsidR="00035B6D">
              <w:t>eligible</w:t>
            </w:r>
            <w:r w:rsidR="004127D4">
              <w:t xml:space="preserve"> </w:t>
            </w:r>
            <w:r w:rsidR="00D843AB">
              <w:t xml:space="preserve">imports from </w:t>
            </w:r>
            <w:r w:rsidR="00EA7428">
              <w:t>Korea</w:t>
            </w:r>
            <w:r>
              <w:t xml:space="preserve"> </w:t>
            </w:r>
            <w:r w:rsidR="00EA7428">
              <w:t>within 8</w:t>
            </w:r>
            <w:r w:rsidR="00EF01B4">
              <w:t> </w:t>
            </w:r>
            <w:r w:rsidR="00EA7428">
              <w:t xml:space="preserve">years. </w:t>
            </w:r>
          </w:p>
          <w:p w:rsidR="0091045A" w:rsidRDefault="00D843AB" w:rsidP="00FC7507">
            <w:pPr>
              <w:pStyle w:val="BoxListBullet"/>
            </w:pPr>
            <w:r>
              <w:t xml:space="preserve">Subject to eligibility requirements, phased access to </w:t>
            </w:r>
            <w:r w:rsidR="005335BF">
              <w:t>d</w:t>
            </w:r>
            <w:r w:rsidR="00C954D1">
              <w:t>uty</w:t>
            </w:r>
            <w:r w:rsidR="0076192F">
              <w:t>-</w:t>
            </w:r>
            <w:r w:rsidR="00C954D1">
              <w:t xml:space="preserve">free entry for </w:t>
            </w:r>
            <w:r w:rsidR="005335BF">
              <w:t>99</w:t>
            </w:r>
            <w:r w:rsidR="00092C5C">
              <w:t>.8</w:t>
            </w:r>
            <w:r w:rsidR="00E311A1">
              <w:t> </w:t>
            </w:r>
            <w:r w:rsidR="00C954D1">
              <w:t xml:space="preserve">per cent of Australian exports </w:t>
            </w:r>
            <w:r w:rsidR="0076192F">
              <w:t xml:space="preserve">(by value) </w:t>
            </w:r>
            <w:r w:rsidR="00C954D1">
              <w:t xml:space="preserve">to Korea </w:t>
            </w:r>
            <w:r w:rsidR="005335BF">
              <w:t>over</w:t>
            </w:r>
            <w:r w:rsidR="0087037A">
              <w:t xml:space="preserve"> </w:t>
            </w:r>
            <w:r>
              <w:t>20 </w:t>
            </w:r>
            <w:r w:rsidR="0087037A">
              <w:t>years</w:t>
            </w:r>
            <w:r w:rsidR="0076192F">
              <w:t xml:space="preserve"> with </w:t>
            </w:r>
            <w:r>
              <w:t xml:space="preserve">access to </w:t>
            </w:r>
            <w:r w:rsidR="00FB5434">
              <w:t xml:space="preserve">duty-free entry for </w:t>
            </w:r>
            <w:r w:rsidR="0076192F">
              <w:t>84</w:t>
            </w:r>
            <w:r w:rsidR="0091045A">
              <w:t> </w:t>
            </w:r>
            <w:r w:rsidR="0076192F">
              <w:t xml:space="preserve">per cent of </w:t>
            </w:r>
            <w:r w:rsidR="00FB5434">
              <w:t>current exports on entry into force</w:t>
            </w:r>
            <w:r w:rsidR="00C954D1">
              <w:t xml:space="preserve">. </w:t>
            </w:r>
          </w:p>
          <w:p w:rsidR="00C954D1" w:rsidRDefault="0087037A" w:rsidP="00FC7507">
            <w:pPr>
              <w:pStyle w:val="BoxListBullet"/>
            </w:pPr>
            <w:r>
              <w:t xml:space="preserve">Phased reductions in </w:t>
            </w:r>
            <w:r w:rsidR="00932BA2">
              <w:t xml:space="preserve">Korean </w:t>
            </w:r>
            <w:r w:rsidR="00035B6D">
              <w:t xml:space="preserve">applied </w:t>
            </w:r>
            <w:r>
              <w:t xml:space="preserve">tariffs on imports </w:t>
            </w:r>
            <w:r w:rsidR="0003599C">
              <w:t>from Australia</w:t>
            </w:r>
            <w:r w:rsidR="0091045A">
              <w:t xml:space="preserve"> </w:t>
            </w:r>
            <w:r w:rsidR="00957BED">
              <w:t>include:</w:t>
            </w:r>
          </w:p>
          <w:p w:rsidR="00C954D1" w:rsidRDefault="00092C5C" w:rsidP="00FC7507">
            <w:pPr>
              <w:pStyle w:val="BoxListBullet2"/>
            </w:pPr>
            <w:r>
              <w:t xml:space="preserve">elimination </w:t>
            </w:r>
            <w:r w:rsidR="00E43448">
              <w:t>(</w:t>
            </w:r>
            <w:r w:rsidR="00EF01B4">
              <w:t>on entry into force</w:t>
            </w:r>
            <w:r w:rsidR="00E43448">
              <w:t>)</w:t>
            </w:r>
            <w:r w:rsidR="00EF01B4" w:rsidDel="00B17513">
              <w:t xml:space="preserve"> </w:t>
            </w:r>
            <w:r w:rsidR="00EF01B4">
              <w:t>of tariffs on Australian r</w:t>
            </w:r>
            <w:r w:rsidR="00C954D1">
              <w:t>aw sugar, wheat</w:t>
            </w:r>
            <w:r w:rsidR="00932BA2">
              <w:t>,</w:t>
            </w:r>
            <w:r w:rsidR="00C954D1">
              <w:t xml:space="preserve"> wine and some horticultural produc</w:t>
            </w:r>
            <w:r w:rsidR="002F0F1F">
              <w:t>t</w:t>
            </w:r>
            <w:r w:rsidR="00042B5E">
              <w:t>s</w:t>
            </w:r>
            <w:r w:rsidR="00EF01B4">
              <w:t xml:space="preserve"> with tariffs on m</w:t>
            </w:r>
            <w:r w:rsidR="00C954D1">
              <w:t xml:space="preserve">ost other </w:t>
            </w:r>
            <w:r w:rsidR="00EF01B4">
              <w:t xml:space="preserve">Australian </w:t>
            </w:r>
            <w:r w:rsidR="00C954D1">
              <w:t>agricultural product</w:t>
            </w:r>
            <w:r w:rsidR="00B17513">
              <w:t>s</w:t>
            </w:r>
            <w:r w:rsidR="00C954D1">
              <w:t xml:space="preserve"> </w:t>
            </w:r>
            <w:r w:rsidR="00EA0DB4">
              <w:t xml:space="preserve">eliminated </w:t>
            </w:r>
            <w:r w:rsidR="00C954D1">
              <w:t>over short time frames</w:t>
            </w:r>
            <w:r w:rsidR="00EF01B4">
              <w:t>;</w:t>
            </w:r>
          </w:p>
          <w:p w:rsidR="00C954D1" w:rsidRDefault="00EF01B4" w:rsidP="00FC7507">
            <w:pPr>
              <w:pStyle w:val="BoxListBullet2"/>
            </w:pPr>
            <w:r>
              <w:t>r</w:t>
            </w:r>
            <w:r w:rsidR="00C954D1">
              <w:t xml:space="preserve">emoval of </w:t>
            </w:r>
            <w:r>
              <w:t xml:space="preserve">the </w:t>
            </w:r>
            <w:r w:rsidR="00C954D1">
              <w:t>40</w:t>
            </w:r>
            <w:r>
              <w:t> </w:t>
            </w:r>
            <w:r w:rsidR="005C3986">
              <w:t>per cent</w:t>
            </w:r>
            <w:r w:rsidR="00C954D1">
              <w:t xml:space="preserve"> tariff on Australian beef exports </w:t>
            </w:r>
            <w:r w:rsidR="00EA0DB4">
              <w:t xml:space="preserve">progressively </w:t>
            </w:r>
            <w:r w:rsidR="00C954D1">
              <w:t>over 15 years</w:t>
            </w:r>
            <w:r>
              <w:t>;</w:t>
            </w:r>
          </w:p>
          <w:p w:rsidR="00C954D1" w:rsidRDefault="00EF01B4" w:rsidP="00FC7507">
            <w:pPr>
              <w:pStyle w:val="BoxListBullet2"/>
            </w:pPr>
            <w:r>
              <w:t>elimination of d</w:t>
            </w:r>
            <w:r w:rsidR="00946895">
              <w:t>u</w:t>
            </w:r>
            <w:r w:rsidR="00C954D1">
              <w:t>ty</w:t>
            </w:r>
            <w:r>
              <w:t>-</w:t>
            </w:r>
            <w:r w:rsidR="00C954D1">
              <w:t xml:space="preserve">free quotas for </w:t>
            </w:r>
            <w:r>
              <w:t xml:space="preserve">Australian </w:t>
            </w:r>
            <w:r w:rsidR="00C954D1">
              <w:t xml:space="preserve">cheese, butter and infant formula and </w:t>
            </w:r>
            <w:r>
              <w:t xml:space="preserve">the removal of </w:t>
            </w:r>
            <w:r w:rsidR="004F04A3">
              <w:t xml:space="preserve">high </w:t>
            </w:r>
            <w:r w:rsidR="00C954D1">
              <w:t>tariffs o</w:t>
            </w:r>
            <w:r w:rsidR="00602B87">
              <w:t>n</w:t>
            </w:r>
            <w:r w:rsidR="00C954D1">
              <w:t xml:space="preserve"> many </w:t>
            </w:r>
            <w:r w:rsidR="00EA0DB4">
              <w:t xml:space="preserve">other </w:t>
            </w:r>
            <w:r w:rsidR="00C954D1">
              <w:t xml:space="preserve">dairy products </w:t>
            </w:r>
            <w:r w:rsidR="00EA0DB4">
              <w:t xml:space="preserve">between </w:t>
            </w:r>
            <w:r w:rsidR="000544DE">
              <w:t>3</w:t>
            </w:r>
            <w:r w:rsidR="00C954D1">
              <w:t xml:space="preserve"> </w:t>
            </w:r>
            <w:r w:rsidR="00EA0DB4">
              <w:t xml:space="preserve">and </w:t>
            </w:r>
            <w:r w:rsidR="00C954D1">
              <w:t>20 years</w:t>
            </w:r>
            <w:r>
              <w:t>; and</w:t>
            </w:r>
          </w:p>
          <w:p w:rsidR="00C954D1" w:rsidRDefault="00EF01B4" w:rsidP="00FC7507">
            <w:pPr>
              <w:pStyle w:val="BoxListBullet2"/>
            </w:pPr>
            <w:r>
              <w:t>phasing out of tariffs on Australian m</w:t>
            </w:r>
            <w:r w:rsidR="00C954D1">
              <w:t>anufacture</w:t>
            </w:r>
            <w:r w:rsidR="0097108A">
              <w:t>s</w:t>
            </w:r>
            <w:r w:rsidR="002C5608">
              <w:t>,</w:t>
            </w:r>
            <w:r w:rsidR="0097108A">
              <w:t xml:space="preserve"> resources and energy exports</w:t>
            </w:r>
            <w:r w:rsidR="00C954D1">
              <w:t xml:space="preserve"> </w:t>
            </w:r>
            <w:r w:rsidR="0097108A">
              <w:t xml:space="preserve">within 10 </w:t>
            </w:r>
            <w:r>
              <w:t>years</w:t>
            </w:r>
            <w:r w:rsidR="00C954D1">
              <w:t>.</w:t>
            </w:r>
          </w:p>
          <w:p w:rsidR="00C954D1" w:rsidRPr="00C72919" w:rsidRDefault="00C954D1" w:rsidP="00C72919">
            <w:pPr>
              <w:pStyle w:val="Box"/>
            </w:pPr>
            <w:r w:rsidRPr="005335BF">
              <w:rPr>
                <w:b/>
              </w:rPr>
              <w:t>Services trade and investment</w:t>
            </w:r>
          </w:p>
          <w:p w:rsidR="00E311A1" w:rsidRDefault="00E311A1" w:rsidP="00E311A1">
            <w:pPr>
              <w:pStyle w:val="BoxListBullet"/>
            </w:pPr>
            <w:r>
              <w:t xml:space="preserve">Increase </w:t>
            </w:r>
            <w:r w:rsidR="004C7F55">
              <w:t xml:space="preserve">in </w:t>
            </w:r>
            <w:r>
              <w:t xml:space="preserve">the screening threshold for Korean </w:t>
            </w:r>
            <w:r w:rsidR="004F04A3">
              <w:t xml:space="preserve">private </w:t>
            </w:r>
            <w:r>
              <w:t xml:space="preserve">investment in Australia in non-sensitive sectors from $248 million to $1078 million in line with </w:t>
            </w:r>
            <w:r w:rsidR="00286E34">
              <w:t xml:space="preserve">the </w:t>
            </w:r>
            <w:r w:rsidR="00B85447">
              <w:t xml:space="preserve">threshold applied to </w:t>
            </w:r>
            <w:r>
              <w:t>N</w:t>
            </w:r>
            <w:r w:rsidR="004C7F55">
              <w:t xml:space="preserve">ew </w:t>
            </w:r>
            <w:r>
              <w:t>Z</w:t>
            </w:r>
            <w:r w:rsidR="004C7F55">
              <w:t>ealand</w:t>
            </w:r>
            <w:r w:rsidR="00B85447">
              <w:t xml:space="preserve">, the </w:t>
            </w:r>
            <w:r>
              <w:t>U</w:t>
            </w:r>
            <w:r w:rsidR="004C7F55">
              <w:t xml:space="preserve">nited </w:t>
            </w:r>
            <w:r>
              <w:t>S</w:t>
            </w:r>
            <w:r w:rsidR="004C7F55">
              <w:t>tates</w:t>
            </w:r>
            <w:r w:rsidR="00B85447">
              <w:t xml:space="preserve"> and Japan (on entry into force</w:t>
            </w:r>
            <w:r>
              <w:t>).</w:t>
            </w:r>
          </w:p>
          <w:p w:rsidR="00C954D1" w:rsidRPr="003F7455" w:rsidRDefault="00C954D1" w:rsidP="00FC7507">
            <w:pPr>
              <w:pStyle w:val="BoxListBullet"/>
            </w:pPr>
            <w:r w:rsidRPr="003F7455">
              <w:t xml:space="preserve">Progressive reduction of Korean market access barriers </w:t>
            </w:r>
            <w:r w:rsidR="002C478C">
              <w:t>including</w:t>
            </w:r>
            <w:r w:rsidR="00465C92">
              <w:t xml:space="preserve"> Australian</w:t>
            </w:r>
            <w:r w:rsidR="000544DE">
              <w:t>:</w:t>
            </w:r>
          </w:p>
          <w:p w:rsidR="00C954D1" w:rsidRDefault="00465C92" w:rsidP="00FC7507">
            <w:pPr>
              <w:pStyle w:val="BoxListBullet2"/>
            </w:pPr>
            <w:r>
              <w:t>l</w:t>
            </w:r>
            <w:r w:rsidR="00C954D1">
              <w:t xml:space="preserve">egal </w:t>
            </w:r>
            <w:r w:rsidR="00E311A1">
              <w:t xml:space="preserve">firms </w:t>
            </w:r>
            <w:r w:rsidR="00C954D1">
              <w:t xml:space="preserve">to establish </w:t>
            </w:r>
            <w:r w:rsidR="00C54BE6">
              <w:t xml:space="preserve">representative </w:t>
            </w:r>
            <w:r w:rsidR="00C954D1">
              <w:t>offices in Korea</w:t>
            </w:r>
            <w:r w:rsidR="00E311A1">
              <w:t>;</w:t>
            </w:r>
          </w:p>
          <w:p w:rsidR="00C54BE6" w:rsidRDefault="00C54BE6" w:rsidP="00FC7507">
            <w:pPr>
              <w:pStyle w:val="BoxListBullet2"/>
            </w:pPr>
            <w:r>
              <w:t xml:space="preserve">accountancy firms to </w:t>
            </w:r>
            <w:r w:rsidR="0032301E">
              <w:t>establish offices in Korea;</w:t>
            </w:r>
          </w:p>
          <w:p w:rsidR="00C954D1" w:rsidRDefault="00465C92" w:rsidP="00FC7507">
            <w:pPr>
              <w:pStyle w:val="BoxListBullet2"/>
            </w:pPr>
            <w:r>
              <w:t>t</w:t>
            </w:r>
            <w:r w:rsidR="00957BED">
              <w:t>elecom</w:t>
            </w:r>
            <w:r w:rsidR="00C954D1">
              <w:t xml:space="preserve"> providers </w:t>
            </w:r>
            <w:r w:rsidR="00957BED">
              <w:t xml:space="preserve">to </w:t>
            </w:r>
            <w:r w:rsidR="00C954D1">
              <w:t xml:space="preserve">own Korean telecom </w:t>
            </w:r>
            <w:r w:rsidR="00814774">
              <w:t>firms</w:t>
            </w:r>
            <w:r w:rsidR="00C954D1">
              <w:t xml:space="preserve"> within </w:t>
            </w:r>
            <w:r w:rsidR="00042B5E">
              <w:t xml:space="preserve">2 </w:t>
            </w:r>
            <w:r w:rsidR="00C954D1">
              <w:t>years</w:t>
            </w:r>
            <w:r w:rsidR="00020036">
              <w:t>; and</w:t>
            </w:r>
          </w:p>
          <w:p w:rsidR="00C954D1" w:rsidRDefault="00465C92" w:rsidP="00FC7507">
            <w:pPr>
              <w:pStyle w:val="BoxListBullet2"/>
            </w:pPr>
            <w:r>
              <w:t>f</w:t>
            </w:r>
            <w:r w:rsidR="00C954D1">
              <w:t>inancial service</w:t>
            </w:r>
            <w:r w:rsidR="00356284">
              <w:t>s</w:t>
            </w:r>
            <w:r w:rsidR="00C954D1">
              <w:t xml:space="preserve"> providers </w:t>
            </w:r>
            <w:r w:rsidR="00957BED">
              <w:t>to</w:t>
            </w:r>
            <w:r w:rsidR="00C954D1">
              <w:t xml:space="preserve"> supply specified </w:t>
            </w:r>
            <w:r w:rsidR="00F84D37">
              <w:t xml:space="preserve">services </w:t>
            </w:r>
            <w:r w:rsidR="00C954D1">
              <w:t>‘cross border’</w:t>
            </w:r>
            <w:r w:rsidR="00020036">
              <w:t>.</w:t>
            </w:r>
          </w:p>
          <w:p w:rsidR="00C954D1" w:rsidRPr="00C72919" w:rsidRDefault="00814774" w:rsidP="00C72919">
            <w:pPr>
              <w:pStyle w:val="BoxListBullet"/>
            </w:pPr>
            <w:r>
              <w:t>P</w:t>
            </w:r>
            <w:r w:rsidR="00C954D1">
              <w:t>rovision for</w:t>
            </w:r>
            <w:r w:rsidR="00E17FA3">
              <w:t xml:space="preserve"> an</w:t>
            </w:r>
            <w:r w:rsidR="00C954D1">
              <w:t xml:space="preserve"> </w:t>
            </w:r>
            <w:r w:rsidR="00EF01B4">
              <w:t>i</w:t>
            </w:r>
            <w:r w:rsidR="00F850A1">
              <w:t>n</w:t>
            </w:r>
            <w:r w:rsidR="00C72068">
              <w:t>vestor-</w:t>
            </w:r>
            <w:r w:rsidR="00EF01B4">
              <w:t>s</w:t>
            </w:r>
            <w:r w:rsidR="00C72068">
              <w:t xml:space="preserve">tate </w:t>
            </w:r>
            <w:r w:rsidR="00EF01B4">
              <w:t>d</w:t>
            </w:r>
            <w:r w:rsidR="00C72068">
              <w:t xml:space="preserve">ispute </w:t>
            </w:r>
            <w:r w:rsidR="00EF01B4">
              <w:t>s</w:t>
            </w:r>
            <w:r w:rsidR="00C72068">
              <w:t>ettlement</w:t>
            </w:r>
            <w:r w:rsidR="0075612F">
              <w:t xml:space="preserve"> </w:t>
            </w:r>
            <w:r w:rsidR="00F850A1">
              <w:t>mechanism.</w:t>
            </w:r>
            <w:r w:rsidR="0075612F">
              <w:t xml:space="preserve"> The agreement </w:t>
            </w:r>
            <w:r w:rsidR="0006293A">
              <w:t>excludes</w:t>
            </w:r>
            <w:r w:rsidR="0075612F">
              <w:t xml:space="preserve"> n</w:t>
            </w:r>
            <w:r w:rsidR="0075612F" w:rsidRPr="00C72919">
              <w:rPr>
                <w:sz w:val="23"/>
                <w:szCs w:val="23"/>
              </w:rPr>
              <w:t xml:space="preserve">on-discriminatory regulatory actions by a Party that are designed and applied to achieve </w:t>
            </w:r>
            <w:r w:rsidR="00F2593F">
              <w:rPr>
                <w:sz w:val="23"/>
                <w:szCs w:val="23"/>
              </w:rPr>
              <w:t>public</w:t>
            </w:r>
            <w:r w:rsidR="00121944" w:rsidRPr="00C72919">
              <w:rPr>
                <w:sz w:val="23"/>
                <w:szCs w:val="23"/>
              </w:rPr>
              <w:t xml:space="preserve"> </w:t>
            </w:r>
            <w:r w:rsidR="0075612F" w:rsidRPr="00C72919">
              <w:rPr>
                <w:sz w:val="23"/>
                <w:szCs w:val="23"/>
              </w:rPr>
              <w:t xml:space="preserve">welfare objectives, such as </w:t>
            </w:r>
            <w:r w:rsidR="00E311A1">
              <w:rPr>
                <w:sz w:val="23"/>
                <w:szCs w:val="23"/>
              </w:rPr>
              <w:t xml:space="preserve">in the areas of </w:t>
            </w:r>
            <w:r w:rsidR="0075612F" w:rsidRPr="00C72919">
              <w:rPr>
                <w:sz w:val="23"/>
                <w:szCs w:val="23"/>
              </w:rPr>
              <w:t xml:space="preserve">public health, safety, and </w:t>
            </w:r>
            <w:r w:rsidR="00C72068">
              <w:rPr>
                <w:sz w:val="23"/>
                <w:szCs w:val="23"/>
              </w:rPr>
              <w:t xml:space="preserve">the </w:t>
            </w:r>
            <w:r w:rsidR="0075612F" w:rsidRPr="00C72919">
              <w:rPr>
                <w:sz w:val="23"/>
                <w:szCs w:val="23"/>
              </w:rPr>
              <w:t>environment</w:t>
            </w:r>
            <w:r w:rsidR="0075612F">
              <w:rPr>
                <w:sz w:val="23"/>
                <w:szCs w:val="23"/>
              </w:rPr>
              <w:t>.</w:t>
            </w:r>
          </w:p>
          <w:p w:rsidR="00C954D1" w:rsidRPr="00C72919" w:rsidRDefault="00C954D1" w:rsidP="00C72919">
            <w:pPr>
              <w:pStyle w:val="Box"/>
            </w:pPr>
            <w:r w:rsidRPr="005335BF">
              <w:rPr>
                <w:b/>
              </w:rPr>
              <w:t>Other areas</w:t>
            </w:r>
          </w:p>
          <w:p w:rsidR="00C954D1" w:rsidRDefault="00814774" w:rsidP="00FC7507">
            <w:pPr>
              <w:pStyle w:val="BoxListBullet2"/>
            </w:pPr>
            <w:r>
              <w:t>G</w:t>
            </w:r>
            <w:r w:rsidR="00C954D1">
              <w:t>uaranteed access for skilled service suppliers, investors and business visitors.</w:t>
            </w:r>
          </w:p>
          <w:p w:rsidR="00C954D1" w:rsidRDefault="00814774" w:rsidP="00FC7507">
            <w:pPr>
              <w:pStyle w:val="BoxListBullet2"/>
            </w:pPr>
            <w:r>
              <w:t>C</w:t>
            </w:r>
            <w:r w:rsidR="00C954D1">
              <w:t>ommitment to improve mutual recognition for professional qualifications.</w:t>
            </w:r>
          </w:p>
          <w:p w:rsidR="00C954D1" w:rsidRDefault="00957BED" w:rsidP="00FC7507">
            <w:pPr>
              <w:pStyle w:val="BoxListBullet2"/>
            </w:pPr>
            <w:r>
              <w:t>IP</w:t>
            </w:r>
            <w:r w:rsidR="00C954D1">
              <w:t xml:space="preserve"> </w:t>
            </w:r>
            <w:r>
              <w:t xml:space="preserve">protection </w:t>
            </w:r>
            <w:r w:rsidR="00C954D1">
              <w:t xml:space="preserve">in Korea </w:t>
            </w:r>
            <w:r w:rsidR="00A50A7C">
              <w:t xml:space="preserve">to be </w:t>
            </w:r>
            <w:r w:rsidR="00C954D1">
              <w:t xml:space="preserve">broadly equivalent </w:t>
            </w:r>
            <w:r>
              <w:t>to</w:t>
            </w:r>
            <w:r w:rsidR="00C954D1">
              <w:t xml:space="preserve"> </w:t>
            </w:r>
            <w:r w:rsidR="00A50A7C">
              <w:t xml:space="preserve">Australian IP </w:t>
            </w:r>
            <w:r w:rsidR="00C954D1">
              <w:t>protections</w:t>
            </w:r>
            <w:r w:rsidR="00A50A7C">
              <w:t>.</w:t>
            </w:r>
          </w:p>
          <w:p w:rsidR="00C954D1" w:rsidRDefault="00814774" w:rsidP="008045FF">
            <w:pPr>
              <w:pStyle w:val="BoxListBullet2"/>
            </w:pPr>
            <w:r>
              <w:t>G</w:t>
            </w:r>
            <w:r w:rsidR="00C954D1">
              <w:t xml:space="preserve">uaranteed access to Korean government procurement for Australian </w:t>
            </w:r>
            <w:r w:rsidR="00957BED">
              <w:t>firms.</w:t>
            </w:r>
          </w:p>
        </w:tc>
      </w:tr>
      <w:tr w:rsidR="00C954D1" w:rsidTr="00FC7507">
        <w:trPr>
          <w:cantSplit/>
        </w:trPr>
        <w:tc>
          <w:tcPr>
            <w:tcW w:w="8771" w:type="dxa"/>
            <w:tcBorders>
              <w:top w:val="nil"/>
              <w:left w:val="single" w:sz="6" w:space="0" w:color="auto"/>
              <w:bottom w:val="nil"/>
              <w:right w:val="single" w:sz="6" w:space="0" w:color="auto"/>
            </w:tcBorders>
          </w:tcPr>
          <w:p w:rsidR="00C954D1" w:rsidRDefault="00C954D1" w:rsidP="00FC7507">
            <w:pPr>
              <w:pStyle w:val="BoxSource"/>
            </w:pPr>
            <w:r>
              <w:rPr>
                <w:i/>
              </w:rPr>
              <w:t xml:space="preserve">Source : </w:t>
            </w:r>
            <w:proofErr w:type="spellStart"/>
            <w:r w:rsidRPr="00C72919">
              <w:t>DFAT</w:t>
            </w:r>
            <w:proofErr w:type="spellEnd"/>
            <w:r w:rsidRPr="00C72919">
              <w:t xml:space="preserve"> </w:t>
            </w:r>
            <w:r w:rsidR="00C66F4E">
              <w:t>(</w:t>
            </w:r>
            <w:proofErr w:type="spellStart"/>
            <w:r w:rsidRPr="00C72919">
              <w:t>2014</w:t>
            </w:r>
            <w:r w:rsidR="006D0FE8">
              <w:t>c</w:t>
            </w:r>
            <w:proofErr w:type="spellEnd"/>
            <w:r w:rsidR="00C66F4E">
              <w:t>)</w:t>
            </w:r>
            <w:r>
              <w:rPr>
                <w:i/>
              </w:rPr>
              <w:t>.</w:t>
            </w:r>
          </w:p>
        </w:tc>
      </w:tr>
      <w:tr w:rsidR="00C954D1" w:rsidTr="00FC7507">
        <w:trPr>
          <w:cantSplit/>
        </w:trPr>
        <w:tc>
          <w:tcPr>
            <w:tcW w:w="8771" w:type="dxa"/>
            <w:tcBorders>
              <w:top w:val="nil"/>
              <w:left w:val="single" w:sz="6" w:space="0" w:color="auto"/>
              <w:bottom w:val="single" w:sz="6" w:space="0" w:color="auto"/>
              <w:right w:val="single" w:sz="6" w:space="0" w:color="auto"/>
            </w:tcBorders>
          </w:tcPr>
          <w:p w:rsidR="00C954D1" w:rsidRDefault="00C954D1" w:rsidP="00FC7507">
            <w:pPr>
              <w:pStyle w:val="Box"/>
              <w:spacing w:before="0" w:line="120" w:lineRule="exact"/>
            </w:pPr>
          </w:p>
        </w:tc>
      </w:tr>
      <w:tr w:rsidR="00C954D1" w:rsidRPr="000863A5" w:rsidTr="00FC7507">
        <w:tc>
          <w:tcPr>
            <w:tcW w:w="8771" w:type="dxa"/>
            <w:tcBorders>
              <w:top w:val="nil"/>
              <w:left w:val="nil"/>
              <w:bottom w:val="nil"/>
              <w:right w:val="nil"/>
            </w:tcBorders>
          </w:tcPr>
          <w:p w:rsidR="00C954D1" w:rsidRPr="00626D32" w:rsidRDefault="00C954D1" w:rsidP="00FC7507">
            <w:pPr>
              <w:pStyle w:val="BoxSpaceBelow"/>
            </w:pPr>
          </w:p>
        </w:tc>
      </w:tr>
    </w:tbl>
    <w:p w:rsidR="004F04A3" w:rsidRDefault="004F04A3" w:rsidP="004F04A3">
      <w:pPr>
        <w:pStyle w:val="BodyText"/>
      </w:pPr>
      <w:r>
        <w:lastRenderedPageBreak/>
        <w:t>According to economic modelling commissioned by the Department of Foreign Affairs and Trade</w:t>
      </w:r>
      <w:r w:rsidR="00885927">
        <w:t xml:space="preserve"> (</w:t>
      </w:r>
      <w:proofErr w:type="spellStart"/>
      <w:r w:rsidR="00885927">
        <w:t>DFAT</w:t>
      </w:r>
      <w:proofErr w:type="spellEnd"/>
      <w:r w:rsidR="00885927">
        <w:t>)</w:t>
      </w:r>
      <w:r>
        <w:t xml:space="preserve">, with changes in goods trade under the Korea-Australia agreement, GDP is projected to be $650 million higher in 2030 than would be the case without the agreement. A net increase in jobs of 1745 in 2015 and 950 in 2030 is projected compared to </w:t>
      </w:r>
      <w:r w:rsidR="00E50651">
        <w:t>the outcome if an</w:t>
      </w:r>
      <w:r>
        <w:t xml:space="preserve"> agreement had not been implemented (CIE 2014, p. 13). While the modelling reported the implications for Australia of a Korea-US and Korea-EU agreement if Australia did not secure an agreement, it did not report on the implications of unilateral tariff reductions by Australia or partner economies.  </w:t>
      </w:r>
    </w:p>
    <w:p w:rsidR="001174D0" w:rsidRDefault="001174D0" w:rsidP="001174D0">
      <w:pPr>
        <w:pStyle w:val="BodyText"/>
      </w:pPr>
      <w:r>
        <w:t>As in previous agreements, an extensive list of agreement-specific rules of origin and supporting customs procedures have been developed to prevent goods being trans-shipped from non-signatory countries to take advantage of the preferential tariff rates under the agreement. Some five thousand product-specific rules of origin are specified in the Korea-Australia agreement. This will further add to the administratively complex set of origin requirements with potentially considerable compliance cost burdens on business (</w:t>
      </w:r>
      <w:r w:rsidR="0038026F">
        <w:t>section 6.3</w:t>
      </w:r>
      <w:r>
        <w:t>).</w:t>
      </w:r>
    </w:p>
    <w:p w:rsidR="00A51201" w:rsidRDefault="00A51201" w:rsidP="0008224A">
      <w:pPr>
        <w:pStyle w:val="Heading4"/>
        <w:rPr>
          <w:lang w:val="en"/>
        </w:rPr>
      </w:pPr>
      <w:r>
        <w:rPr>
          <w:lang w:val="en"/>
        </w:rPr>
        <w:t>Japan</w:t>
      </w:r>
    </w:p>
    <w:p w:rsidR="00310E41" w:rsidRDefault="00954762" w:rsidP="00C954D1">
      <w:pPr>
        <w:pStyle w:val="BodyText"/>
        <w:rPr>
          <w:lang w:val="en"/>
        </w:rPr>
      </w:pPr>
      <w:r>
        <w:rPr>
          <w:lang w:val="en"/>
        </w:rPr>
        <w:t>After seven</w:t>
      </w:r>
      <w:r w:rsidR="00D04A38">
        <w:rPr>
          <w:lang w:val="en"/>
        </w:rPr>
        <w:t xml:space="preserve"> years and seventeen rounds of negotiations</w:t>
      </w:r>
      <w:r w:rsidR="00653667">
        <w:rPr>
          <w:lang w:val="en"/>
        </w:rPr>
        <w:t>,</w:t>
      </w:r>
      <w:r w:rsidR="00D04A38">
        <w:rPr>
          <w:lang w:val="en"/>
        </w:rPr>
        <w:t xml:space="preserve"> </w:t>
      </w:r>
      <w:r>
        <w:rPr>
          <w:lang w:val="en"/>
        </w:rPr>
        <w:t xml:space="preserve">the </w:t>
      </w:r>
      <w:r w:rsidR="00653667">
        <w:rPr>
          <w:lang w:val="en"/>
        </w:rPr>
        <w:t xml:space="preserve">governments of Australia and Japan </w:t>
      </w:r>
      <w:r w:rsidR="0019767C">
        <w:rPr>
          <w:lang w:val="en"/>
        </w:rPr>
        <w:t>concluded</w:t>
      </w:r>
      <w:r>
        <w:rPr>
          <w:lang w:val="en"/>
        </w:rPr>
        <w:t xml:space="preserve"> </w:t>
      </w:r>
      <w:r w:rsidR="00DE33E8">
        <w:rPr>
          <w:lang w:val="en"/>
        </w:rPr>
        <w:t xml:space="preserve">negotiations </w:t>
      </w:r>
      <w:r w:rsidR="00E30FEE">
        <w:rPr>
          <w:lang w:val="en"/>
        </w:rPr>
        <w:t xml:space="preserve">on </w:t>
      </w:r>
      <w:r>
        <w:rPr>
          <w:lang w:val="en"/>
        </w:rPr>
        <w:t>an</w:t>
      </w:r>
      <w:r w:rsidR="00D04A38">
        <w:rPr>
          <w:lang w:val="en"/>
        </w:rPr>
        <w:t xml:space="preserve"> </w:t>
      </w:r>
      <w:r w:rsidR="00903F08">
        <w:rPr>
          <w:lang w:val="en"/>
        </w:rPr>
        <w:t>Economic Partnership Agreement (EPA) on 7</w:t>
      </w:r>
      <w:r w:rsidR="00C72919">
        <w:rPr>
          <w:lang w:val="en"/>
        </w:rPr>
        <w:t> </w:t>
      </w:r>
      <w:r w:rsidR="00903F08">
        <w:rPr>
          <w:lang w:val="en"/>
        </w:rPr>
        <w:t>April 2014</w:t>
      </w:r>
      <w:r>
        <w:rPr>
          <w:lang w:val="en"/>
        </w:rPr>
        <w:t xml:space="preserve"> in Tokyo</w:t>
      </w:r>
      <w:r w:rsidR="00C72919">
        <w:rPr>
          <w:lang w:val="en"/>
        </w:rPr>
        <w:t xml:space="preserve">. </w:t>
      </w:r>
      <w:r w:rsidR="00313766">
        <w:rPr>
          <w:lang w:val="en"/>
        </w:rPr>
        <w:t xml:space="preserve">The </w:t>
      </w:r>
      <w:r w:rsidR="0038026F">
        <w:rPr>
          <w:lang w:val="en"/>
        </w:rPr>
        <w:t xml:space="preserve">EPA </w:t>
      </w:r>
      <w:r w:rsidR="00304851">
        <w:rPr>
          <w:lang w:val="en"/>
        </w:rPr>
        <w:t xml:space="preserve">is expected to be signed by both </w:t>
      </w:r>
      <w:r w:rsidR="002B58E3">
        <w:rPr>
          <w:lang w:val="en"/>
        </w:rPr>
        <w:t>g</w:t>
      </w:r>
      <w:r w:rsidR="00304851">
        <w:rPr>
          <w:lang w:val="en"/>
        </w:rPr>
        <w:t>overnments in</w:t>
      </w:r>
      <w:r w:rsidR="00937A8B">
        <w:rPr>
          <w:lang w:val="en"/>
        </w:rPr>
        <w:t xml:space="preserve"> the </w:t>
      </w:r>
      <w:r w:rsidR="00304851">
        <w:rPr>
          <w:lang w:val="en"/>
        </w:rPr>
        <w:t>second half</w:t>
      </w:r>
      <w:r w:rsidR="00937A8B">
        <w:rPr>
          <w:lang w:val="en"/>
        </w:rPr>
        <w:t xml:space="preserve"> of </w:t>
      </w:r>
      <w:r w:rsidR="00304851">
        <w:rPr>
          <w:lang w:val="en"/>
        </w:rPr>
        <w:t>2014</w:t>
      </w:r>
      <w:r w:rsidR="00B07361">
        <w:rPr>
          <w:lang w:val="en"/>
        </w:rPr>
        <w:t>, after which t</w:t>
      </w:r>
      <w:r w:rsidR="00023197">
        <w:rPr>
          <w:lang w:val="en"/>
        </w:rPr>
        <w:t>he</w:t>
      </w:r>
      <w:r w:rsidR="00937A8B">
        <w:rPr>
          <w:lang w:val="en"/>
        </w:rPr>
        <w:t xml:space="preserve"> </w:t>
      </w:r>
      <w:r w:rsidR="00B07361">
        <w:rPr>
          <w:lang w:val="en"/>
        </w:rPr>
        <w:t xml:space="preserve">final </w:t>
      </w:r>
      <w:r w:rsidR="00937A8B">
        <w:rPr>
          <w:lang w:val="en"/>
        </w:rPr>
        <w:t xml:space="preserve">text </w:t>
      </w:r>
      <w:r w:rsidR="00B07361">
        <w:rPr>
          <w:lang w:val="en"/>
        </w:rPr>
        <w:t>would</w:t>
      </w:r>
      <w:r w:rsidR="00023197">
        <w:rPr>
          <w:lang w:val="en"/>
        </w:rPr>
        <w:t xml:space="preserve"> be</w:t>
      </w:r>
      <w:r w:rsidR="008E41F5">
        <w:rPr>
          <w:lang w:val="en"/>
        </w:rPr>
        <w:t xml:space="preserve"> made</w:t>
      </w:r>
      <w:r w:rsidR="00937A8B">
        <w:rPr>
          <w:lang w:val="en"/>
        </w:rPr>
        <w:t xml:space="preserve"> public</w:t>
      </w:r>
      <w:r w:rsidR="00B07361">
        <w:rPr>
          <w:lang w:val="en"/>
        </w:rPr>
        <w:t>.</w:t>
      </w:r>
      <w:r w:rsidR="00937A8B">
        <w:rPr>
          <w:lang w:val="en"/>
        </w:rPr>
        <w:t xml:space="preserve"> </w:t>
      </w:r>
      <w:r w:rsidR="00210639">
        <w:rPr>
          <w:lang w:val="en"/>
        </w:rPr>
        <w:t xml:space="preserve">According to </w:t>
      </w:r>
      <w:proofErr w:type="spellStart"/>
      <w:r w:rsidR="00885927">
        <w:rPr>
          <w:lang w:val="en"/>
        </w:rPr>
        <w:t>DFAT</w:t>
      </w:r>
      <w:proofErr w:type="spellEnd"/>
      <w:r w:rsidR="00EA5A6A">
        <w:rPr>
          <w:lang w:val="en"/>
        </w:rPr>
        <w:t xml:space="preserve">, on coming into force, the </w:t>
      </w:r>
      <w:r w:rsidR="0038026F">
        <w:rPr>
          <w:lang w:val="en"/>
        </w:rPr>
        <w:t xml:space="preserve">EPA </w:t>
      </w:r>
      <w:r w:rsidR="00406E95">
        <w:rPr>
          <w:lang w:val="en"/>
        </w:rPr>
        <w:t>will</w:t>
      </w:r>
      <w:r w:rsidR="00EA5A6A">
        <w:rPr>
          <w:lang w:val="en"/>
        </w:rPr>
        <w:t xml:space="preserve"> provide for preferential market access for Australian producers across a range of eligible agricultural, industrial, energy and mineral products as well as bilateral commitments on services and investment (box </w:t>
      </w:r>
      <w:r w:rsidR="001F6EE1">
        <w:rPr>
          <w:lang w:val="en"/>
        </w:rPr>
        <w:t>6.</w:t>
      </w:r>
      <w:r w:rsidR="00EA5A6A">
        <w:rPr>
          <w:lang w:val="en"/>
        </w:rPr>
        <w:t xml:space="preserve">3). </w:t>
      </w:r>
      <w:r w:rsidR="00E513CD">
        <w:rPr>
          <w:lang w:val="en"/>
        </w:rPr>
        <w:t xml:space="preserve">As with other preferential trade agreements, </w:t>
      </w:r>
      <w:r w:rsidR="00FA7288">
        <w:rPr>
          <w:lang w:val="en"/>
        </w:rPr>
        <w:t>eligibility for</w:t>
      </w:r>
      <w:r w:rsidR="00E513CD">
        <w:rPr>
          <w:lang w:val="en"/>
        </w:rPr>
        <w:t xml:space="preserve"> trade preferences </w:t>
      </w:r>
      <w:r w:rsidR="00587787">
        <w:rPr>
          <w:lang w:val="en"/>
        </w:rPr>
        <w:t xml:space="preserve">will </w:t>
      </w:r>
      <w:r w:rsidR="00E513CD">
        <w:rPr>
          <w:lang w:val="en"/>
        </w:rPr>
        <w:t xml:space="preserve">be subject to rules of origin negotiated under the agreement. At this stage, details </w:t>
      </w:r>
      <w:r w:rsidR="00574958">
        <w:rPr>
          <w:lang w:val="en"/>
        </w:rPr>
        <w:t xml:space="preserve">on the </w:t>
      </w:r>
      <w:r w:rsidR="00E513CD">
        <w:rPr>
          <w:lang w:val="en"/>
        </w:rPr>
        <w:t xml:space="preserve">rules of origin </w:t>
      </w:r>
      <w:r w:rsidR="00574958">
        <w:rPr>
          <w:lang w:val="en"/>
        </w:rPr>
        <w:t xml:space="preserve">that will be applied </w:t>
      </w:r>
      <w:r w:rsidR="00E513CD">
        <w:rPr>
          <w:lang w:val="en"/>
        </w:rPr>
        <w:t>are not available.</w:t>
      </w:r>
    </w:p>
    <w:p w:rsidR="005F13B9" w:rsidRDefault="00903F08">
      <w:pPr>
        <w:pStyle w:val="BoxSpaceAbove"/>
      </w:pPr>
      <w:r>
        <w:rPr>
          <w:lang w:val="en"/>
        </w:rPr>
        <w:lastRenderedPageBreak/>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F13B9">
        <w:tc>
          <w:tcPr>
            <w:tcW w:w="8771" w:type="dxa"/>
            <w:tcBorders>
              <w:top w:val="single" w:sz="6" w:space="0" w:color="auto"/>
              <w:bottom w:val="nil"/>
            </w:tcBorders>
          </w:tcPr>
          <w:p w:rsidR="005F13B9" w:rsidRDefault="005F13B9" w:rsidP="005F13B9">
            <w:pPr>
              <w:pStyle w:val="BoxTitle"/>
            </w:pPr>
            <w:r>
              <w:rPr>
                <w:b w:val="0"/>
              </w:rPr>
              <w:t xml:space="preserve">Box </w:t>
            </w:r>
            <w:r w:rsidR="000B5158">
              <w:rPr>
                <w:b w:val="0"/>
              </w:rPr>
              <w:t>6.</w:t>
            </w:r>
            <w:r w:rsidR="00CE0B5E">
              <w:rPr>
                <w:b w:val="0"/>
                <w:noProof/>
              </w:rPr>
              <w:t>3</w:t>
            </w:r>
            <w:r>
              <w:tab/>
              <w:t>Selected provisions of the Australia-Japan Economic Partnership Agreement</w:t>
            </w:r>
          </w:p>
        </w:tc>
      </w:tr>
      <w:tr w:rsidR="005F13B9">
        <w:trPr>
          <w:cantSplit/>
        </w:trPr>
        <w:tc>
          <w:tcPr>
            <w:tcW w:w="8771" w:type="dxa"/>
            <w:tcBorders>
              <w:top w:val="nil"/>
              <w:left w:val="single" w:sz="6" w:space="0" w:color="auto"/>
              <w:bottom w:val="nil"/>
              <w:right w:val="single" w:sz="6" w:space="0" w:color="auto"/>
            </w:tcBorders>
          </w:tcPr>
          <w:p w:rsidR="005F13B9" w:rsidRDefault="00D47157" w:rsidP="003D16C7">
            <w:pPr>
              <w:pStyle w:val="Box"/>
              <w:rPr>
                <w:lang w:val="en"/>
              </w:rPr>
            </w:pPr>
            <w:r>
              <w:rPr>
                <w:lang w:val="en"/>
              </w:rPr>
              <w:t xml:space="preserve">The Department of Foreign Affairs and Trade </w:t>
            </w:r>
            <w:r w:rsidR="00D4194E">
              <w:rPr>
                <w:lang w:val="en"/>
              </w:rPr>
              <w:t xml:space="preserve">reports that </w:t>
            </w:r>
            <w:r w:rsidR="009E2B8C">
              <w:rPr>
                <w:lang w:val="en"/>
              </w:rPr>
              <w:t>on</w:t>
            </w:r>
            <w:r w:rsidR="005F13B9">
              <w:rPr>
                <w:lang w:val="en"/>
              </w:rPr>
              <w:t xml:space="preserve"> coming into force the agreement would provide preferential access to the Japanese market for a range of eligible Australian products. </w:t>
            </w:r>
          </w:p>
          <w:p w:rsidR="005F13B9" w:rsidRDefault="005F13B9" w:rsidP="003D16C7">
            <w:pPr>
              <w:pStyle w:val="BoxListBullet"/>
              <w:rPr>
                <w:lang w:val="en"/>
              </w:rPr>
            </w:pPr>
            <w:r>
              <w:rPr>
                <w:lang w:val="en"/>
              </w:rPr>
              <w:t>Australian exports of beef, sugar, horticulture, wine and seafood would be granted preferential access to the Japanese market and tariffs would be bound at zero on bilateral trade in wool, cotton, lamb and beer</w:t>
            </w:r>
            <w:r w:rsidR="00CC2722">
              <w:rPr>
                <w:lang w:val="en"/>
              </w:rPr>
              <w:t>.</w:t>
            </w:r>
          </w:p>
          <w:p w:rsidR="005F13B9" w:rsidRDefault="005F13B9" w:rsidP="003D16C7">
            <w:pPr>
              <w:pStyle w:val="BoxListBullet"/>
              <w:rPr>
                <w:lang w:val="en"/>
              </w:rPr>
            </w:pPr>
            <w:r>
              <w:rPr>
                <w:lang w:val="en"/>
              </w:rPr>
              <w:t xml:space="preserve">Bilateral tariffs on Australian frozen beef exports to Japan would be halved to 19.5 per cent </w:t>
            </w:r>
            <w:r w:rsidR="00982576">
              <w:rPr>
                <w:lang w:val="en"/>
              </w:rPr>
              <w:t>over 18</w:t>
            </w:r>
            <w:r>
              <w:rPr>
                <w:lang w:val="en"/>
              </w:rPr>
              <w:t> years</w:t>
            </w:r>
            <w:r w:rsidR="00982576">
              <w:rPr>
                <w:lang w:val="en"/>
              </w:rPr>
              <w:t xml:space="preserve"> and on fresh beef exports to 23.5 per cent over 15 years, with significant front-loading of the tariff cut</w:t>
            </w:r>
            <w:r w:rsidR="00B07361">
              <w:rPr>
                <w:lang w:val="en"/>
              </w:rPr>
              <w:t>s</w:t>
            </w:r>
            <w:r>
              <w:rPr>
                <w:lang w:val="en"/>
              </w:rPr>
              <w:t xml:space="preserve">. </w:t>
            </w:r>
          </w:p>
          <w:p w:rsidR="005F13B9" w:rsidRDefault="00982576" w:rsidP="003D16C7">
            <w:pPr>
              <w:pStyle w:val="BoxListBullet"/>
              <w:rPr>
                <w:lang w:val="en"/>
              </w:rPr>
            </w:pPr>
            <w:r>
              <w:rPr>
                <w:lang w:val="en"/>
              </w:rPr>
              <w:t>In addition to the existing global quota</w:t>
            </w:r>
            <w:r w:rsidR="00C16F0A">
              <w:rPr>
                <w:lang w:val="en"/>
              </w:rPr>
              <w:t xml:space="preserve">, </w:t>
            </w:r>
            <w:r w:rsidR="00AD6401">
              <w:rPr>
                <w:lang w:val="en"/>
              </w:rPr>
              <w:t>Australian fresh c</w:t>
            </w:r>
            <w:r w:rsidR="005F13B9">
              <w:rPr>
                <w:lang w:val="en"/>
              </w:rPr>
              <w:t xml:space="preserve">heese exporters would </w:t>
            </w:r>
            <w:r w:rsidR="00B07361">
              <w:rPr>
                <w:lang w:val="en"/>
              </w:rPr>
              <w:t>obtain</w:t>
            </w:r>
            <w:r w:rsidR="005F13B9">
              <w:rPr>
                <w:lang w:val="en"/>
              </w:rPr>
              <w:t xml:space="preserve"> an additional duty</w:t>
            </w:r>
            <w:r w:rsidR="001174D0">
              <w:rPr>
                <w:lang w:val="en"/>
              </w:rPr>
              <w:t>-</w:t>
            </w:r>
            <w:r w:rsidR="005F13B9">
              <w:rPr>
                <w:lang w:val="en"/>
              </w:rPr>
              <w:t xml:space="preserve">free quota allowance, </w:t>
            </w:r>
            <w:r w:rsidR="001174D0">
              <w:rPr>
                <w:lang w:val="en"/>
              </w:rPr>
              <w:t>increas</w:t>
            </w:r>
            <w:r w:rsidR="00AD6401">
              <w:rPr>
                <w:lang w:val="en"/>
              </w:rPr>
              <w:t xml:space="preserve">ing </w:t>
            </w:r>
            <w:r w:rsidR="005F13B9">
              <w:rPr>
                <w:lang w:val="en"/>
              </w:rPr>
              <w:t>over time,</w:t>
            </w:r>
            <w:r w:rsidR="000F3714">
              <w:rPr>
                <w:lang w:val="en"/>
              </w:rPr>
              <w:t xml:space="preserve"> </w:t>
            </w:r>
            <w:r w:rsidR="00135AC6">
              <w:rPr>
                <w:lang w:val="en"/>
              </w:rPr>
              <w:t>to reach 20 </w:t>
            </w:r>
            <w:r w:rsidR="00AD6401">
              <w:rPr>
                <w:lang w:val="en"/>
              </w:rPr>
              <w:t xml:space="preserve">000 </w:t>
            </w:r>
            <w:proofErr w:type="spellStart"/>
            <w:r w:rsidR="00AD6401">
              <w:rPr>
                <w:lang w:val="en"/>
              </w:rPr>
              <w:t>tonnes</w:t>
            </w:r>
            <w:proofErr w:type="spellEnd"/>
            <w:r w:rsidR="00AD6401">
              <w:rPr>
                <w:lang w:val="en"/>
              </w:rPr>
              <w:t>.</w:t>
            </w:r>
            <w:r w:rsidR="005F13B9">
              <w:rPr>
                <w:lang w:val="en"/>
              </w:rPr>
              <w:t xml:space="preserve"> </w:t>
            </w:r>
            <w:r w:rsidR="00AD6401">
              <w:rPr>
                <w:lang w:val="en"/>
              </w:rPr>
              <w:t>T</w:t>
            </w:r>
            <w:r w:rsidR="005F13B9">
              <w:rPr>
                <w:lang w:val="en"/>
              </w:rPr>
              <w:t xml:space="preserve">he 29.8 per cent tariff on out of quota cheese imports would remain. </w:t>
            </w:r>
          </w:p>
          <w:p w:rsidR="00AD6401" w:rsidRDefault="00AD6401" w:rsidP="003D16C7">
            <w:pPr>
              <w:pStyle w:val="BoxListBullet"/>
              <w:rPr>
                <w:lang w:val="en"/>
              </w:rPr>
            </w:pPr>
            <w:r>
              <w:rPr>
                <w:lang w:val="en"/>
              </w:rPr>
              <w:t xml:space="preserve">Tariffs on most horticulture and seafood exports </w:t>
            </w:r>
            <w:r w:rsidR="00C034D9">
              <w:rPr>
                <w:lang w:val="en"/>
              </w:rPr>
              <w:t>would</w:t>
            </w:r>
            <w:r>
              <w:rPr>
                <w:lang w:val="en"/>
              </w:rPr>
              <w:t xml:space="preserve"> be eliminated.</w:t>
            </w:r>
          </w:p>
          <w:p w:rsidR="005F13B9" w:rsidRDefault="005F13B9" w:rsidP="003D16C7">
            <w:pPr>
              <w:pStyle w:val="BoxListBullet"/>
              <w:rPr>
                <w:lang w:val="en"/>
              </w:rPr>
            </w:pPr>
            <w:r>
              <w:rPr>
                <w:lang w:val="en"/>
              </w:rPr>
              <w:t>The bilateral tariff on Australian exports of international standard raw sugar to Japan would be reduced to zero and reduced levies would also apply.</w:t>
            </w:r>
          </w:p>
          <w:p w:rsidR="002D0A0A" w:rsidRDefault="005F13B9" w:rsidP="003D16C7">
            <w:pPr>
              <w:pStyle w:val="BoxListBullet"/>
              <w:rPr>
                <w:lang w:val="en"/>
              </w:rPr>
            </w:pPr>
            <w:r>
              <w:rPr>
                <w:lang w:val="en"/>
              </w:rPr>
              <w:t xml:space="preserve">Bilateral tariffs of up to 30 per cent on some manufactured products </w:t>
            </w:r>
            <w:r w:rsidR="001174D0">
              <w:rPr>
                <w:lang w:val="en"/>
              </w:rPr>
              <w:t xml:space="preserve">meeting eligibility requirements </w:t>
            </w:r>
            <w:r>
              <w:rPr>
                <w:lang w:val="en"/>
              </w:rPr>
              <w:t>would be eliminated</w:t>
            </w:r>
            <w:r w:rsidR="002D0A0A">
              <w:rPr>
                <w:lang w:val="en"/>
              </w:rPr>
              <w:t xml:space="preserve">. Bilateral tariffs on cars would be eliminated, except for the specific tariff on used cars which would be retained. </w:t>
            </w:r>
          </w:p>
          <w:p w:rsidR="005F13B9" w:rsidRDefault="002D0A0A" w:rsidP="003D16C7">
            <w:pPr>
              <w:pStyle w:val="BoxListBullet"/>
              <w:rPr>
                <w:lang w:val="en"/>
              </w:rPr>
            </w:pPr>
            <w:r>
              <w:rPr>
                <w:lang w:val="en"/>
              </w:rPr>
              <w:t>A</w:t>
            </w:r>
            <w:r w:rsidR="005F13B9">
              <w:rPr>
                <w:lang w:val="en"/>
              </w:rPr>
              <w:t xml:space="preserve">ll bilateral tariffs on energy and mineral </w:t>
            </w:r>
            <w:r w:rsidR="00AD6401">
              <w:rPr>
                <w:lang w:val="en"/>
              </w:rPr>
              <w:t xml:space="preserve">exports </w:t>
            </w:r>
            <w:r w:rsidR="005F13B9">
              <w:rPr>
                <w:lang w:val="en"/>
              </w:rPr>
              <w:t xml:space="preserve">would be eliminated within </w:t>
            </w:r>
            <w:r>
              <w:rPr>
                <w:lang w:val="en"/>
              </w:rPr>
              <w:t>10</w:t>
            </w:r>
            <w:r w:rsidR="002C23DF">
              <w:rPr>
                <w:lang w:val="en"/>
              </w:rPr>
              <w:t> </w:t>
            </w:r>
            <w:r w:rsidR="005F13B9">
              <w:rPr>
                <w:lang w:val="en"/>
              </w:rPr>
              <w:t>years</w:t>
            </w:r>
            <w:r w:rsidR="00E76FE6">
              <w:rPr>
                <w:lang w:val="en"/>
              </w:rPr>
              <w:t>.</w:t>
            </w:r>
          </w:p>
          <w:p w:rsidR="005F13B9" w:rsidRDefault="005F13B9" w:rsidP="003D16C7">
            <w:pPr>
              <w:pStyle w:val="Box"/>
              <w:rPr>
                <w:lang w:val="en"/>
              </w:rPr>
            </w:pPr>
            <w:r>
              <w:rPr>
                <w:lang w:val="en"/>
              </w:rPr>
              <w:t xml:space="preserve">Under the agreement, Australia would raise the screening threshold for private Japanese investment in non-sensitive sectors to the threshold applied to </w:t>
            </w:r>
            <w:r w:rsidR="00524D55">
              <w:rPr>
                <w:lang w:val="en"/>
              </w:rPr>
              <w:t xml:space="preserve">private investment from </w:t>
            </w:r>
            <w:r>
              <w:rPr>
                <w:lang w:val="en"/>
              </w:rPr>
              <w:t>New Zealand, the United States and Korea</w:t>
            </w:r>
            <w:r w:rsidR="00AE1AB7">
              <w:rPr>
                <w:lang w:val="en"/>
              </w:rPr>
              <w:t xml:space="preserve"> (on entry into force)</w:t>
            </w:r>
            <w:r>
              <w:rPr>
                <w:lang w:val="en"/>
              </w:rPr>
              <w:t>.</w:t>
            </w:r>
          </w:p>
          <w:p w:rsidR="005F13B9" w:rsidRDefault="005F13B9" w:rsidP="003F5E4F">
            <w:pPr>
              <w:pStyle w:val="Box"/>
            </w:pPr>
            <w:r>
              <w:rPr>
                <w:lang w:val="en"/>
              </w:rPr>
              <w:t>The agreement also includes bilateral commitments on intellectual property and provides for national treatment of the goods, services and suppliers of either Party for government procurement above agreed value thresholds. The EPA will not contain an investor state-dispute settlement mechanism.</w:t>
            </w:r>
            <w:r w:rsidRPr="00F74376">
              <w:rPr>
                <w:lang w:val="en"/>
              </w:rPr>
              <w:t xml:space="preserve"> </w:t>
            </w:r>
          </w:p>
        </w:tc>
      </w:tr>
      <w:tr w:rsidR="005F13B9">
        <w:trPr>
          <w:cantSplit/>
        </w:trPr>
        <w:tc>
          <w:tcPr>
            <w:tcW w:w="8771" w:type="dxa"/>
            <w:tcBorders>
              <w:top w:val="nil"/>
              <w:left w:val="single" w:sz="6" w:space="0" w:color="auto"/>
              <w:bottom w:val="nil"/>
              <w:right w:val="single" w:sz="6" w:space="0" w:color="auto"/>
            </w:tcBorders>
          </w:tcPr>
          <w:p w:rsidR="005F13B9" w:rsidRDefault="005F13B9" w:rsidP="005F13B9">
            <w:pPr>
              <w:pStyle w:val="BoxSource"/>
            </w:pPr>
            <w:r>
              <w:rPr>
                <w:i/>
              </w:rPr>
              <w:t>Source</w:t>
            </w:r>
            <w:r w:rsidRPr="00167F06">
              <w:t xml:space="preserve">: </w:t>
            </w:r>
            <w:proofErr w:type="spellStart"/>
            <w:r>
              <w:rPr>
                <w:lang w:val="en"/>
              </w:rPr>
              <w:t>DFAT</w:t>
            </w:r>
            <w:proofErr w:type="spellEnd"/>
            <w:r>
              <w:rPr>
                <w:lang w:val="en"/>
              </w:rPr>
              <w:t> </w:t>
            </w:r>
            <w:r w:rsidR="00CC2722">
              <w:rPr>
                <w:lang w:val="en"/>
              </w:rPr>
              <w:t>(</w:t>
            </w:r>
            <w:proofErr w:type="spellStart"/>
            <w:r>
              <w:rPr>
                <w:lang w:val="en"/>
              </w:rPr>
              <w:t>2014</w:t>
            </w:r>
            <w:r w:rsidR="00731D8F">
              <w:rPr>
                <w:lang w:val="en"/>
              </w:rPr>
              <w:t>e</w:t>
            </w:r>
            <w:proofErr w:type="spellEnd"/>
            <w:r w:rsidR="00CC2722">
              <w:rPr>
                <w:lang w:val="en"/>
              </w:rPr>
              <w:t>)</w:t>
            </w:r>
            <w:r>
              <w:t>.</w:t>
            </w:r>
          </w:p>
        </w:tc>
      </w:tr>
      <w:tr w:rsidR="005F13B9">
        <w:trPr>
          <w:cantSplit/>
        </w:trPr>
        <w:tc>
          <w:tcPr>
            <w:tcW w:w="8771" w:type="dxa"/>
            <w:tcBorders>
              <w:top w:val="nil"/>
              <w:left w:val="single" w:sz="6" w:space="0" w:color="auto"/>
              <w:bottom w:val="single" w:sz="6" w:space="0" w:color="auto"/>
              <w:right w:val="single" w:sz="6" w:space="0" w:color="auto"/>
            </w:tcBorders>
          </w:tcPr>
          <w:p w:rsidR="005F13B9" w:rsidRDefault="005F13B9">
            <w:pPr>
              <w:pStyle w:val="Box"/>
              <w:spacing w:before="0" w:line="120" w:lineRule="exact"/>
            </w:pPr>
          </w:p>
        </w:tc>
      </w:tr>
      <w:tr w:rsidR="005F13B9" w:rsidRPr="000863A5">
        <w:tc>
          <w:tcPr>
            <w:tcW w:w="8771" w:type="dxa"/>
            <w:tcBorders>
              <w:top w:val="nil"/>
              <w:left w:val="nil"/>
              <w:bottom w:val="nil"/>
              <w:right w:val="nil"/>
            </w:tcBorders>
          </w:tcPr>
          <w:p w:rsidR="005F13B9" w:rsidRPr="00626D32" w:rsidRDefault="005F13B9" w:rsidP="00B82D0E">
            <w:pPr>
              <w:pStyle w:val="BoxSpaceBelow"/>
            </w:pPr>
          </w:p>
        </w:tc>
      </w:tr>
    </w:tbl>
    <w:p w:rsidR="002D0A0A" w:rsidRPr="000F3D2F" w:rsidRDefault="002D0A0A" w:rsidP="002D0A0A">
      <w:pPr>
        <w:pStyle w:val="Heading3"/>
      </w:pPr>
      <w:r>
        <w:t>Regional agreements</w:t>
      </w:r>
    </w:p>
    <w:p w:rsidR="002D0A0A" w:rsidRPr="009024B0" w:rsidRDefault="002D0A0A" w:rsidP="002D0A0A">
      <w:pPr>
        <w:pStyle w:val="BodyText"/>
      </w:pPr>
      <w:r>
        <w:t>In addition to bilateral agreements, Australia is a negotiating party to two possible regional trade agreements — the Regional Comprehensive Economic P</w:t>
      </w:r>
      <w:r w:rsidR="00A61BFA">
        <w:t>artnership (</w:t>
      </w:r>
      <w:proofErr w:type="spellStart"/>
      <w:r w:rsidR="00A61BFA">
        <w:t>RCEP</w:t>
      </w:r>
      <w:proofErr w:type="spellEnd"/>
      <w:r w:rsidR="00A61BFA">
        <w:t>) and the Trans-</w:t>
      </w:r>
      <w:r>
        <w:t>Pacific Partnership (</w:t>
      </w:r>
      <w:proofErr w:type="spellStart"/>
      <w:r>
        <w:t>TPP</w:t>
      </w:r>
      <w:proofErr w:type="spellEnd"/>
      <w:r>
        <w:t xml:space="preserve">). Both proposals could serve to harmonise the disparate provisions (for example, with respect to rules of origin) contained in existing bilateral agreements among negotiating parties to the respective agreements. However, there is a likelihood that a </w:t>
      </w:r>
      <w:proofErr w:type="spellStart"/>
      <w:r>
        <w:t>RCEP</w:t>
      </w:r>
      <w:proofErr w:type="spellEnd"/>
      <w:r>
        <w:t xml:space="preserve"> or a </w:t>
      </w:r>
      <w:proofErr w:type="spellStart"/>
      <w:r>
        <w:t>TPP</w:t>
      </w:r>
      <w:proofErr w:type="spellEnd"/>
      <w:r>
        <w:t xml:space="preserve"> </w:t>
      </w:r>
      <w:r w:rsidR="00292119">
        <w:t xml:space="preserve">bloc </w:t>
      </w:r>
      <w:r>
        <w:lastRenderedPageBreak/>
        <w:t>will discriminate against nations</w:t>
      </w:r>
      <w:r w:rsidR="00292119">
        <w:t xml:space="preserve"> excluded from the respective agreements</w:t>
      </w:r>
      <w:r>
        <w:t>, to the detriment of efficient resource allocation, global trade and growth. There is also a risk that specific provisions within these agreements including those relating to intellectual property, investor state dispute settlement and product-specific rules of origin will impose net costs on trading partner economies. These concerns have been heightened by a lack of transparency of the actual provisions being negotiated; which would matter less if — following negotiation — there was a transparent</w:t>
      </w:r>
      <w:r w:rsidR="00C47E00">
        <w:t>,</w:t>
      </w:r>
      <w:r>
        <w:t xml:space="preserve"> </w:t>
      </w:r>
      <w:r w:rsidR="006C2CD4">
        <w:t xml:space="preserve">arms-length </w:t>
      </w:r>
      <w:r>
        <w:t xml:space="preserve">process </w:t>
      </w:r>
      <w:r w:rsidR="006C2CD4">
        <w:t xml:space="preserve">of assessment </w:t>
      </w:r>
      <w:r w:rsidR="00C47E00">
        <w:t xml:space="preserve">that </w:t>
      </w:r>
      <w:r>
        <w:t>preceded political commitments being made. Currently, there is not.</w:t>
      </w:r>
    </w:p>
    <w:p w:rsidR="0059403D" w:rsidRDefault="001E5527" w:rsidP="003D16C7">
      <w:pPr>
        <w:pStyle w:val="Heading4"/>
      </w:pPr>
      <w:r>
        <w:t xml:space="preserve">Regional </w:t>
      </w:r>
      <w:r w:rsidR="0059403D">
        <w:t>Comprehensive Economic Partnership</w:t>
      </w:r>
    </w:p>
    <w:p w:rsidR="00ED40A4" w:rsidRDefault="000A05C9" w:rsidP="00DD2871">
      <w:pPr>
        <w:pStyle w:val="BodyText"/>
      </w:pPr>
      <w:proofErr w:type="spellStart"/>
      <w:r>
        <w:t>RCEP</w:t>
      </w:r>
      <w:proofErr w:type="spellEnd"/>
      <w:r>
        <w:t xml:space="preserve"> </w:t>
      </w:r>
      <w:r w:rsidR="00376E08">
        <w:t xml:space="preserve">is </w:t>
      </w:r>
      <w:r w:rsidR="00FD020E">
        <w:t xml:space="preserve">an ASEAN-centred proposal </w:t>
      </w:r>
      <w:r w:rsidR="002D72CF">
        <w:t xml:space="preserve">for a regional </w:t>
      </w:r>
      <w:r w:rsidR="00040B57">
        <w:t xml:space="preserve">preferential </w:t>
      </w:r>
      <w:r w:rsidR="002D72CF">
        <w:t>trad</w:t>
      </w:r>
      <w:r w:rsidR="00040B57">
        <w:t xml:space="preserve">ing bloc </w:t>
      </w:r>
      <w:r w:rsidR="002D72CF">
        <w:t xml:space="preserve">which would initially include the </w:t>
      </w:r>
      <w:r w:rsidR="0013250B">
        <w:t xml:space="preserve">ten </w:t>
      </w:r>
      <w:r w:rsidR="002D72CF">
        <w:t xml:space="preserve">ASEAN member states and countries which have an existing </w:t>
      </w:r>
      <w:r w:rsidR="00390ACD">
        <w:t>trad</w:t>
      </w:r>
      <w:r w:rsidR="00783EC5">
        <w:t>e agreement</w:t>
      </w:r>
      <w:r w:rsidR="002D72CF">
        <w:t xml:space="preserve"> with ASEAN. </w:t>
      </w:r>
      <w:r w:rsidR="00F86E21">
        <w:t xml:space="preserve">Those countries are </w:t>
      </w:r>
      <w:r w:rsidR="009963D4">
        <w:t>Australia, China, India, Japan, Korea and New Zealand.</w:t>
      </w:r>
      <w:r w:rsidR="00922459">
        <w:rPr>
          <w:rStyle w:val="FootnoteReference"/>
        </w:rPr>
        <w:footnoteReference w:id="3"/>
      </w:r>
      <w:r w:rsidR="00071DF9">
        <w:t xml:space="preserve"> </w:t>
      </w:r>
      <w:proofErr w:type="spellStart"/>
      <w:r w:rsidR="006A2652">
        <w:t>R</w:t>
      </w:r>
      <w:r w:rsidR="00587503">
        <w:t>CEP</w:t>
      </w:r>
      <w:proofErr w:type="spellEnd"/>
      <w:r w:rsidR="00587503">
        <w:t xml:space="preserve"> would create the world’s largest trading bloc with the </w:t>
      </w:r>
      <w:r w:rsidR="00071DF9">
        <w:t>16 participating countries account</w:t>
      </w:r>
      <w:r w:rsidR="00587503">
        <w:t>ing</w:t>
      </w:r>
      <w:r w:rsidR="00071DF9">
        <w:t xml:space="preserve"> for almost half the world’s population, </w:t>
      </w:r>
      <w:r w:rsidR="006F5AA1">
        <w:t>30 </w:t>
      </w:r>
      <w:r w:rsidR="00071DF9">
        <w:t xml:space="preserve">per cent of global GDP and more than </w:t>
      </w:r>
      <w:r w:rsidR="006F5AA1">
        <w:t>25 </w:t>
      </w:r>
      <w:r w:rsidR="00071DF9">
        <w:t>per cent of global exports</w:t>
      </w:r>
      <w:r w:rsidR="00382B11">
        <w:t xml:space="preserve"> </w:t>
      </w:r>
      <w:r w:rsidR="00E1193E">
        <w:t>(</w:t>
      </w:r>
      <w:proofErr w:type="spellStart"/>
      <w:r w:rsidR="00E1193E">
        <w:t>DFAT</w:t>
      </w:r>
      <w:proofErr w:type="spellEnd"/>
      <w:r w:rsidR="00E1193E">
        <w:t xml:space="preserve"> </w:t>
      </w:r>
      <w:proofErr w:type="spellStart"/>
      <w:r w:rsidR="00E1193E">
        <w:t>2014</w:t>
      </w:r>
      <w:r w:rsidR="00731D8F">
        <w:t>f</w:t>
      </w:r>
      <w:proofErr w:type="spellEnd"/>
      <w:r w:rsidR="00E1193E">
        <w:t>)</w:t>
      </w:r>
      <w:r w:rsidR="00071DF9">
        <w:t>.</w:t>
      </w:r>
      <w:r w:rsidR="003659ED">
        <w:t xml:space="preserve"> </w:t>
      </w:r>
      <w:r w:rsidR="00191537">
        <w:t xml:space="preserve">Negotiations began in early 2013 and aim to be completed by </w:t>
      </w:r>
      <w:r w:rsidR="00922459">
        <w:t xml:space="preserve">the end </w:t>
      </w:r>
      <w:r w:rsidR="002C23DF">
        <w:t xml:space="preserve">of </w:t>
      </w:r>
      <w:r w:rsidR="00191537">
        <w:t xml:space="preserve">2015. </w:t>
      </w:r>
      <w:r w:rsidR="007E6738">
        <w:t xml:space="preserve">The key features of the </w:t>
      </w:r>
      <w:r w:rsidR="00040B57">
        <w:t xml:space="preserve">proposed </w:t>
      </w:r>
      <w:proofErr w:type="spellStart"/>
      <w:r w:rsidR="007E6738">
        <w:t>RCEP</w:t>
      </w:r>
      <w:proofErr w:type="spellEnd"/>
      <w:r w:rsidR="007E6738">
        <w:t xml:space="preserve"> agreement are described in </w:t>
      </w:r>
      <w:r w:rsidR="005D5E91">
        <w:t>box </w:t>
      </w:r>
      <w:r w:rsidR="001F6EE1">
        <w:t>6</w:t>
      </w:r>
      <w:r w:rsidR="007E6738">
        <w:t>.4.</w:t>
      </w:r>
    </w:p>
    <w:p w:rsidR="006F5AA1" w:rsidRDefault="00D44794" w:rsidP="006F5AA1">
      <w:pPr>
        <w:pStyle w:val="BodyText"/>
      </w:pPr>
      <w:r>
        <w:t>In consideration of the</w:t>
      </w:r>
      <w:r w:rsidR="006F5AA1" w:rsidRPr="00981EF1">
        <w:t xml:space="preserve"> differen</w:t>
      </w:r>
      <w:r w:rsidR="002A3C6E">
        <w:t xml:space="preserve">t levels </w:t>
      </w:r>
      <w:r>
        <w:t>of development of the participating countries</w:t>
      </w:r>
      <w:r w:rsidR="006F5AA1" w:rsidRPr="00981EF1">
        <w:t xml:space="preserve">, the </w:t>
      </w:r>
      <w:proofErr w:type="spellStart"/>
      <w:r w:rsidR="006F5AA1" w:rsidRPr="00981EF1">
        <w:t>RCEP</w:t>
      </w:r>
      <w:proofErr w:type="spellEnd"/>
      <w:r w:rsidR="006F5AA1" w:rsidRPr="00981EF1">
        <w:t xml:space="preserve"> framework includes </w:t>
      </w:r>
      <w:r w:rsidR="000E3655">
        <w:t>‘</w:t>
      </w:r>
      <w:r w:rsidR="00607359">
        <w:t xml:space="preserve">… </w:t>
      </w:r>
      <w:r w:rsidR="00946BB9">
        <w:t>appropriate forms of</w:t>
      </w:r>
      <w:r w:rsidR="006F5AA1" w:rsidRPr="00981EF1">
        <w:t xml:space="preserve"> flexibility </w:t>
      </w:r>
      <w:r w:rsidR="00291654">
        <w:t xml:space="preserve">including </w:t>
      </w:r>
      <w:r w:rsidR="006F5AA1" w:rsidRPr="00981EF1">
        <w:t>provision for special and differential treatment</w:t>
      </w:r>
      <w:r>
        <w:t xml:space="preserve">, plus additional flexibility </w:t>
      </w:r>
      <w:r w:rsidR="000E3655">
        <w:t xml:space="preserve">to </w:t>
      </w:r>
      <w:r>
        <w:t>the least</w:t>
      </w:r>
      <w:r w:rsidR="00A1614E">
        <w:t>-</w:t>
      </w:r>
      <w:r>
        <w:t>developed ASEAN</w:t>
      </w:r>
      <w:r w:rsidR="006F5AA1" w:rsidRPr="00981EF1">
        <w:t xml:space="preserve"> </w:t>
      </w:r>
      <w:r w:rsidR="000E3655">
        <w:t>M</w:t>
      </w:r>
      <w:r w:rsidR="006F5AA1" w:rsidRPr="00981EF1">
        <w:t xml:space="preserve">ember </w:t>
      </w:r>
      <w:r w:rsidR="000E3655">
        <w:t>S</w:t>
      </w:r>
      <w:r w:rsidR="006F5AA1" w:rsidRPr="00981EF1">
        <w:t>tates</w:t>
      </w:r>
      <w:r w:rsidR="000E3655">
        <w:t>,</w:t>
      </w:r>
      <w:r>
        <w:t xml:space="preserve"> consistent</w:t>
      </w:r>
      <w:r w:rsidR="00382B11">
        <w:t xml:space="preserve"> with</w:t>
      </w:r>
      <w:r>
        <w:t xml:space="preserve"> the </w:t>
      </w:r>
      <w:r w:rsidR="00A1614E">
        <w:t xml:space="preserve">existing </w:t>
      </w:r>
      <w:proofErr w:type="spellStart"/>
      <w:r>
        <w:t>ASEAN+1</w:t>
      </w:r>
      <w:proofErr w:type="spellEnd"/>
      <w:r>
        <w:t xml:space="preserve"> </w:t>
      </w:r>
      <w:proofErr w:type="spellStart"/>
      <w:r w:rsidR="000E3655">
        <w:t>FTAs</w:t>
      </w:r>
      <w:proofErr w:type="spellEnd"/>
      <w:r w:rsidR="00644D42">
        <w:t> </w:t>
      </w:r>
      <w:r w:rsidR="00812F59">
        <w:t>…’</w:t>
      </w:r>
      <w:r>
        <w:t xml:space="preserve"> (ASEAN</w:t>
      </w:r>
      <w:r w:rsidR="001F665B">
        <w:t> </w:t>
      </w:r>
      <w:r>
        <w:t>2013</w:t>
      </w:r>
      <w:r w:rsidR="00530834">
        <w:t>, p.</w:t>
      </w:r>
      <w:r w:rsidR="002C23DF">
        <w:t> </w:t>
      </w:r>
      <w:r w:rsidR="00530834">
        <w:t>1</w:t>
      </w:r>
      <w:r>
        <w:t>).</w:t>
      </w:r>
      <w:r w:rsidR="006F5AA1">
        <w:t xml:space="preserve"> </w:t>
      </w:r>
      <w:r w:rsidR="0003552C">
        <w:t xml:space="preserve">While </w:t>
      </w:r>
      <w:proofErr w:type="spellStart"/>
      <w:r w:rsidR="00CF214D">
        <w:t>RCEP</w:t>
      </w:r>
      <w:proofErr w:type="spellEnd"/>
      <w:r w:rsidR="00CF214D">
        <w:t xml:space="preserve"> </w:t>
      </w:r>
      <w:r w:rsidR="00EC3A79">
        <w:t xml:space="preserve">partly </w:t>
      </w:r>
      <w:r w:rsidR="00CF214D">
        <w:t xml:space="preserve">aims to address concerns about the ‘noodle bowl’ of overlapping bilateral agreements between negotiating parties, </w:t>
      </w:r>
      <w:r w:rsidR="00F375A3">
        <w:t>the flexibility provisions and</w:t>
      </w:r>
      <w:r w:rsidR="00382B11">
        <w:t xml:space="preserve"> the</w:t>
      </w:r>
      <w:r w:rsidR="006F5AA1">
        <w:t xml:space="preserve"> </w:t>
      </w:r>
      <w:r w:rsidR="006F5AA1" w:rsidRPr="00981EF1">
        <w:t xml:space="preserve">lack of commonality in the existing </w:t>
      </w:r>
      <w:r w:rsidR="00886928">
        <w:t>five</w:t>
      </w:r>
      <w:r w:rsidR="00055052" w:rsidRPr="00981EF1">
        <w:t xml:space="preserve"> </w:t>
      </w:r>
      <w:proofErr w:type="spellStart"/>
      <w:r w:rsidR="006F5AA1" w:rsidRPr="00981EF1">
        <w:t>ASEAN+1</w:t>
      </w:r>
      <w:proofErr w:type="spellEnd"/>
      <w:r w:rsidR="006F5AA1" w:rsidRPr="00981EF1">
        <w:t xml:space="preserve"> agreements and </w:t>
      </w:r>
      <w:r w:rsidR="00382B11">
        <w:t xml:space="preserve">the </w:t>
      </w:r>
      <w:r w:rsidR="00055052">
        <w:t>23</w:t>
      </w:r>
      <w:r w:rsidR="006F5AA1" w:rsidRPr="00981EF1">
        <w:t xml:space="preserve"> ratified bilateral </w:t>
      </w:r>
      <w:r w:rsidR="006F5AA1">
        <w:t>agreements</w:t>
      </w:r>
      <w:r w:rsidR="006F5AA1" w:rsidRPr="00981EF1">
        <w:t xml:space="preserve"> </w:t>
      </w:r>
      <w:r w:rsidR="00F375A3">
        <w:t>as well as</w:t>
      </w:r>
      <w:r w:rsidR="006F5AA1" w:rsidRPr="00981EF1">
        <w:t xml:space="preserve"> varying internal policies could </w:t>
      </w:r>
      <w:r w:rsidR="006F5AA1">
        <w:t>prove</w:t>
      </w:r>
      <w:r w:rsidR="006F5AA1" w:rsidRPr="00981EF1">
        <w:t xml:space="preserve"> difficult to harmonise and consolidate under a comprehensive </w:t>
      </w:r>
      <w:proofErr w:type="spellStart"/>
      <w:r w:rsidR="006F5AA1" w:rsidRPr="00981EF1">
        <w:t>RCEP</w:t>
      </w:r>
      <w:proofErr w:type="spellEnd"/>
      <w:r w:rsidR="006F5AA1" w:rsidRPr="00981EF1">
        <w:t xml:space="preserve"> agreement. </w:t>
      </w:r>
      <w:r w:rsidR="00382B11">
        <w:t>For example,</w:t>
      </w:r>
      <w:r w:rsidR="006F5AA1" w:rsidRPr="00981EF1">
        <w:t xml:space="preserve"> </w:t>
      </w:r>
      <w:r w:rsidR="006F5AA1">
        <w:t>the</w:t>
      </w:r>
      <w:r w:rsidR="00382B11">
        <w:t>re are</w:t>
      </w:r>
      <w:r w:rsidR="006F5AA1">
        <w:t xml:space="preserve"> substantive </w:t>
      </w:r>
      <w:r w:rsidR="006F5AA1" w:rsidRPr="00981EF1">
        <w:t>differ</w:t>
      </w:r>
      <w:r w:rsidR="006F5AA1">
        <w:t xml:space="preserve">ences in rules of origin </w:t>
      </w:r>
      <w:r w:rsidR="006F5AA1" w:rsidRPr="00981EF1">
        <w:t>for individual goods across agreements</w:t>
      </w:r>
      <w:r w:rsidR="00382B11">
        <w:t xml:space="preserve"> which could prove difficult to harmonise</w:t>
      </w:r>
      <w:r w:rsidR="006F5AA1" w:rsidRPr="00981EF1">
        <w:t>.</w:t>
      </w:r>
    </w:p>
    <w:p w:rsidR="00ED40A4" w:rsidRDefault="00ED40A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D40A4">
        <w:tc>
          <w:tcPr>
            <w:tcW w:w="8771" w:type="dxa"/>
            <w:tcBorders>
              <w:top w:val="single" w:sz="6" w:space="0" w:color="auto"/>
              <w:bottom w:val="nil"/>
            </w:tcBorders>
          </w:tcPr>
          <w:p w:rsidR="00ED40A4" w:rsidRDefault="00ED40A4">
            <w:pPr>
              <w:pStyle w:val="BoxTitle"/>
            </w:pPr>
            <w:r>
              <w:rPr>
                <w:b w:val="0"/>
              </w:rPr>
              <w:t xml:space="preserve">Box </w:t>
            </w:r>
            <w:r w:rsidR="000B5158">
              <w:rPr>
                <w:b w:val="0"/>
              </w:rPr>
              <w:t>6.</w:t>
            </w:r>
            <w:r w:rsidR="00CE0B5E">
              <w:rPr>
                <w:b w:val="0"/>
                <w:noProof/>
              </w:rPr>
              <w:t>4</w:t>
            </w:r>
            <w:r>
              <w:tab/>
              <w:t xml:space="preserve">Regional Comprehensive Economic </w:t>
            </w:r>
            <w:r w:rsidR="00CE3081">
              <w:t>P</w:t>
            </w:r>
            <w:r>
              <w:t xml:space="preserve">artnership </w:t>
            </w:r>
            <w:r w:rsidR="009A2CCC">
              <w:t>features</w:t>
            </w:r>
          </w:p>
        </w:tc>
      </w:tr>
      <w:tr w:rsidR="00ED40A4">
        <w:trPr>
          <w:cantSplit/>
        </w:trPr>
        <w:tc>
          <w:tcPr>
            <w:tcW w:w="8771" w:type="dxa"/>
            <w:tcBorders>
              <w:top w:val="nil"/>
              <w:left w:val="single" w:sz="6" w:space="0" w:color="auto"/>
              <w:bottom w:val="nil"/>
              <w:right w:val="single" w:sz="6" w:space="0" w:color="auto"/>
            </w:tcBorders>
          </w:tcPr>
          <w:p w:rsidR="00ED40A4" w:rsidRDefault="00ED40A4" w:rsidP="003D16C7">
            <w:pPr>
              <w:pStyle w:val="Box"/>
            </w:pPr>
            <w:r>
              <w:t xml:space="preserve">The core of the </w:t>
            </w:r>
            <w:proofErr w:type="spellStart"/>
            <w:r w:rsidR="0037743D">
              <w:t>RCEP</w:t>
            </w:r>
            <w:proofErr w:type="spellEnd"/>
            <w:r w:rsidR="0037743D">
              <w:t xml:space="preserve"> </w:t>
            </w:r>
            <w:r>
              <w:t>negotiating agreement will cover:</w:t>
            </w:r>
          </w:p>
          <w:p w:rsidR="00ED40A4" w:rsidRPr="004C18E3" w:rsidRDefault="00ED40A4" w:rsidP="004C18E3">
            <w:pPr>
              <w:pStyle w:val="BoxListBullet"/>
            </w:pPr>
            <w:r w:rsidRPr="004C18E3">
              <w:t xml:space="preserve">trade in goods </w:t>
            </w:r>
            <w:r>
              <w:t>–</w:t>
            </w:r>
            <w:r w:rsidRPr="004C18E3">
              <w:t xml:space="preserve"> </w:t>
            </w:r>
            <w:r w:rsidR="00982929">
              <w:t xml:space="preserve">intended to </w:t>
            </w:r>
            <w:r w:rsidRPr="004C18E3">
              <w:t>progressive</w:t>
            </w:r>
            <w:r w:rsidR="00982929">
              <w:t>ly</w:t>
            </w:r>
            <w:r w:rsidRPr="004C18E3">
              <w:t xml:space="preserve"> eliminat</w:t>
            </w:r>
            <w:r w:rsidR="00982929">
              <w:t>e</w:t>
            </w:r>
            <w:r w:rsidRPr="004C18E3">
              <w:t xml:space="preserve"> tariff and non-tariff barriers on </w:t>
            </w:r>
            <w:r w:rsidRPr="00812F59">
              <w:rPr>
                <w:i/>
              </w:rPr>
              <w:t>substantially</w:t>
            </w:r>
            <w:r w:rsidRPr="004C18E3">
              <w:t xml:space="preserve"> all trade</w:t>
            </w:r>
            <w:r w:rsidR="00706F15">
              <w:t xml:space="preserve"> in goods</w:t>
            </w:r>
            <w:r w:rsidRPr="004C18E3">
              <w:t>;</w:t>
            </w:r>
          </w:p>
          <w:p w:rsidR="00ED40A4" w:rsidRPr="004C18E3" w:rsidRDefault="00ED40A4" w:rsidP="004C18E3">
            <w:pPr>
              <w:pStyle w:val="BoxListBullet"/>
            </w:pPr>
            <w:r w:rsidRPr="004C18E3">
              <w:t xml:space="preserve">services </w:t>
            </w:r>
            <w:r>
              <w:t xml:space="preserve">– </w:t>
            </w:r>
            <w:r w:rsidR="009D193B">
              <w:t xml:space="preserve">intended </w:t>
            </w:r>
            <w:r w:rsidR="008C63F6">
              <w:t xml:space="preserve">to </w:t>
            </w:r>
            <w:r>
              <w:t>substantial</w:t>
            </w:r>
            <w:r w:rsidR="008C63F6">
              <w:t>ly</w:t>
            </w:r>
            <w:r>
              <w:t xml:space="preserve"> eliminat</w:t>
            </w:r>
            <w:r w:rsidR="008C63F6">
              <w:t>e</w:t>
            </w:r>
            <w:r w:rsidRPr="004C18E3">
              <w:t xml:space="preserve"> restrictions and/or discriminatory measures consistent with the WTO General Agreement on Trade in Services (GATS);</w:t>
            </w:r>
          </w:p>
          <w:p w:rsidR="00ED40A4" w:rsidRPr="004C18E3" w:rsidRDefault="00ED40A4" w:rsidP="004C18E3">
            <w:pPr>
              <w:pStyle w:val="BoxListBullet"/>
            </w:pPr>
            <w:r w:rsidRPr="004C18E3">
              <w:t xml:space="preserve">investment </w:t>
            </w:r>
            <w:r w:rsidR="008C63F6">
              <w:t>–</w:t>
            </w:r>
            <w:r w:rsidRPr="004C18E3">
              <w:t xml:space="preserve"> </w:t>
            </w:r>
            <w:r w:rsidR="009D193B">
              <w:t xml:space="preserve">intended </w:t>
            </w:r>
            <w:r w:rsidR="008C63F6">
              <w:t xml:space="preserve">to address </w:t>
            </w:r>
            <w:r w:rsidRPr="004C18E3">
              <w:t>issues of investment promotion, protection, facilitation and liberalisation;</w:t>
            </w:r>
          </w:p>
          <w:p w:rsidR="00ED40A4" w:rsidRPr="004C18E3" w:rsidRDefault="00ED40A4" w:rsidP="004C18E3">
            <w:pPr>
              <w:pStyle w:val="BoxListBullet"/>
            </w:pPr>
            <w:r w:rsidRPr="004C18E3">
              <w:t xml:space="preserve">economic and technical cooperation </w:t>
            </w:r>
            <w:r>
              <w:t xml:space="preserve">– </w:t>
            </w:r>
            <w:r w:rsidR="009D193B">
              <w:t xml:space="preserve">intended </w:t>
            </w:r>
            <w:r w:rsidR="008C63F6">
              <w:t xml:space="preserve">to </w:t>
            </w:r>
            <w:r>
              <w:t>narrow</w:t>
            </w:r>
            <w:r w:rsidRPr="004C18E3">
              <w:t xml:space="preserve"> development gaps among parties including through electronic commerce;</w:t>
            </w:r>
          </w:p>
          <w:p w:rsidR="00ED40A4" w:rsidRPr="004C18E3" w:rsidRDefault="00ED40A4" w:rsidP="004C18E3">
            <w:pPr>
              <w:pStyle w:val="BoxListBullet"/>
            </w:pPr>
            <w:r w:rsidRPr="004C18E3">
              <w:t xml:space="preserve">intellectual property </w:t>
            </w:r>
            <w:r>
              <w:t xml:space="preserve">– </w:t>
            </w:r>
            <w:r w:rsidR="009D193B">
              <w:t xml:space="preserve">intended </w:t>
            </w:r>
            <w:r w:rsidR="008C63F6">
              <w:t xml:space="preserve">to </w:t>
            </w:r>
            <w:r>
              <w:t>reduc</w:t>
            </w:r>
            <w:r w:rsidR="008C63F6">
              <w:t>e</w:t>
            </w:r>
            <w:r w:rsidRPr="004C18E3">
              <w:t xml:space="preserve"> IP-related barriers to trade and investment</w:t>
            </w:r>
            <w:r w:rsidR="000C5BCC">
              <w:t xml:space="preserve"> including through protection and enforcement of intellectual property rights</w:t>
            </w:r>
            <w:r w:rsidRPr="004C18E3">
              <w:t>;</w:t>
            </w:r>
          </w:p>
          <w:p w:rsidR="00ED40A4" w:rsidRPr="004C18E3" w:rsidRDefault="00ED40A4" w:rsidP="004C18E3">
            <w:pPr>
              <w:pStyle w:val="BoxListBullet"/>
            </w:pPr>
            <w:r w:rsidRPr="004C18E3">
              <w:t xml:space="preserve">competition </w:t>
            </w:r>
            <w:r>
              <w:t>–</w:t>
            </w:r>
            <w:r w:rsidRPr="004C18E3">
              <w:t xml:space="preserve"> </w:t>
            </w:r>
            <w:r w:rsidR="009D193B">
              <w:t xml:space="preserve">intended </w:t>
            </w:r>
            <w:r w:rsidR="008C63F6">
              <w:t xml:space="preserve">to </w:t>
            </w:r>
            <w:r w:rsidRPr="004C18E3">
              <w:t xml:space="preserve">curtail </w:t>
            </w:r>
            <w:proofErr w:type="spellStart"/>
            <w:r w:rsidRPr="004C18E3">
              <w:t>anti-competitive</w:t>
            </w:r>
            <w:proofErr w:type="spellEnd"/>
            <w:r w:rsidRPr="004C18E3">
              <w:t xml:space="preserve"> practices while </w:t>
            </w:r>
            <w:r w:rsidR="00147136">
              <w:t xml:space="preserve">being </w:t>
            </w:r>
            <w:r w:rsidRPr="004C18E3">
              <w:t>cognisant of significant differences in the capacities of national regimes in this area;</w:t>
            </w:r>
          </w:p>
          <w:p w:rsidR="00ED40A4" w:rsidRPr="004C18E3" w:rsidRDefault="00ED40A4" w:rsidP="004C18E3">
            <w:pPr>
              <w:pStyle w:val="BoxListBullet"/>
            </w:pPr>
            <w:r w:rsidRPr="004C18E3">
              <w:t xml:space="preserve">dispute settlement </w:t>
            </w:r>
            <w:r>
              <w:t>–</w:t>
            </w:r>
            <w:r w:rsidRPr="004C18E3">
              <w:t xml:space="preserve"> </w:t>
            </w:r>
            <w:r w:rsidR="009D193B">
              <w:t>intended</w:t>
            </w:r>
            <w:r w:rsidR="008C63F6">
              <w:t xml:space="preserve"> to provide for </w:t>
            </w:r>
            <w:r w:rsidRPr="004C18E3">
              <w:t xml:space="preserve">an effective, efficient and transparent process of consultation and dispute settlement; and </w:t>
            </w:r>
          </w:p>
          <w:p w:rsidR="00ED40A4" w:rsidRDefault="00C2479B" w:rsidP="00E544FE">
            <w:pPr>
              <w:pStyle w:val="Box"/>
            </w:pPr>
            <w:proofErr w:type="spellStart"/>
            <w:r>
              <w:t>RCEP</w:t>
            </w:r>
            <w:proofErr w:type="spellEnd"/>
            <w:r>
              <w:t xml:space="preserve"> negotiations will </w:t>
            </w:r>
            <w:r w:rsidR="008B2ABA">
              <w:t xml:space="preserve">also </w:t>
            </w:r>
            <w:r>
              <w:t xml:space="preserve">consider including other </w:t>
            </w:r>
            <w:r w:rsidR="00ED40A4" w:rsidRPr="004C18E3">
              <w:t xml:space="preserve">issues covered by </w:t>
            </w:r>
            <w:r w:rsidR="00E544FE">
              <w:t>trade agreements</w:t>
            </w:r>
            <w:r w:rsidR="00E544FE" w:rsidRPr="004C18E3">
              <w:t xml:space="preserve"> </w:t>
            </w:r>
            <w:r w:rsidR="006609C4">
              <w:t xml:space="preserve">among </w:t>
            </w:r>
            <w:proofErr w:type="spellStart"/>
            <w:r w:rsidR="006609C4">
              <w:t>RCEP</w:t>
            </w:r>
            <w:proofErr w:type="spellEnd"/>
            <w:r w:rsidR="006609C4">
              <w:t xml:space="preserve"> participating </w:t>
            </w:r>
            <w:r w:rsidR="00AA18E9">
              <w:t>countries</w:t>
            </w:r>
            <w:r w:rsidR="0027127B">
              <w:t>,</w:t>
            </w:r>
            <w:r w:rsidR="00AA18E9">
              <w:t xml:space="preserve"> </w:t>
            </w:r>
            <w:r w:rsidR="00ED40A4" w:rsidRPr="004C18E3">
              <w:t xml:space="preserve">and </w:t>
            </w:r>
            <w:r w:rsidR="000465D3">
              <w:t xml:space="preserve">take into account </w:t>
            </w:r>
            <w:r w:rsidR="00ED40A4" w:rsidRPr="004C18E3">
              <w:t>new and emergin</w:t>
            </w:r>
            <w:r w:rsidR="004E3FA7" w:rsidRPr="004C18E3">
              <w:t>g issues relevant to business.</w:t>
            </w:r>
          </w:p>
        </w:tc>
      </w:tr>
      <w:tr w:rsidR="00ED40A4">
        <w:trPr>
          <w:cantSplit/>
        </w:trPr>
        <w:tc>
          <w:tcPr>
            <w:tcW w:w="8771" w:type="dxa"/>
            <w:tcBorders>
              <w:top w:val="nil"/>
              <w:left w:val="single" w:sz="6" w:space="0" w:color="auto"/>
              <w:bottom w:val="nil"/>
              <w:right w:val="single" w:sz="6" w:space="0" w:color="auto"/>
            </w:tcBorders>
          </w:tcPr>
          <w:p w:rsidR="00ED40A4" w:rsidRDefault="0037743D" w:rsidP="006F5AA1">
            <w:pPr>
              <w:pStyle w:val="BoxSource"/>
            </w:pPr>
            <w:r>
              <w:rPr>
                <w:i/>
              </w:rPr>
              <w:t>Source :</w:t>
            </w:r>
            <w:r>
              <w:t xml:space="preserve"> ASEAN</w:t>
            </w:r>
            <w:r w:rsidR="006F5AA1">
              <w:t> </w:t>
            </w:r>
            <w:r w:rsidR="00055052">
              <w:t>(</w:t>
            </w:r>
            <w:r>
              <w:t>2013</w:t>
            </w:r>
            <w:r w:rsidR="00055052">
              <w:t>)</w:t>
            </w:r>
            <w:r w:rsidR="00A10C24">
              <w:t>.</w:t>
            </w:r>
          </w:p>
        </w:tc>
      </w:tr>
      <w:tr w:rsidR="00ED40A4">
        <w:trPr>
          <w:cantSplit/>
        </w:trPr>
        <w:tc>
          <w:tcPr>
            <w:tcW w:w="8771" w:type="dxa"/>
            <w:tcBorders>
              <w:top w:val="nil"/>
              <w:left w:val="single" w:sz="6" w:space="0" w:color="auto"/>
              <w:bottom w:val="single" w:sz="6" w:space="0" w:color="auto"/>
              <w:right w:val="single" w:sz="6" w:space="0" w:color="auto"/>
            </w:tcBorders>
          </w:tcPr>
          <w:p w:rsidR="00ED40A4" w:rsidRDefault="00ED40A4">
            <w:pPr>
              <w:pStyle w:val="Box"/>
              <w:spacing w:before="0" w:line="120" w:lineRule="exact"/>
            </w:pPr>
          </w:p>
        </w:tc>
      </w:tr>
      <w:tr w:rsidR="00ED40A4" w:rsidRPr="000863A5">
        <w:tc>
          <w:tcPr>
            <w:tcW w:w="8771" w:type="dxa"/>
            <w:tcBorders>
              <w:top w:val="nil"/>
              <w:left w:val="nil"/>
              <w:bottom w:val="nil"/>
              <w:right w:val="nil"/>
            </w:tcBorders>
          </w:tcPr>
          <w:p w:rsidR="00ED40A4" w:rsidRPr="00626D32" w:rsidRDefault="00ED40A4" w:rsidP="0020642A">
            <w:pPr>
              <w:pStyle w:val="BoxSpaceBelow"/>
            </w:pPr>
          </w:p>
        </w:tc>
      </w:tr>
    </w:tbl>
    <w:p w:rsidR="004344EE" w:rsidRPr="002E6068" w:rsidRDefault="00E42345" w:rsidP="003D16C7">
      <w:pPr>
        <w:pStyle w:val="Heading4"/>
      </w:pPr>
      <w:r>
        <w:t>Trans-</w:t>
      </w:r>
      <w:r w:rsidR="00637A30" w:rsidRPr="002E6068">
        <w:t>Pacific Partnership</w:t>
      </w:r>
    </w:p>
    <w:p w:rsidR="00CE1AE9" w:rsidRDefault="00FD667B" w:rsidP="00FE5710">
      <w:pPr>
        <w:pStyle w:val="BodyText"/>
      </w:pPr>
      <w:r>
        <w:t xml:space="preserve">The </w:t>
      </w:r>
      <w:r w:rsidR="008339DC">
        <w:t xml:space="preserve">concept of </w:t>
      </w:r>
      <w:r w:rsidR="002201C8">
        <w:t xml:space="preserve">a </w:t>
      </w:r>
      <w:proofErr w:type="spellStart"/>
      <w:r w:rsidR="002201C8">
        <w:t>TPP</w:t>
      </w:r>
      <w:proofErr w:type="spellEnd"/>
      <w:r w:rsidR="002201C8">
        <w:t xml:space="preserve"> </w:t>
      </w:r>
      <w:r w:rsidR="00C73228">
        <w:t xml:space="preserve">agreement developed </w:t>
      </w:r>
      <w:r w:rsidR="00604E19">
        <w:t>from</w:t>
      </w:r>
      <w:r w:rsidR="00C73228">
        <w:t xml:space="preserve"> an existing </w:t>
      </w:r>
      <w:r w:rsidR="006C548A">
        <w:t xml:space="preserve">trade </w:t>
      </w:r>
      <w:r w:rsidR="00C73228">
        <w:t xml:space="preserve">agreement </w:t>
      </w:r>
      <w:r w:rsidR="006E0971">
        <w:t>between Brunei, Chile, New Zealand and Singa</w:t>
      </w:r>
      <w:r w:rsidR="00437D10">
        <w:t xml:space="preserve">pore (known as the </w:t>
      </w:r>
      <w:r w:rsidR="006C548A">
        <w:t>Trans-Pacific Economic Partnership A</w:t>
      </w:r>
      <w:r w:rsidR="00437D10">
        <w:t>greement</w:t>
      </w:r>
      <w:r w:rsidR="00860BA4">
        <w:t>)</w:t>
      </w:r>
      <w:r w:rsidR="00D32E25">
        <w:t xml:space="preserve"> signed in 2005</w:t>
      </w:r>
      <w:r w:rsidR="00031154">
        <w:t xml:space="preserve">. The original </w:t>
      </w:r>
      <w:r w:rsidR="00A0078E">
        <w:t xml:space="preserve">goal was to create a model </w:t>
      </w:r>
      <w:r w:rsidR="00877C9D">
        <w:t xml:space="preserve">regional </w:t>
      </w:r>
      <w:r w:rsidR="00A0078E">
        <w:t xml:space="preserve">agreement that could be expanded to include additional members from </w:t>
      </w:r>
      <w:r w:rsidR="006C548A">
        <w:t xml:space="preserve">the </w:t>
      </w:r>
      <w:r w:rsidR="00D32E25">
        <w:t>APEC</w:t>
      </w:r>
      <w:r w:rsidR="006C548A">
        <w:t xml:space="preserve"> group of countries</w:t>
      </w:r>
      <w:r w:rsidR="001F2573">
        <w:t xml:space="preserve">. </w:t>
      </w:r>
      <w:r w:rsidR="00CE1AE9">
        <w:t xml:space="preserve">In addition to the four foundation members, </w:t>
      </w:r>
      <w:r w:rsidR="000F0369">
        <w:t xml:space="preserve">eight other countries have since joined the negotiations. In chronological order </w:t>
      </w:r>
      <w:r w:rsidR="00EC6ACA">
        <w:t>of their engagement, these countries</w:t>
      </w:r>
      <w:r w:rsidR="000F0369">
        <w:t xml:space="preserve"> are </w:t>
      </w:r>
      <w:r w:rsidR="00EC6ACA">
        <w:t xml:space="preserve">the </w:t>
      </w:r>
      <w:r w:rsidR="000F0369">
        <w:t xml:space="preserve">United States, </w:t>
      </w:r>
      <w:r w:rsidR="00CE1AE9">
        <w:t xml:space="preserve">Australia, </w:t>
      </w:r>
      <w:r w:rsidR="000F0369">
        <w:t xml:space="preserve">Peru, Vietnam, Malaysia, Mexico, Canada and </w:t>
      </w:r>
      <w:r w:rsidR="00CE1AE9">
        <w:t xml:space="preserve">Japan. South Korea and Taiwan have also expressed interest in joining. </w:t>
      </w:r>
      <w:r w:rsidR="00C7614D">
        <w:t>The</w:t>
      </w:r>
      <w:r w:rsidR="00792DDA">
        <w:t xml:space="preserve"> latest ministerial meeting </w:t>
      </w:r>
      <w:r w:rsidR="00C7614D">
        <w:t>was</w:t>
      </w:r>
      <w:r w:rsidR="00792DDA">
        <w:t xml:space="preserve"> held in Singapore </w:t>
      </w:r>
      <w:r w:rsidR="00C7614D">
        <w:t>on</w:t>
      </w:r>
      <w:r w:rsidR="00792DDA">
        <w:t xml:space="preserve"> 19 and 20</w:t>
      </w:r>
      <w:r w:rsidR="00D4194E">
        <w:t> </w:t>
      </w:r>
      <w:r w:rsidR="00792DDA">
        <w:t>May</w:t>
      </w:r>
      <w:r w:rsidR="00D4194E">
        <w:t> </w:t>
      </w:r>
      <w:r w:rsidR="00C701A7">
        <w:t>2014</w:t>
      </w:r>
      <w:r w:rsidR="00792DDA">
        <w:t>. T</w:t>
      </w:r>
      <w:r w:rsidR="0082005F">
        <w:t xml:space="preserve">he timeline for completion of negotiations </w:t>
      </w:r>
      <w:r w:rsidR="00C107E0">
        <w:t>remains</w:t>
      </w:r>
      <w:r w:rsidR="0082005F">
        <w:t xml:space="preserve"> unclear.</w:t>
      </w:r>
    </w:p>
    <w:p w:rsidR="00B159A3" w:rsidRDefault="00370B81" w:rsidP="00FE5710">
      <w:pPr>
        <w:pStyle w:val="BodyText"/>
        <w:rPr>
          <w:lang w:val="en"/>
        </w:rPr>
      </w:pPr>
      <w:r>
        <w:t xml:space="preserve">A defining feature of the </w:t>
      </w:r>
      <w:r w:rsidR="005C1070">
        <w:t xml:space="preserve">original </w:t>
      </w:r>
      <w:proofErr w:type="spellStart"/>
      <w:r w:rsidR="00E43448">
        <w:t>TPP</w:t>
      </w:r>
      <w:proofErr w:type="spellEnd"/>
      <w:r w:rsidR="00E43448">
        <w:t xml:space="preserve"> </w:t>
      </w:r>
      <w:r>
        <w:t xml:space="preserve">agreement </w:t>
      </w:r>
      <w:r w:rsidR="00F83842">
        <w:t>was</w:t>
      </w:r>
      <w:r w:rsidR="00D42874">
        <w:t xml:space="preserve"> </w:t>
      </w:r>
      <w:r>
        <w:t>that it provided</w:t>
      </w:r>
      <w:r w:rsidR="00604E19">
        <w:t>,</w:t>
      </w:r>
      <w:r>
        <w:t xml:space="preserve"> </w:t>
      </w:r>
      <w:r w:rsidR="00604E19">
        <w:t xml:space="preserve">over time, </w:t>
      </w:r>
      <w:r>
        <w:t xml:space="preserve">for </w:t>
      </w:r>
      <w:r w:rsidR="00793AB0">
        <w:t xml:space="preserve">the provision of </w:t>
      </w:r>
      <w:r w:rsidR="00464129">
        <w:t>preferential tariff</w:t>
      </w:r>
      <w:r w:rsidR="00070791">
        <w:t xml:space="preserve"> rate</w:t>
      </w:r>
      <w:r w:rsidR="00464129">
        <w:t xml:space="preserve">s </w:t>
      </w:r>
      <w:r w:rsidR="000939E7">
        <w:t xml:space="preserve">between members </w:t>
      </w:r>
      <w:r w:rsidR="00793AB0">
        <w:t xml:space="preserve">on </w:t>
      </w:r>
      <w:r>
        <w:t>all goods, including agriculture</w:t>
      </w:r>
      <w:r w:rsidR="004C3CFF">
        <w:t>.</w:t>
      </w:r>
      <w:r w:rsidR="0070058C">
        <w:t xml:space="preserve"> </w:t>
      </w:r>
      <w:r w:rsidR="000939E7">
        <w:t xml:space="preserve">The agreement would </w:t>
      </w:r>
      <w:r w:rsidR="00F83842">
        <w:t xml:space="preserve">also </w:t>
      </w:r>
      <w:r w:rsidR="000939E7">
        <w:t xml:space="preserve">be </w:t>
      </w:r>
      <w:r w:rsidR="00F83842">
        <w:t xml:space="preserve">comprehensive </w:t>
      </w:r>
      <w:r w:rsidR="00C20CE9">
        <w:t xml:space="preserve">in that it </w:t>
      </w:r>
      <w:r w:rsidR="000939E7">
        <w:t xml:space="preserve">would </w:t>
      </w:r>
      <w:r w:rsidR="00C20CE9">
        <w:t>cover</w:t>
      </w:r>
      <w:r w:rsidR="00F83842">
        <w:t xml:space="preserve"> </w:t>
      </w:r>
      <w:r w:rsidR="00F83842">
        <w:rPr>
          <w:lang w:val="en"/>
        </w:rPr>
        <w:t>trade in goods</w:t>
      </w:r>
      <w:r w:rsidR="00906D43">
        <w:rPr>
          <w:lang w:val="en"/>
        </w:rPr>
        <w:t xml:space="preserve"> and services</w:t>
      </w:r>
      <w:r w:rsidR="00F83842">
        <w:rPr>
          <w:lang w:val="en"/>
        </w:rPr>
        <w:t xml:space="preserve">, rules of origin, trade remedies, </w:t>
      </w:r>
      <w:r w:rsidR="00F83842" w:rsidRPr="00F83842">
        <w:rPr>
          <w:lang w:val="en"/>
        </w:rPr>
        <w:t xml:space="preserve">sanitary and </w:t>
      </w:r>
      <w:proofErr w:type="spellStart"/>
      <w:r w:rsidR="00F83842" w:rsidRPr="00F83842">
        <w:rPr>
          <w:lang w:val="en"/>
        </w:rPr>
        <w:t>phytosanitary</w:t>
      </w:r>
      <w:proofErr w:type="spellEnd"/>
      <w:r w:rsidR="00F83842" w:rsidRPr="00F83842">
        <w:rPr>
          <w:lang w:val="en"/>
        </w:rPr>
        <w:t xml:space="preserve"> measures</w:t>
      </w:r>
      <w:r w:rsidR="00F83842">
        <w:rPr>
          <w:lang w:val="en"/>
        </w:rPr>
        <w:t xml:space="preserve">, technical barriers to trade, intellectual property, </w:t>
      </w:r>
      <w:r w:rsidR="00F83842">
        <w:rPr>
          <w:lang w:val="en"/>
        </w:rPr>
        <w:lastRenderedPageBreak/>
        <w:t>government procurement</w:t>
      </w:r>
      <w:r w:rsidR="00906D43">
        <w:rPr>
          <w:lang w:val="en"/>
        </w:rPr>
        <w:t xml:space="preserve">, </w:t>
      </w:r>
      <w:r w:rsidR="00F83842">
        <w:rPr>
          <w:lang w:val="en"/>
        </w:rPr>
        <w:t>competition policy</w:t>
      </w:r>
      <w:r w:rsidR="00D97F10">
        <w:rPr>
          <w:lang w:val="en"/>
        </w:rPr>
        <w:t>, temp</w:t>
      </w:r>
      <w:r w:rsidR="00CA0E6F">
        <w:rPr>
          <w:lang w:val="en"/>
        </w:rPr>
        <w:t>orary entry of business persons</w:t>
      </w:r>
      <w:r w:rsidR="00906D43">
        <w:rPr>
          <w:lang w:val="en"/>
        </w:rPr>
        <w:t xml:space="preserve"> and dispute settlement</w:t>
      </w:r>
      <w:r w:rsidR="00161A58">
        <w:rPr>
          <w:lang w:val="en"/>
        </w:rPr>
        <w:t xml:space="preserve"> proced</w:t>
      </w:r>
      <w:r w:rsidR="006B77C6">
        <w:rPr>
          <w:lang w:val="en"/>
        </w:rPr>
        <w:t>u</w:t>
      </w:r>
      <w:r w:rsidR="00161A58">
        <w:rPr>
          <w:lang w:val="en"/>
        </w:rPr>
        <w:t>res</w:t>
      </w:r>
      <w:r w:rsidR="00B159A3">
        <w:rPr>
          <w:lang w:val="en"/>
        </w:rPr>
        <w:t>.</w:t>
      </w:r>
    </w:p>
    <w:p w:rsidR="00E9176D" w:rsidRDefault="00906D43" w:rsidP="00FE5710">
      <w:pPr>
        <w:pStyle w:val="BodyText"/>
        <w:rPr>
          <w:lang w:val="en"/>
        </w:rPr>
      </w:pPr>
      <w:r>
        <w:rPr>
          <w:lang w:val="en"/>
        </w:rPr>
        <w:t>In additio</w:t>
      </w:r>
      <w:r w:rsidR="004D364F">
        <w:rPr>
          <w:lang w:val="en"/>
        </w:rPr>
        <w:t>n</w:t>
      </w:r>
      <w:r>
        <w:rPr>
          <w:lang w:val="en"/>
        </w:rPr>
        <w:t xml:space="preserve"> to </w:t>
      </w:r>
      <w:r w:rsidR="000939E7">
        <w:rPr>
          <w:lang w:val="en"/>
        </w:rPr>
        <w:t xml:space="preserve">these </w:t>
      </w:r>
      <w:r>
        <w:rPr>
          <w:lang w:val="en"/>
        </w:rPr>
        <w:t xml:space="preserve">topics, </w:t>
      </w:r>
      <w:r w:rsidR="004D364F">
        <w:rPr>
          <w:lang w:val="en"/>
        </w:rPr>
        <w:t xml:space="preserve">the </w:t>
      </w:r>
      <w:proofErr w:type="spellStart"/>
      <w:r>
        <w:rPr>
          <w:lang w:val="en"/>
        </w:rPr>
        <w:t>TPP</w:t>
      </w:r>
      <w:proofErr w:type="spellEnd"/>
      <w:r>
        <w:rPr>
          <w:lang w:val="en"/>
        </w:rPr>
        <w:t xml:space="preserve"> negotiations </w:t>
      </w:r>
      <w:r w:rsidR="004D364F">
        <w:rPr>
          <w:lang w:val="en"/>
        </w:rPr>
        <w:t xml:space="preserve">have </w:t>
      </w:r>
      <w:r w:rsidR="00E7468A">
        <w:rPr>
          <w:lang w:val="en"/>
        </w:rPr>
        <w:t>broadened to encompas</w:t>
      </w:r>
      <w:r w:rsidR="006B77C6">
        <w:rPr>
          <w:lang w:val="en"/>
        </w:rPr>
        <w:t>s</w:t>
      </w:r>
      <w:r w:rsidR="004827B0">
        <w:rPr>
          <w:lang w:val="en"/>
        </w:rPr>
        <w:t xml:space="preserve"> </w:t>
      </w:r>
      <w:r w:rsidR="004D364F">
        <w:rPr>
          <w:lang w:val="en"/>
        </w:rPr>
        <w:t>financial services</w:t>
      </w:r>
      <w:r w:rsidR="009757A0">
        <w:rPr>
          <w:lang w:val="en"/>
        </w:rPr>
        <w:t>,</w:t>
      </w:r>
      <w:r w:rsidR="004D364F">
        <w:rPr>
          <w:lang w:val="en"/>
        </w:rPr>
        <w:t xml:space="preserve"> </w:t>
      </w:r>
      <w:r w:rsidR="006B77C6">
        <w:rPr>
          <w:lang w:val="en"/>
        </w:rPr>
        <w:t>investment, electronic commerce, telecommunications</w:t>
      </w:r>
      <w:r w:rsidR="004827B0">
        <w:rPr>
          <w:lang w:val="en"/>
        </w:rPr>
        <w:t>, regulatory coherence</w:t>
      </w:r>
      <w:r w:rsidR="009F6F8D">
        <w:rPr>
          <w:lang w:val="en"/>
        </w:rPr>
        <w:t xml:space="preserve"> and competitiveness</w:t>
      </w:r>
      <w:r w:rsidR="00604E19">
        <w:rPr>
          <w:lang w:val="en"/>
        </w:rPr>
        <w:t xml:space="preserve"> </w:t>
      </w:r>
      <w:r w:rsidR="007856E4">
        <w:rPr>
          <w:lang w:val="en"/>
        </w:rPr>
        <w:t>issues</w:t>
      </w:r>
      <w:r w:rsidR="009F6F8D">
        <w:rPr>
          <w:lang w:val="en"/>
        </w:rPr>
        <w:t xml:space="preserve">. </w:t>
      </w:r>
      <w:proofErr w:type="spellStart"/>
      <w:r w:rsidR="00875D94">
        <w:rPr>
          <w:lang w:val="en"/>
        </w:rPr>
        <w:t>TPP</w:t>
      </w:r>
      <w:proofErr w:type="spellEnd"/>
      <w:r w:rsidR="00875D94">
        <w:rPr>
          <w:lang w:val="en"/>
        </w:rPr>
        <w:t xml:space="preserve"> n</w:t>
      </w:r>
      <w:r w:rsidR="009F6F8D">
        <w:rPr>
          <w:lang w:val="en"/>
        </w:rPr>
        <w:t xml:space="preserve">egotiation groups have also been established </w:t>
      </w:r>
      <w:r w:rsidR="00CB18EF">
        <w:rPr>
          <w:lang w:val="en"/>
        </w:rPr>
        <w:t>to consider</w:t>
      </w:r>
      <w:r w:rsidR="009F6F8D">
        <w:rPr>
          <w:lang w:val="en"/>
        </w:rPr>
        <w:t xml:space="preserve"> </w:t>
      </w:r>
      <w:proofErr w:type="spellStart"/>
      <w:r w:rsidR="009F6F8D">
        <w:rPr>
          <w:lang w:val="en"/>
        </w:rPr>
        <w:t>labour</w:t>
      </w:r>
      <w:proofErr w:type="spellEnd"/>
      <w:r w:rsidR="009F6F8D">
        <w:rPr>
          <w:lang w:val="en"/>
        </w:rPr>
        <w:t xml:space="preserve"> and environmental issues.</w:t>
      </w:r>
      <w:r w:rsidR="00702265">
        <w:rPr>
          <w:lang w:val="en"/>
        </w:rPr>
        <w:t xml:space="preserve"> </w:t>
      </w:r>
      <w:r w:rsidR="00B159A3">
        <w:rPr>
          <w:lang w:val="en"/>
        </w:rPr>
        <w:t xml:space="preserve">A stated aim of the </w:t>
      </w:r>
      <w:proofErr w:type="spellStart"/>
      <w:r w:rsidR="00B159A3">
        <w:rPr>
          <w:lang w:val="en"/>
        </w:rPr>
        <w:t>TPP</w:t>
      </w:r>
      <w:proofErr w:type="spellEnd"/>
      <w:r w:rsidR="00B159A3">
        <w:rPr>
          <w:lang w:val="en"/>
        </w:rPr>
        <w:t xml:space="preserve"> is </w:t>
      </w:r>
      <w:r w:rsidR="00D35D12">
        <w:rPr>
          <w:lang w:val="en"/>
        </w:rPr>
        <w:t xml:space="preserve">that the </w:t>
      </w:r>
      <w:r w:rsidR="006F5AA1">
        <w:rPr>
          <w:lang w:val="en"/>
        </w:rPr>
        <w:t>a</w:t>
      </w:r>
      <w:r w:rsidR="00D35D12">
        <w:rPr>
          <w:lang w:val="en"/>
        </w:rPr>
        <w:t xml:space="preserve">greement </w:t>
      </w:r>
      <w:r w:rsidR="006F5AA1">
        <w:rPr>
          <w:lang w:val="en"/>
        </w:rPr>
        <w:t xml:space="preserve">would </w:t>
      </w:r>
      <w:r w:rsidR="00A25EAF">
        <w:rPr>
          <w:lang w:val="en"/>
        </w:rPr>
        <w:t>facilitate</w:t>
      </w:r>
      <w:r w:rsidR="00B159A3">
        <w:rPr>
          <w:lang w:val="en"/>
        </w:rPr>
        <w:t xml:space="preserve"> </w:t>
      </w:r>
      <w:r w:rsidR="00D35D12">
        <w:rPr>
          <w:lang w:val="en"/>
        </w:rPr>
        <w:t>a consolidation of</w:t>
      </w:r>
      <w:r w:rsidR="00B159A3">
        <w:rPr>
          <w:lang w:val="en"/>
        </w:rPr>
        <w:t xml:space="preserve"> the </w:t>
      </w:r>
      <w:r w:rsidR="000E6B42">
        <w:rPr>
          <w:lang w:val="en"/>
        </w:rPr>
        <w:t xml:space="preserve">differences (particularly rules of origin) </w:t>
      </w:r>
      <w:r w:rsidR="00B325F0">
        <w:rPr>
          <w:lang w:val="en"/>
        </w:rPr>
        <w:t xml:space="preserve">in existing </w:t>
      </w:r>
      <w:r w:rsidR="00CE7FFE">
        <w:rPr>
          <w:lang w:val="en"/>
        </w:rPr>
        <w:t xml:space="preserve">bilateral </w:t>
      </w:r>
      <w:r w:rsidR="00B325F0">
        <w:rPr>
          <w:lang w:val="en"/>
        </w:rPr>
        <w:t xml:space="preserve">agreements </w:t>
      </w:r>
      <w:r w:rsidR="00842C63">
        <w:rPr>
          <w:lang w:val="en"/>
        </w:rPr>
        <w:t>used by</w:t>
      </w:r>
      <w:r w:rsidR="00B325F0">
        <w:rPr>
          <w:lang w:val="en"/>
        </w:rPr>
        <w:t xml:space="preserve"> current and prospective </w:t>
      </w:r>
      <w:proofErr w:type="spellStart"/>
      <w:r w:rsidR="00B325F0">
        <w:rPr>
          <w:lang w:val="en"/>
        </w:rPr>
        <w:t>TPP</w:t>
      </w:r>
      <w:proofErr w:type="spellEnd"/>
      <w:r w:rsidR="00B325F0">
        <w:rPr>
          <w:lang w:val="en"/>
        </w:rPr>
        <w:t xml:space="preserve"> members.</w:t>
      </w:r>
    </w:p>
    <w:p w:rsidR="00464129" w:rsidRDefault="00FE5835">
      <w:pPr>
        <w:pStyle w:val="BodyText"/>
        <w:rPr>
          <w:lang w:val="en"/>
        </w:rPr>
      </w:pPr>
      <w:r>
        <w:rPr>
          <w:lang w:val="en"/>
        </w:rPr>
        <w:t xml:space="preserve">The </w:t>
      </w:r>
      <w:r w:rsidR="00DA57F7">
        <w:rPr>
          <w:lang w:val="en"/>
        </w:rPr>
        <w:t>confidential</w:t>
      </w:r>
      <w:r>
        <w:rPr>
          <w:lang w:val="en"/>
        </w:rPr>
        <w:t xml:space="preserve"> nature of </w:t>
      </w:r>
      <w:r w:rsidR="00BA6722">
        <w:rPr>
          <w:lang w:val="en"/>
        </w:rPr>
        <w:t xml:space="preserve">the </w:t>
      </w:r>
      <w:proofErr w:type="spellStart"/>
      <w:r>
        <w:rPr>
          <w:lang w:val="en"/>
        </w:rPr>
        <w:t>TPP</w:t>
      </w:r>
      <w:proofErr w:type="spellEnd"/>
      <w:r>
        <w:rPr>
          <w:lang w:val="en"/>
        </w:rPr>
        <w:t xml:space="preserve"> </w:t>
      </w:r>
      <w:r w:rsidR="00283E15">
        <w:rPr>
          <w:lang w:val="en"/>
        </w:rPr>
        <w:t>negotiating text</w:t>
      </w:r>
      <w:r>
        <w:rPr>
          <w:lang w:val="en"/>
        </w:rPr>
        <w:t xml:space="preserve"> </w:t>
      </w:r>
      <w:r w:rsidR="000939E7">
        <w:rPr>
          <w:lang w:val="en"/>
        </w:rPr>
        <w:t xml:space="preserve">has been contentious particularly </w:t>
      </w:r>
      <w:r w:rsidR="006B1AD1">
        <w:rPr>
          <w:lang w:val="en"/>
        </w:rPr>
        <w:t>in</w:t>
      </w:r>
      <w:r w:rsidR="00A81245">
        <w:rPr>
          <w:lang w:val="en"/>
        </w:rPr>
        <w:t xml:space="preserve"> respect </w:t>
      </w:r>
      <w:r w:rsidR="006B1AD1">
        <w:rPr>
          <w:lang w:val="en"/>
        </w:rPr>
        <w:t>of</w:t>
      </w:r>
      <w:r w:rsidR="000939E7">
        <w:rPr>
          <w:lang w:val="en"/>
        </w:rPr>
        <w:t xml:space="preserve"> </w:t>
      </w:r>
      <w:r>
        <w:rPr>
          <w:lang w:val="en"/>
        </w:rPr>
        <w:t>intellectual property</w:t>
      </w:r>
      <w:r w:rsidR="000939E7">
        <w:rPr>
          <w:lang w:val="en"/>
        </w:rPr>
        <w:t xml:space="preserve"> and invest</w:t>
      </w:r>
      <w:r w:rsidR="002F2B36">
        <w:rPr>
          <w:lang w:val="en"/>
        </w:rPr>
        <w:t>or</w:t>
      </w:r>
      <w:r w:rsidR="00A454B9">
        <w:rPr>
          <w:lang w:val="en"/>
        </w:rPr>
        <w:t>-</w:t>
      </w:r>
      <w:r w:rsidR="000939E7">
        <w:rPr>
          <w:lang w:val="en"/>
        </w:rPr>
        <w:t xml:space="preserve">state </w:t>
      </w:r>
      <w:r w:rsidR="007636AC">
        <w:rPr>
          <w:lang w:val="en"/>
        </w:rPr>
        <w:t>dispute settlement</w:t>
      </w:r>
      <w:r w:rsidR="00A81245">
        <w:rPr>
          <w:lang w:val="en"/>
        </w:rPr>
        <w:t xml:space="preserve"> provisions</w:t>
      </w:r>
      <w:r w:rsidR="002E6068">
        <w:rPr>
          <w:lang w:val="en"/>
        </w:rPr>
        <w:t>.</w:t>
      </w:r>
      <w:r w:rsidR="007C4AEF">
        <w:rPr>
          <w:lang w:val="en"/>
        </w:rPr>
        <w:t xml:space="preserve"> </w:t>
      </w:r>
      <w:r w:rsidR="0027463D">
        <w:rPr>
          <w:lang w:val="en"/>
        </w:rPr>
        <w:t>I</w:t>
      </w:r>
      <w:r w:rsidR="002F579C">
        <w:rPr>
          <w:lang w:val="en"/>
        </w:rPr>
        <w:t xml:space="preserve">t </w:t>
      </w:r>
      <w:r w:rsidR="00E43448">
        <w:rPr>
          <w:lang w:val="en"/>
        </w:rPr>
        <w:t xml:space="preserve">has been argued that it </w:t>
      </w:r>
      <w:r w:rsidR="0027463D">
        <w:rPr>
          <w:lang w:val="en"/>
        </w:rPr>
        <w:t>is</w:t>
      </w:r>
      <w:r w:rsidR="002F579C">
        <w:rPr>
          <w:lang w:val="en"/>
        </w:rPr>
        <w:t xml:space="preserve"> not common practice </w:t>
      </w:r>
      <w:r w:rsidR="00812BAD">
        <w:rPr>
          <w:lang w:val="en"/>
        </w:rPr>
        <w:t>(</w:t>
      </w:r>
      <w:r w:rsidR="00D52FF6">
        <w:rPr>
          <w:lang w:val="en"/>
        </w:rPr>
        <w:t>including</w:t>
      </w:r>
      <w:r w:rsidR="00812BAD">
        <w:rPr>
          <w:lang w:val="en"/>
        </w:rPr>
        <w:t xml:space="preserve"> </w:t>
      </w:r>
      <w:r w:rsidR="0027463D">
        <w:rPr>
          <w:lang w:val="en"/>
        </w:rPr>
        <w:t>in Australia</w:t>
      </w:r>
      <w:r w:rsidR="00812BAD">
        <w:rPr>
          <w:lang w:val="en"/>
        </w:rPr>
        <w:t>)</w:t>
      </w:r>
      <w:r w:rsidR="0027463D">
        <w:rPr>
          <w:lang w:val="en"/>
        </w:rPr>
        <w:t xml:space="preserve"> </w:t>
      </w:r>
      <w:r w:rsidR="002F579C">
        <w:rPr>
          <w:lang w:val="en"/>
        </w:rPr>
        <w:t xml:space="preserve">to release </w:t>
      </w:r>
      <w:r w:rsidR="0027463D">
        <w:rPr>
          <w:lang w:val="en"/>
        </w:rPr>
        <w:t xml:space="preserve">negotiating </w:t>
      </w:r>
      <w:r w:rsidR="002F579C">
        <w:rPr>
          <w:lang w:val="en"/>
        </w:rPr>
        <w:t>text</w:t>
      </w:r>
      <w:r w:rsidR="0014215E">
        <w:rPr>
          <w:lang w:val="en"/>
        </w:rPr>
        <w:t>s</w:t>
      </w:r>
      <w:r w:rsidR="002F579C">
        <w:rPr>
          <w:lang w:val="en"/>
        </w:rPr>
        <w:t xml:space="preserve"> </w:t>
      </w:r>
      <w:r w:rsidR="0027463D">
        <w:rPr>
          <w:lang w:val="en"/>
        </w:rPr>
        <w:t>of</w:t>
      </w:r>
      <w:r w:rsidR="002F579C">
        <w:rPr>
          <w:lang w:val="en"/>
        </w:rPr>
        <w:t xml:space="preserve"> agreement</w:t>
      </w:r>
      <w:r w:rsidR="0027463D">
        <w:rPr>
          <w:lang w:val="en"/>
        </w:rPr>
        <w:t>s</w:t>
      </w:r>
      <w:r w:rsidR="002F579C">
        <w:rPr>
          <w:lang w:val="en"/>
        </w:rPr>
        <w:t xml:space="preserve"> </w:t>
      </w:r>
      <w:r w:rsidR="0027463D">
        <w:rPr>
          <w:lang w:val="en"/>
        </w:rPr>
        <w:t xml:space="preserve">before they are </w:t>
      </w:r>
      <w:proofErr w:type="spellStart"/>
      <w:r w:rsidR="0027463D">
        <w:rPr>
          <w:lang w:val="en"/>
        </w:rPr>
        <w:t>finalised</w:t>
      </w:r>
      <w:proofErr w:type="spellEnd"/>
      <w:r w:rsidR="00A454B9">
        <w:rPr>
          <w:lang w:val="en"/>
        </w:rPr>
        <w:t xml:space="preserve"> on the grounds </w:t>
      </w:r>
      <w:r w:rsidR="0027463D">
        <w:rPr>
          <w:lang w:val="en"/>
        </w:rPr>
        <w:t xml:space="preserve">that public disclosure </w:t>
      </w:r>
      <w:r w:rsidR="00A454B9">
        <w:rPr>
          <w:lang w:val="en"/>
        </w:rPr>
        <w:t>c</w:t>
      </w:r>
      <w:r w:rsidR="0027463D">
        <w:rPr>
          <w:lang w:val="en"/>
        </w:rPr>
        <w:t xml:space="preserve">ould </w:t>
      </w:r>
      <w:r w:rsidR="002F579C">
        <w:rPr>
          <w:lang w:val="en"/>
        </w:rPr>
        <w:t>undermine negotiations and, given their evolving nature, do little</w:t>
      </w:r>
      <w:r w:rsidR="0027463D">
        <w:rPr>
          <w:lang w:val="en"/>
        </w:rPr>
        <w:t xml:space="preserve"> to better inform public debate</w:t>
      </w:r>
      <w:r w:rsidR="00965845">
        <w:rPr>
          <w:lang w:val="en"/>
        </w:rPr>
        <w:t xml:space="preserve"> (Robb</w:t>
      </w:r>
      <w:r w:rsidR="00D4194E">
        <w:rPr>
          <w:lang w:val="en"/>
        </w:rPr>
        <w:t> </w:t>
      </w:r>
      <w:r w:rsidR="00965845">
        <w:rPr>
          <w:lang w:val="en"/>
        </w:rPr>
        <w:t>2014)</w:t>
      </w:r>
      <w:r w:rsidR="0027463D">
        <w:rPr>
          <w:lang w:val="en"/>
        </w:rPr>
        <w:t xml:space="preserve">. </w:t>
      </w:r>
    </w:p>
    <w:p w:rsidR="002F579C" w:rsidRDefault="002D7C47">
      <w:pPr>
        <w:pStyle w:val="BodyText"/>
        <w:rPr>
          <w:lang w:val="en"/>
        </w:rPr>
      </w:pPr>
      <w:r>
        <w:rPr>
          <w:lang w:val="en"/>
        </w:rPr>
        <w:t>O</w:t>
      </w:r>
      <w:r w:rsidR="002F579C">
        <w:rPr>
          <w:lang w:val="en"/>
        </w:rPr>
        <w:t xml:space="preserve">nce </w:t>
      </w:r>
      <w:r w:rsidR="00D4194E">
        <w:rPr>
          <w:lang w:val="en"/>
        </w:rPr>
        <w:t xml:space="preserve">an </w:t>
      </w:r>
      <w:r w:rsidR="002F579C">
        <w:rPr>
          <w:lang w:val="en"/>
        </w:rPr>
        <w:t xml:space="preserve">agreement </w:t>
      </w:r>
      <w:r w:rsidR="000A6FBE">
        <w:rPr>
          <w:lang w:val="en"/>
        </w:rPr>
        <w:t xml:space="preserve">involving Australia </w:t>
      </w:r>
      <w:r w:rsidR="00D4194E">
        <w:rPr>
          <w:lang w:val="en"/>
        </w:rPr>
        <w:t>has been signed by the negotiating</w:t>
      </w:r>
      <w:r w:rsidR="002F579C">
        <w:rPr>
          <w:lang w:val="en"/>
        </w:rPr>
        <w:t xml:space="preserve"> parties, the text </w:t>
      </w:r>
      <w:r w:rsidR="00464129">
        <w:rPr>
          <w:lang w:val="en"/>
        </w:rPr>
        <w:t>is</w:t>
      </w:r>
      <w:r w:rsidR="00361C34">
        <w:rPr>
          <w:lang w:val="en"/>
        </w:rPr>
        <w:t xml:space="preserve"> </w:t>
      </w:r>
      <w:r w:rsidR="002F579C">
        <w:rPr>
          <w:lang w:val="en"/>
        </w:rPr>
        <w:t>subject</w:t>
      </w:r>
      <w:r w:rsidR="00EF7AEC">
        <w:rPr>
          <w:lang w:val="en"/>
        </w:rPr>
        <w:t>ed</w:t>
      </w:r>
      <w:r w:rsidR="002F579C">
        <w:rPr>
          <w:lang w:val="en"/>
        </w:rPr>
        <w:t xml:space="preserve"> to scrutiny</w:t>
      </w:r>
      <w:r w:rsidR="000A6FBE">
        <w:rPr>
          <w:lang w:val="en"/>
        </w:rPr>
        <w:t>,</w:t>
      </w:r>
      <w:r w:rsidR="002F579C">
        <w:rPr>
          <w:lang w:val="en"/>
        </w:rPr>
        <w:t xml:space="preserve"> </w:t>
      </w:r>
      <w:r w:rsidR="000A6FBE">
        <w:rPr>
          <w:lang w:val="en"/>
        </w:rPr>
        <w:t xml:space="preserve">but not amendment, in the Australian Parliament </w:t>
      </w:r>
      <w:r w:rsidR="002F579C">
        <w:rPr>
          <w:lang w:val="en"/>
        </w:rPr>
        <w:t>before ratification</w:t>
      </w:r>
      <w:r w:rsidR="000A6FBE">
        <w:rPr>
          <w:lang w:val="en"/>
        </w:rPr>
        <w:t>. However,</w:t>
      </w:r>
      <w:r w:rsidR="00A454B9">
        <w:rPr>
          <w:lang w:val="en"/>
        </w:rPr>
        <w:t xml:space="preserve"> </w:t>
      </w:r>
      <w:r w:rsidR="00464129">
        <w:rPr>
          <w:lang w:val="en"/>
        </w:rPr>
        <w:t>by that stage</w:t>
      </w:r>
      <w:r w:rsidR="000A6FBE">
        <w:rPr>
          <w:lang w:val="en"/>
        </w:rPr>
        <w:t>,</w:t>
      </w:r>
      <w:r w:rsidR="00464129">
        <w:rPr>
          <w:lang w:val="en"/>
        </w:rPr>
        <w:t xml:space="preserve"> the </w:t>
      </w:r>
      <w:r w:rsidR="002B58E3">
        <w:rPr>
          <w:lang w:val="en"/>
        </w:rPr>
        <w:t>g</w:t>
      </w:r>
      <w:r w:rsidR="00464129">
        <w:rPr>
          <w:lang w:val="en"/>
        </w:rPr>
        <w:t>overnment of the day has staked its credibility on the agreement being ratified</w:t>
      </w:r>
      <w:r w:rsidR="000A6FBE">
        <w:rPr>
          <w:lang w:val="en"/>
        </w:rPr>
        <w:t>. T</w:t>
      </w:r>
      <w:r w:rsidR="0011689B">
        <w:rPr>
          <w:lang w:val="en"/>
        </w:rPr>
        <w:t xml:space="preserve">he </w:t>
      </w:r>
      <w:r w:rsidR="00167568">
        <w:rPr>
          <w:lang w:val="en"/>
        </w:rPr>
        <w:t xml:space="preserve">Commission is unaware of any </w:t>
      </w:r>
      <w:r w:rsidR="00CB7B41">
        <w:rPr>
          <w:lang w:val="en"/>
        </w:rPr>
        <w:t>trade</w:t>
      </w:r>
      <w:r w:rsidR="00EE17BA">
        <w:rPr>
          <w:lang w:val="en"/>
        </w:rPr>
        <w:t xml:space="preserve"> </w:t>
      </w:r>
      <w:r w:rsidR="00167568">
        <w:rPr>
          <w:lang w:val="en"/>
        </w:rPr>
        <w:t xml:space="preserve">agreement </w:t>
      </w:r>
      <w:r w:rsidR="00E1365E">
        <w:rPr>
          <w:lang w:val="en"/>
        </w:rPr>
        <w:t xml:space="preserve">that </w:t>
      </w:r>
      <w:r w:rsidR="00D4194E">
        <w:rPr>
          <w:lang w:val="en"/>
        </w:rPr>
        <w:t>h</w:t>
      </w:r>
      <w:r w:rsidR="00E1365E">
        <w:rPr>
          <w:lang w:val="en"/>
        </w:rPr>
        <w:t xml:space="preserve">as </w:t>
      </w:r>
      <w:r w:rsidR="00D4194E">
        <w:rPr>
          <w:lang w:val="en"/>
        </w:rPr>
        <w:t>been</w:t>
      </w:r>
      <w:r w:rsidR="006B1E88">
        <w:rPr>
          <w:lang w:val="en"/>
        </w:rPr>
        <w:t xml:space="preserve"> </w:t>
      </w:r>
      <w:r w:rsidR="00EF0C93">
        <w:rPr>
          <w:lang w:val="en"/>
        </w:rPr>
        <w:t xml:space="preserve">rejected </w:t>
      </w:r>
      <w:r w:rsidR="00B359A2">
        <w:rPr>
          <w:lang w:val="en"/>
        </w:rPr>
        <w:t xml:space="preserve">in response to </w:t>
      </w:r>
      <w:r w:rsidR="004747A5">
        <w:rPr>
          <w:lang w:val="en"/>
        </w:rPr>
        <w:t>parliamentary scrutiny.</w:t>
      </w:r>
      <w:r w:rsidR="00464129">
        <w:rPr>
          <w:lang w:val="en"/>
        </w:rPr>
        <w:t xml:space="preserve"> A</w:t>
      </w:r>
      <w:r w:rsidR="00812F59">
        <w:rPr>
          <w:lang w:val="en"/>
        </w:rPr>
        <w:t>n independent</w:t>
      </w:r>
      <w:r w:rsidR="00D0277E">
        <w:rPr>
          <w:lang w:val="en"/>
        </w:rPr>
        <w:t>,</w:t>
      </w:r>
      <w:r w:rsidR="00464129">
        <w:rPr>
          <w:lang w:val="en"/>
        </w:rPr>
        <w:t xml:space="preserve"> </w:t>
      </w:r>
      <w:r w:rsidR="000A6FBE">
        <w:rPr>
          <w:lang w:val="en"/>
        </w:rPr>
        <w:t xml:space="preserve">arms-length </w:t>
      </w:r>
      <w:r w:rsidR="00464129">
        <w:rPr>
          <w:lang w:val="en"/>
        </w:rPr>
        <w:t xml:space="preserve">process that precedes commitment by the </w:t>
      </w:r>
      <w:r w:rsidR="002B58E3">
        <w:rPr>
          <w:lang w:val="en"/>
        </w:rPr>
        <w:t>g</w:t>
      </w:r>
      <w:r w:rsidR="00464129">
        <w:rPr>
          <w:lang w:val="en"/>
        </w:rPr>
        <w:t>overnment would be preferable.</w:t>
      </w:r>
    </w:p>
    <w:p w:rsidR="00E9758C" w:rsidRDefault="00103C77" w:rsidP="00FD6B18">
      <w:pPr>
        <w:pStyle w:val="Heading3"/>
        <w:rPr>
          <w:lang w:val="en"/>
        </w:rPr>
      </w:pPr>
      <w:r>
        <w:rPr>
          <w:lang w:val="en"/>
        </w:rPr>
        <w:t xml:space="preserve">Assessing </w:t>
      </w:r>
      <w:r w:rsidR="00E9758C">
        <w:rPr>
          <w:lang w:val="en"/>
        </w:rPr>
        <w:t xml:space="preserve">the </w:t>
      </w:r>
      <w:r>
        <w:rPr>
          <w:lang w:val="en"/>
        </w:rPr>
        <w:t xml:space="preserve">potential impacts </w:t>
      </w:r>
      <w:r w:rsidR="00E9758C">
        <w:rPr>
          <w:lang w:val="en"/>
        </w:rPr>
        <w:t xml:space="preserve">of </w:t>
      </w:r>
      <w:r>
        <w:rPr>
          <w:lang w:val="en"/>
        </w:rPr>
        <w:t xml:space="preserve">proposed </w:t>
      </w:r>
      <w:r w:rsidR="00E9758C">
        <w:rPr>
          <w:lang w:val="en"/>
        </w:rPr>
        <w:t>agreements</w:t>
      </w:r>
    </w:p>
    <w:p w:rsidR="00D0668B" w:rsidRDefault="00F1789B" w:rsidP="00FD6B18">
      <w:pPr>
        <w:pStyle w:val="BodyText"/>
        <w:rPr>
          <w:lang w:val="en-GB"/>
        </w:rPr>
      </w:pPr>
      <w:r w:rsidRPr="00F1789B">
        <w:rPr>
          <w:lang w:val="en-GB"/>
        </w:rPr>
        <w:t>T</w:t>
      </w:r>
      <w:r>
        <w:rPr>
          <w:lang w:val="en-GB"/>
        </w:rPr>
        <w:t>rade preferences granted through bilateral and regional trade agreements,</w:t>
      </w:r>
      <w:r w:rsidRPr="00F1789B">
        <w:rPr>
          <w:lang w:val="en-GB"/>
        </w:rPr>
        <w:t xml:space="preserve"> if fully utilised, can increase trade </w:t>
      </w:r>
      <w:r>
        <w:rPr>
          <w:lang w:val="en-GB"/>
        </w:rPr>
        <w:t xml:space="preserve">and investment </w:t>
      </w:r>
      <w:r w:rsidRPr="00F1789B">
        <w:rPr>
          <w:lang w:val="en-GB"/>
        </w:rPr>
        <w:t>flows between partner countries</w:t>
      </w:r>
      <w:r w:rsidR="00413546">
        <w:rPr>
          <w:lang w:val="en-GB"/>
        </w:rPr>
        <w:t xml:space="preserve">. </w:t>
      </w:r>
      <w:r w:rsidR="00853B4B">
        <w:rPr>
          <w:lang w:val="en-GB"/>
        </w:rPr>
        <w:t>R</w:t>
      </w:r>
      <w:r w:rsidR="007B20E3">
        <w:rPr>
          <w:lang w:val="en-GB"/>
        </w:rPr>
        <w:t xml:space="preserve">eporting of the outcomes of agreement negotiations </w:t>
      </w:r>
      <w:r w:rsidR="00811DEF">
        <w:rPr>
          <w:lang w:val="en-GB"/>
        </w:rPr>
        <w:t xml:space="preserve">invariably </w:t>
      </w:r>
      <w:r w:rsidR="007B20E3">
        <w:rPr>
          <w:lang w:val="en-GB"/>
        </w:rPr>
        <w:t>focuse</w:t>
      </w:r>
      <w:r w:rsidR="00E843A9">
        <w:rPr>
          <w:lang w:val="en-GB"/>
        </w:rPr>
        <w:t>s</w:t>
      </w:r>
      <w:r w:rsidR="007B20E3">
        <w:rPr>
          <w:lang w:val="en-GB"/>
        </w:rPr>
        <w:t xml:space="preserve"> on the </w:t>
      </w:r>
      <w:r w:rsidR="0038703A">
        <w:rPr>
          <w:lang w:val="en-GB"/>
        </w:rPr>
        <w:t xml:space="preserve">positive </w:t>
      </w:r>
      <w:r w:rsidR="00096CA1">
        <w:rPr>
          <w:lang w:val="en-GB"/>
        </w:rPr>
        <w:t>impacts o</w:t>
      </w:r>
      <w:r w:rsidR="00811DEF">
        <w:rPr>
          <w:lang w:val="en-GB"/>
        </w:rPr>
        <w:t>f these</w:t>
      </w:r>
      <w:r w:rsidR="00096CA1">
        <w:rPr>
          <w:lang w:val="en-GB"/>
        </w:rPr>
        <w:t xml:space="preserve"> bilateral flows</w:t>
      </w:r>
      <w:r w:rsidR="00BC19EB">
        <w:rPr>
          <w:lang w:val="en-GB"/>
        </w:rPr>
        <w:t xml:space="preserve"> between </w:t>
      </w:r>
      <w:r w:rsidR="00E843A9">
        <w:rPr>
          <w:lang w:val="en-GB"/>
        </w:rPr>
        <w:t>signatories</w:t>
      </w:r>
      <w:r w:rsidR="00BC19EB">
        <w:rPr>
          <w:lang w:val="en-GB"/>
        </w:rPr>
        <w:t xml:space="preserve"> to the agre</w:t>
      </w:r>
      <w:r w:rsidR="001C17AB">
        <w:rPr>
          <w:lang w:val="en-GB"/>
        </w:rPr>
        <w:t>ement</w:t>
      </w:r>
      <w:r w:rsidR="007B20E3">
        <w:rPr>
          <w:lang w:val="en-GB"/>
        </w:rPr>
        <w:t>.</w:t>
      </w:r>
    </w:p>
    <w:p w:rsidR="00CA3E54" w:rsidRDefault="007B20E3" w:rsidP="00FD6B18">
      <w:pPr>
        <w:pStyle w:val="BodyText"/>
        <w:rPr>
          <w:lang w:val="en-GB"/>
        </w:rPr>
      </w:pPr>
      <w:r>
        <w:rPr>
          <w:lang w:val="en"/>
        </w:rPr>
        <w:t xml:space="preserve">What </w:t>
      </w:r>
      <w:r w:rsidR="00096CA1">
        <w:rPr>
          <w:lang w:val="en"/>
        </w:rPr>
        <w:t>is</w:t>
      </w:r>
      <w:r>
        <w:rPr>
          <w:lang w:val="en"/>
        </w:rPr>
        <w:t xml:space="preserve"> less commonly reported </w:t>
      </w:r>
      <w:r w:rsidR="00096CA1">
        <w:rPr>
          <w:lang w:val="en"/>
        </w:rPr>
        <w:t>are</w:t>
      </w:r>
      <w:r>
        <w:rPr>
          <w:lang w:val="en"/>
        </w:rPr>
        <w:t xml:space="preserve"> the </w:t>
      </w:r>
      <w:r w:rsidR="00FF6E19">
        <w:rPr>
          <w:lang w:val="en"/>
        </w:rPr>
        <w:t xml:space="preserve">potential </w:t>
      </w:r>
      <w:r w:rsidR="00230318">
        <w:rPr>
          <w:lang w:val="en"/>
        </w:rPr>
        <w:t xml:space="preserve">negative impacts </w:t>
      </w:r>
      <w:r w:rsidR="00921734">
        <w:rPr>
          <w:lang w:val="en"/>
        </w:rPr>
        <w:t xml:space="preserve">of trade and investment </w:t>
      </w:r>
      <w:r w:rsidR="003F3509">
        <w:rPr>
          <w:lang w:val="en"/>
        </w:rPr>
        <w:t>that is diverted</w:t>
      </w:r>
      <w:r w:rsidR="00921734">
        <w:rPr>
          <w:lang w:val="en"/>
        </w:rPr>
        <w:t xml:space="preserve"> from more efficient sources</w:t>
      </w:r>
      <w:r w:rsidR="00F35789">
        <w:rPr>
          <w:lang w:val="en"/>
        </w:rPr>
        <w:t xml:space="preserve"> of supply</w:t>
      </w:r>
      <w:r w:rsidR="00153FE9">
        <w:rPr>
          <w:lang w:val="en"/>
        </w:rPr>
        <w:t xml:space="preserve"> and the </w:t>
      </w:r>
      <w:r>
        <w:rPr>
          <w:lang w:val="en"/>
        </w:rPr>
        <w:t>availab</w:t>
      </w:r>
      <w:r w:rsidR="00153FE9">
        <w:rPr>
          <w:lang w:val="en"/>
        </w:rPr>
        <w:t>ility of</w:t>
      </w:r>
      <w:r>
        <w:rPr>
          <w:lang w:val="en"/>
        </w:rPr>
        <w:t xml:space="preserve"> </w:t>
      </w:r>
      <w:r w:rsidR="00153FE9">
        <w:rPr>
          <w:lang w:val="en"/>
        </w:rPr>
        <w:t xml:space="preserve">even greater gains through </w:t>
      </w:r>
      <w:r>
        <w:rPr>
          <w:lang w:val="en"/>
        </w:rPr>
        <w:t>unilateral</w:t>
      </w:r>
      <w:r w:rsidR="00153FE9">
        <w:rPr>
          <w:lang w:val="en"/>
        </w:rPr>
        <w:t xml:space="preserve"> action by the Australian Government to </w:t>
      </w:r>
      <w:r>
        <w:rPr>
          <w:lang w:val="en"/>
        </w:rPr>
        <w:t>eliminate tariffs and other impediments to trade</w:t>
      </w:r>
      <w:r w:rsidR="00096CA1">
        <w:rPr>
          <w:lang w:val="en"/>
        </w:rPr>
        <w:t xml:space="preserve">. </w:t>
      </w:r>
      <w:r w:rsidR="00D262C0">
        <w:rPr>
          <w:lang w:val="en"/>
        </w:rPr>
        <w:t>The</w:t>
      </w:r>
      <w:r w:rsidR="00096CA1">
        <w:rPr>
          <w:lang w:val="en"/>
        </w:rPr>
        <w:t xml:space="preserve"> </w:t>
      </w:r>
      <w:r w:rsidR="0008717B">
        <w:rPr>
          <w:lang w:val="en"/>
        </w:rPr>
        <w:t xml:space="preserve">costs associated with a </w:t>
      </w:r>
      <w:r w:rsidR="00807082">
        <w:rPr>
          <w:lang w:val="en"/>
        </w:rPr>
        <w:t xml:space="preserve">protracted </w:t>
      </w:r>
      <w:r>
        <w:rPr>
          <w:lang w:val="en"/>
        </w:rPr>
        <w:t xml:space="preserve">negotiation </w:t>
      </w:r>
      <w:r w:rsidR="00807082">
        <w:rPr>
          <w:lang w:val="en"/>
        </w:rPr>
        <w:t xml:space="preserve">process </w:t>
      </w:r>
      <w:r>
        <w:rPr>
          <w:lang w:val="en"/>
        </w:rPr>
        <w:t xml:space="preserve">and compliance </w:t>
      </w:r>
      <w:r w:rsidR="0008717B">
        <w:rPr>
          <w:lang w:val="en"/>
        </w:rPr>
        <w:t>burden</w:t>
      </w:r>
      <w:r>
        <w:rPr>
          <w:lang w:val="en"/>
        </w:rPr>
        <w:t xml:space="preserve"> associated with preferential agreements, including complex </w:t>
      </w:r>
      <w:r w:rsidR="001A012A">
        <w:rPr>
          <w:lang w:val="en"/>
        </w:rPr>
        <w:t xml:space="preserve">and confusing </w:t>
      </w:r>
      <w:r>
        <w:rPr>
          <w:lang w:val="en"/>
        </w:rPr>
        <w:t>rules of origin</w:t>
      </w:r>
      <w:r w:rsidR="00B75660">
        <w:rPr>
          <w:lang w:val="en"/>
        </w:rPr>
        <w:t xml:space="preserve">, </w:t>
      </w:r>
      <w:r w:rsidR="00D262C0">
        <w:rPr>
          <w:lang w:val="en"/>
        </w:rPr>
        <w:t>are similarly under-reported.</w:t>
      </w:r>
    </w:p>
    <w:p w:rsidR="00D35647" w:rsidRDefault="00F1789B">
      <w:pPr>
        <w:pStyle w:val="BodyText"/>
        <w:rPr>
          <w:lang w:val="en"/>
        </w:rPr>
      </w:pPr>
      <w:r>
        <w:rPr>
          <w:lang w:val="en-GB"/>
        </w:rPr>
        <w:lastRenderedPageBreak/>
        <w:t>In its 2010 report into bilateral and regional</w:t>
      </w:r>
      <w:r w:rsidR="00B75660">
        <w:rPr>
          <w:lang w:val="en-GB"/>
        </w:rPr>
        <w:t xml:space="preserve"> trade agreements</w:t>
      </w:r>
      <w:r>
        <w:rPr>
          <w:lang w:val="en-GB"/>
        </w:rPr>
        <w:t xml:space="preserve">, the Commission concluded that any </w:t>
      </w:r>
      <w:r w:rsidRPr="00F1789B">
        <w:rPr>
          <w:lang w:val="en-GB"/>
        </w:rPr>
        <w:t>increase</w:t>
      </w:r>
      <w:r>
        <w:rPr>
          <w:lang w:val="en-GB"/>
        </w:rPr>
        <w:t>s</w:t>
      </w:r>
      <w:r w:rsidRPr="00F1789B">
        <w:rPr>
          <w:lang w:val="en-GB"/>
        </w:rPr>
        <w:t xml:space="preserve"> in national income </w:t>
      </w:r>
      <w:r>
        <w:rPr>
          <w:lang w:val="en-GB"/>
        </w:rPr>
        <w:t xml:space="preserve">accruing </w:t>
      </w:r>
      <w:r w:rsidRPr="00F1789B">
        <w:rPr>
          <w:lang w:val="en-GB"/>
        </w:rPr>
        <w:t xml:space="preserve">from preferential agreements </w:t>
      </w:r>
      <w:r w:rsidR="00982929">
        <w:rPr>
          <w:lang w:val="en-GB"/>
        </w:rPr>
        <w:t>are</w:t>
      </w:r>
      <w:r w:rsidR="00982929" w:rsidRPr="00F1789B">
        <w:rPr>
          <w:lang w:val="en-GB"/>
        </w:rPr>
        <w:t xml:space="preserve"> </w:t>
      </w:r>
      <w:r w:rsidRPr="00F1789B">
        <w:rPr>
          <w:lang w:val="en-GB"/>
        </w:rPr>
        <w:t xml:space="preserve">likely to be modest. </w:t>
      </w:r>
      <w:r w:rsidR="00CA3E54">
        <w:t>The Commission also concluded that c</w:t>
      </w:r>
      <w:r w:rsidRPr="00F1789B">
        <w:t xml:space="preserve">urrent processes for assessing </w:t>
      </w:r>
      <w:r w:rsidR="007B20E3">
        <w:t xml:space="preserve">bilateral and regional agreements </w:t>
      </w:r>
      <w:r w:rsidRPr="00F1789B">
        <w:t>lack</w:t>
      </w:r>
      <w:r w:rsidR="007B20E3">
        <w:t>ed</w:t>
      </w:r>
      <w:r w:rsidRPr="00F1789B">
        <w:t xml:space="preserve"> transparency and tend</w:t>
      </w:r>
      <w:r w:rsidR="00381BA8">
        <w:t>ed</w:t>
      </w:r>
      <w:r w:rsidRPr="00F1789B">
        <w:t xml:space="preserve"> to oversell the likely benefits. To help ensure that </w:t>
      </w:r>
      <w:r w:rsidR="007B20E3">
        <w:t>bilateral and regional trade agreements</w:t>
      </w:r>
      <w:r w:rsidRPr="00F1789B">
        <w:t xml:space="preserve"> entered into are in Australia’s </w:t>
      </w:r>
      <w:r w:rsidR="007B20E3">
        <w:t xml:space="preserve">best </w:t>
      </w:r>
      <w:r w:rsidRPr="00F1789B">
        <w:t>interests</w:t>
      </w:r>
      <w:r w:rsidR="007B20E3">
        <w:t>,</w:t>
      </w:r>
      <w:r w:rsidR="00CA3E54">
        <w:t xml:space="preserve"> it recommended that a</w:t>
      </w:r>
      <w:r w:rsidRPr="00F1789B">
        <w:t xml:space="preserve"> full and </w:t>
      </w:r>
      <w:r w:rsidR="00D0277E">
        <w:t>independent,</w:t>
      </w:r>
      <w:r w:rsidR="00D0277E" w:rsidRPr="00F1789B">
        <w:t xml:space="preserve"> </w:t>
      </w:r>
      <w:r w:rsidR="00A65BE9">
        <w:t>arms</w:t>
      </w:r>
      <w:r w:rsidR="00D0277E">
        <w:t>-</w:t>
      </w:r>
      <w:r w:rsidR="00A65BE9">
        <w:t xml:space="preserve">length </w:t>
      </w:r>
      <w:r w:rsidRPr="00F1789B">
        <w:t xml:space="preserve">assessment of a proposed agreement should be made after negotiations have concluded — covering all of the actual negotiated provisions. </w:t>
      </w:r>
      <w:r w:rsidR="007B20E3">
        <w:t>It</w:t>
      </w:r>
      <w:r w:rsidR="003D5425">
        <w:rPr>
          <w:lang w:val="en"/>
        </w:rPr>
        <w:t xml:space="preserve"> </w:t>
      </w:r>
      <w:r w:rsidR="00D5387A">
        <w:rPr>
          <w:lang w:val="en"/>
        </w:rPr>
        <w:t>recommended</w:t>
      </w:r>
      <w:r w:rsidR="007B20E3">
        <w:rPr>
          <w:lang w:val="en"/>
        </w:rPr>
        <w:t xml:space="preserve"> (amongst other things)</w:t>
      </w:r>
      <w:r w:rsidR="00393E06">
        <w:rPr>
          <w:lang w:val="en"/>
        </w:rPr>
        <w:t>:</w:t>
      </w:r>
    </w:p>
    <w:p w:rsidR="0091595C" w:rsidRDefault="00321D7C" w:rsidP="00E544FE">
      <w:pPr>
        <w:pStyle w:val="Quote"/>
        <w:rPr>
          <w:lang w:val="en"/>
        </w:rPr>
      </w:pPr>
      <w:r>
        <w:rPr>
          <w:lang w:val="en"/>
        </w:rPr>
        <w:t>The Australian Government should improve the scrutiny of the potential impacts of prospective trade agreements, and opportunities to reduce barriers to trade and investment more generally.</w:t>
      </w:r>
      <w:r w:rsidR="00886928">
        <w:rPr>
          <w:lang w:val="en"/>
        </w:rPr>
        <w:t xml:space="preserve"> … </w:t>
      </w:r>
      <w:r w:rsidRPr="003D16C7">
        <w:rPr>
          <w:lang w:val="en"/>
        </w:rPr>
        <w:t>It</w:t>
      </w:r>
      <w:r w:rsidR="007E0663">
        <w:rPr>
          <w:lang w:val="en"/>
        </w:rPr>
        <w:t xml:space="preserve"> should commission and publish an independent and transparent assessment of the final text of the agreement, at the conclusion of negotiations, but before an agreement is signed</w:t>
      </w:r>
      <w:r w:rsidR="009C1B52">
        <w:rPr>
          <w:lang w:val="en"/>
        </w:rPr>
        <w:t xml:space="preserve"> (PC 2010, p.</w:t>
      </w:r>
      <w:r w:rsidR="003D16C7">
        <w:rPr>
          <w:lang w:val="en"/>
        </w:rPr>
        <w:t> </w:t>
      </w:r>
      <w:r w:rsidR="009C1B52">
        <w:rPr>
          <w:lang w:val="en"/>
        </w:rPr>
        <w:t>312)</w:t>
      </w:r>
      <w:r w:rsidR="00A955A1">
        <w:rPr>
          <w:lang w:val="en"/>
        </w:rPr>
        <w:t>.</w:t>
      </w:r>
    </w:p>
    <w:p w:rsidR="00B75660" w:rsidRDefault="00F063B0" w:rsidP="00FD6B18">
      <w:pPr>
        <w:pStyle w:val="BodyText"/>
        <w:rPr>
          <w:lang w:val="en"/>
        </w:rPr>
      </w:pPr>
      <w:r>
        <w:rPr>
          <w:lang w:val="en"/>
        </w:rPr>
        <w:t xml:space="preserve">The expanding involvement of </w:t>
      </w:r>
      <w:r w:rsidR="00B75660">
        <w:rPr>
          <w:lang w:val="en"/>
        </w:rPr>
        <w:t xml:space="preserve">Australia </w:t>
      </w:r>
      <w:r>
        <w:rPr>
          <w:lang w:val="en"/>
        </w:rPr>
        <w:t xml:space="preserve">in </w:t>
      </w:r>
      <w:r w:rsidR="00B75660">
        <w:rPr>
          <w:lang w:val="en"/>
        </w:rPr>
        <w:t xml:space="preserve">preferential trading arrangements adds </w:t>
      </w:r>
      <w:r>
        <w:rPr>
          <w:lang w:val="en"/>
        </w:rPr>
        <w:t xml:space="preserve">to the imperative of this recommendation to ensure Australia </w:t>
      </w:r>
      <w:r w:rsidR="00EE7DF5">
        <w:rPr>
          <w:lang w:val="en"/>
        </w:rPr>
        <w:t>maximizes</w:t>
      </w:r>
      <w:r>
        <w:rPr>
          <w:lang w:val="en"/>
        </w:rPr>
        <w:t xml:space="preserve"> the benefits from international trade and investment opportunities.</w:t>
      </w:r>
    </w:p>
    <w:p w:rsidR="00C05DF3" w:rsidRDefault="000B5158" w:rsidP="003D16C7">
      <w:pPr>
        <w:pStyle w:val="Heading2"/>
      </w:pPr>
      <w:r>
        <w:t>6.</w:t>
      </w:r>
      <w:r w:rsidR="00CE0B5E">
        <w:rPr>
          <w:noProof/>
        </w:rPr>
        <w:t>3</w:t>
      </w:r>
      <w:r w:rsidR="00233CA3">
        <w:tab/>
      </w:r>
      <w:r w:rsidR="00771251">
        <w:t xml:space="preserve">Rules of </w:t>
      </w:r>
      <w:r w:rsidR="00F063B0">
        <w:t>origin</w:t>
      </w:r>
    </w:p>
    <w:p w:rsidR="00D86E90" w:rsidRDefault="00F43A10" w:rsidP="00077E8C">
      <w:pPr>
        <w:pStyle w:val="BodyText"/>
      </w:pPr>
      <w:r>
        <w:t>Rules of origin establish which good</w:t>
      </w:r>
      <w:r w:rsidR="006C697F">
        <w:t>s</w:t>
      </w:r>
      <w:r>
        <w:t xml:space="preserve"> produced in a partner country to a bilateral or regional preferential trade agreement should be accorded preferential tariff treatment. </w:t>
      </w:r>
      <w:r w:rsidR="00C47891">
        <w:t>The product-specific r</w:t>
      </w:r>
      <w:r w:rsidR="001713A9">
        <w:t>ules of origin in</w:t>
      </w:r>
      <w:r w:rsidR="00F25FEB">
        <w:t xml:space="preserve"> Australia’s agreements </w:t>
      </w:r>
      <w:r w:rsidR="001713A9">
        <w:t xml:space="preserve">have </w:t>
      </w:r>
      <w:r w:rsidR="00B35E8D">
        <w:t>their own</w:t>
      </w:r>
      <w:r w:rsidR="00F25FEB">
        <w:t xml:space="preserve"> </w:t>
      </w:r>
      <w:r w:rsidR="00974B4F">
        <w:t>requirements</w:t>
      </w:r>
      <w:r w:rsidR="00F25FEB">
        <w:t xml:space="preserve"> that are subject to detailed negotiations in </w:t>
      </w:r>
      <w:r w:rsidR="001713A9">
        <w:t xml:space="preserve">their </w:t>
      </w:r>
      <w:r w:rsidR="00F25FEB">
        <w:t xml:space="preserve">formation. </w:t>
      </w:r>
      <w:r w:rsidR="00E864B0">
        <w:t>The i</w:t>
      </w:r>
      <w:r w:rsidR="00E864B0" w:rsidRPr="00E864B0">
        <w:t xml:space="preserve">ndividual rules can be expressed at the </w:t>
      </w:r>
      <w:r w:rsidR="00C50FA7">
        <w:t xml:space="preserve">2 digit chapter, </w:t>
      </w:r>
      <w:r w:rsidR="001741C3" w:rsidRPr="00E864B0">
        <w:t>4</w:t>
      </w:r>
      <w:r w:rsidR="001741C3">
        <w:t> </w:t>
      </w:r>
      <w:r w:rsidR="00E864B0" w:rsidRPr="00E864B0">
        <w:t xml:space="preserve">digit heading, the </w:t>
      </w:r>
      <w:r w:rsidR="001741C3" w:rsidRPr="00E864B0">
        <w:t>6</w:t>
      </w:r>
      <w:r w:rsidR="001741C3">
        <w:t> </w:t>
      </w:r>
      <w:r w:rsidR="00E864B0" w:rsidRPr="00E864B0">
        <w:t>digit subheading level</w:t>
      </w:r>
      <w:r w:rsidR="009D60E7">
        <w:t>s</w:t>
      </w:r>
      <w:r w:rsidR="00E864B0" w:rsidRPr="00E864B0">
        <w:t xml:space="preserve"> or for groupings of tariff line items</w:t>
      </w:r>
      <w:r w:rsidR="001741C3">
        <w:t xml:space="preserve"> of the Harmonized System (HS) of international trade items</w:t>
      </w:r>
      <w:r w:rsidR="00E864B0" w:rsidRPr="00E864B0">
        <w:t xml:space="preserve">. </w:t>
      </w:r>
      <w:r w:rsidR="00F25FEB">
        <w:t xml:space="preserve">As a consequence, </w:t>
      </w:r>
      <w:r w:rsidR="00C47891">
        <w:t>the number of individual rules in any one agreement can be substantial</w:t>
      </w:r>
      <w:r w:rsidR="00614925">
        <w:t xml:space="preserve"> and</w:t>
      </w:r>
      <w:r w:rsidR="00C70258">
        <w:t>,</w:t>
      </w:r>
      <w:r w:rsidR="00614925">
        <w:t xml:space="preserve"> moreover, vary between agreements</w:t>
      </w:r>
      <w:r w:rsidR="009D60E7">
        <w:t xml:space="preserve"> (table 6.1)</w:t>
      </w:r>
      <w:r w:rsidR="00C47891">
        <w:t xml:space="preserve">. </w:t>
      </w:r>
      <w:r w:rsidR="009D60E7">
        <w:t xml:space="preserve">For example, the </w:t>
      </w:r>
      <w:r w:rsidR="00C47891">
        <w:t xml:space="preserve">number of individual rules in agreements entered into by Australia varies from a </w:t>
      </w:r>
      <w:r w:rsidR="00AF11F3">
        <w:t xml:space="preserve">single three-tiered rule </w:t>
      </w:r>
      <w:r w:rsidR="001637C6">
        <w:t xml:space="preserve">in the Singapore-Australia trade agreement to </w:t>
      </w:r>
      <w:r w:rsidR="00E864B0">
        <w:t xml:space="preserve">some </w:t>
      </w:r>
      <w:r w:rsidR="002032A5">
        <w:t xml:space="preserve">5200 </w:t>
      </w:r>
      <w:r w:rsidR="00123AF1">
        <w:t xml:space="preserve">separate </w:t>
      </w:r>
      <w:r w:rsidR="001637C6">
        <w:t xml:space="preserve">rules </w:t>
      </w:r>
      <w:r w:rsidR="002032A5">
        <w:t xml:space="preserve">listed </w:t>
      </w:r>
      <w:r w:rsidR="001637C6">
        <w:t xml:space="preserve">in the recently </w:t>
      </w:r>
      <w:r w:rsidR="002031C9">
        <w:t xml:space="preserve">signed </w:t>
      </w:r>
      <w:r w:rsidR="001637C6">
        <w:t>Korea-Australia agreement</w:t>
      </w:r>
      <w:r w:rsidR="002032A5">
        <w:t>.</w:t>
      </w:r>
    </w:p>
    <w:p w:rsidR="001637C6" w:rsidRDefault="001637C6">
      <w:pPr>
        <w:pStyle w:val="TableTitle"/>
      </w:pPr>
      <w:r>
        <w:rPr>
          <w:b w:val="0"/>
        </w:rPr>
        <w:t xml:space="preserve">Table </w:t>
      </w:r>
      <w:r w:rsidR="000B5158">
        <w:rPr>
          <w:b w:val="0"/>
        </w:rPr>
        <w:t>6.</w:t>
      </w:r>
      <w:r w:rsidR="00CE0B5E">
        <w:rPr>
          <w:b w:val="0"/>
          <w:noProof/>
        </w:rPr>
        <w:t>1</w:t>
      </w:r>
      <w:r>
        <w:tab/>
        <w:t xml:space="preserve">Count of </w:t>
      </w:r>
      <w:r w:rsidR="002032A5">
        <w:t xml:space="preserve">listed </w:t>
      </w:r>
      <w:r>
        <w:t>rules of origin by trade agreement</w:t>
      </w:r>
    </w:p>
    <w:p w:rsidR="001637C6" w:rsidRDefault="001637C6">
      <w:pPr>
        <w:pStyle w:val="Subtitle"/>
      </w:pPr>
      <w:r>
        <w:t>Number of rules</w:t>
      </w:r>
      <w:r w:rsidR="002032A5">
        <w:t xml:space="preserve"> listed in agreements</w:t>
      </w:r>
    </w:p>
    <w:tbl>
      <w:tblPr>
        <w:tblW w:w="5000" w:type="pct"/>
        <w:tblCellMar>
          <w:left w:w="0" w:type="dxa"/>
          <w:right w:w="0" w:type="dxa"/>
        </w:tblCellMar>
        <w:tblLook w:val="0000" w:firstRow="0" w:lastRow="0" w:firstColumn="0" w:lastColumn="0" w:noHBand="0" w:noVBand="0"/>
      </w:tblPr>
      <w:tblGrid>
        <w:gridCol w:w="971"/>
        <w:gridCol w:w="964"/>
        <w:gridCol w:w="1086"/>
        <w:gridCol w:w="963"/>
        <w:gridCol w:w="963"/>
        <w:gridCol w:w="963"/>
        <w:gridCol w:w="963"/>
        <w:gridCol w:w="963"/>
        <w:gridCol w:w="953"/>
      </w:tblGrid>
      <w:tr w:rsidR="004C5E18" w:rsidTr="004C5E18">
        <w:tc>
          <w:tcPr>
            <w:tcW w:w="552" w:type="pct"/>
            <w:tcBorders>
              <w:top w:val="single" w:sz="6" w:space="0" w:color="auto"/>
              <w:bottom w:val="single" w:sz="6" w:space="0" w:color="auto"/>
            </w:tcBorders>
            <w:shd w:val="clear" w:color="auto" w:fill="auto"/>
          </w:tcPr>
          <w:p w:rsidR="004C5E18" w:rsidRDefault="004C5E18" w:rsidP="004C5E18">
            <w:pPr>
              <w:pStyle w:val="TableColumnHeading"/>
            </w:pPr>
          </w:p>
        </w:tc>
        <w:tc>
          <w:tcPr>
            <w:tcW w:w="548" w:type="pct"/>
            <w:tcBorders>
              <w:top w:val="single" w:sz="6" w:space="0" w:color="auto"/>
              <w:bottom w:val="single" w:sz="6" w:space="0" w:color="auto"/>
            </w:tcBorders>
            <w:vAlign w:val="bottom"/>
          </w:tcPr>
          <w:p w:rsidR="004C5E18" w:rsidRDefault="004C5E18" w:rsidP="004C5E18">
            <w:pPr>
              <w:pStyle w:val="TableColumnHeading"/>
            </w:pPr>
            <w:r>
              <w:t>New Zealand</w:t>
            </w:r>
          </w:p>
        </w:tc>
        <w:tc>
          <w:tcPr>
            <w:tcW w:w="618" w:type="pct"/>
            <w:tcBorders>
              <w:top w:val="single" w:sz="6" w:space="0" w:color="auto"/>
              <w:bottom w:val="single" w:sz="6" w:space="0" w:color="auto"/>
            </w:tcBorders>
            <w:vAlign w:val="bottom"/>
          </w:tcPr>
          <w:p w:rsidR="004C5E18" w:rsidRDefault="004C5E18" w:rsidP="004C5E18">
            <w:pPr>
              <w:pStyle w:val="TableColumnHeading"/>
            </w:pPr>
            <w:r>
              <w:t>Singapore</w:t>
            </w:r>
          </w:p>
        </w:tc>
        <w:tc>
          <w:tcPr>
            <w:tcW w:w="548" w:type="pct"/>
            <w:tcBorders>
              <w:top w:val="single" w:sz="6" w:space="0" w:color="auto"/>
              <w:bottom w:val="single" w:sz="6" w:space="0" w:color="auto"/>
            </w:tcBorders>
            <w:vAlign w:val="bottom"/>
          </w:tcPr>
          <w:p w:rsidR="004C5E18" w:rsidRDefault="004C5E18" w:rsidP="004C5E18">
            <w:pPr>
              <w:pStyle w:val="TableColumnHeading"/>
            </w:pPr>
            <w:r>
              <w:t>Thailand</w:t>
            </w:r>
          </w:p>
        </w:tc>
        <w:tc>
          <w:tcPr>
            <w:tcW w:w="548" w:type="pct"/>
            <w:tcBorders>
              <w:top w:val="single" w:sz="6" w:space="0" w:color="auto"/>
              <w:bottom w:val="single" w:sz="6" w:space="0" w:color="auto"/>
            </w:tcBorders>
            <w:vAlign w:val="bottom"/>
          </w:tcPr>
          <w:p w:rsidR="004C5E18" w:rsidRDefault="004C5E18" w:rsidP="004C5E18">
            <w:pPr>
              <w:pStyle w:val="TableColumnHeading"/>
            </w:pPr>
            <w:r>
              <w:t>USA</w:t>
            </w:r>
          </w:p>
        </w:tc>
        <w:tc>
          <w:tcPr>
            <w:tcW w:w="548" w:type="pct"/>
            <w:tcBorders>
              <w:top w:val="single" w:sz="6" w:space="0" w:color="auto"/>
              <w:bottom w:val="single" w:sz="6" w:space="0" w:color="auto"/>
            </w:tcBorders>
            <w:vAlign w:val="bottom"/>
          </w:tcPr>
          <w:p w:rsidR="004C5E18" w:rsidRDefault="004C5E18" w:rsidP="004C5E18">
            <w:pPr>
              <w:pStyle w:val="TableColumnHeading"/>
            </w:pPr>
            <w:r>
              <w:t>Chile</w:t>
            </w:r>
          </w:p>
        </w:tc>
        <w:tc>
          <w:tcPr>
            <w:tcW w:w="548" w:type="pct"/>
            <w:tcBorders>
              <w:top w:val="single" w:sz="6" w:space="0" w:color="auto"/>
              <w:bottom w:val="single" w:sz="6" w:space="0" w:color="auto"/>
            </w:tcBorders>
            <w:vAlign w:val="bottom"/>
          </w:tcPr>
          <w:p w:rsidR="004C5E18" w:rsidRDefault="004C5E18" w:rsidP="004C5E18">
            <w:pPr>
              <w:pStyle w:val="TableColumnHeading"/>
            </w:pPr>
            <w:r>
              <w:t>ASEAN</w:t>
            </w:r>
          </w:p>
        </w:tc>
        <w:tc>
          <w:tcPr>
            <w:tcW w:w="548" w:type="pct"/>
            <w:tcBorders>
              <w:top w:val="single" w:sz="6" w:space="0" w:color="auto"/>
              <w:bottom w:val="single" w:sz="6" w:space="0" w:color="auto"/>
            </w:tcBorders>
            <w:shd w:val="clear" w:color="auto" w:fill="auto"/>
            <w:vAlign w:val="bottom"/>
          </w:tcPr>
          <w:p w:rsidR="004C5E18" w:rsidRDefault="004C5E18" w:rsidP="004C5E18">
            <w:pPr>
              <w:pStyle w:val="TableColumnHeading"/>
            </w:pPr>
            <w:r>
              <w:t>Malaysia</w:t>
            </w:r>
          </w:p>
        </w:tc>
        <w:tc>
          <w:tcPr>
            <w:tcW w:w="542" w:type="pct"/>
            <w:tcBorders>
              <w:top w:val="single" w:sz="6" w:space="0" w:color="auto"/>
              <w:bottom w:val="single" w:sz="6" w:space="0" w:color="auto"/>
            </w:tcBorders>
            <w:shd w:val="clear" w:color="auto" w:fill="auto"/>
            <w:vAlign w:val="bottom"/>
          </w:tcPr>
          <w:p w:rsidR="004C5E18" w:rsidRDefault="004C5E18" w:rsidP="004C5E18">
            <w:pPr>
              <w:pStyle w:val="TableColumnHeading"/>
              <w:ind w:right="28"/>
            </w:pPr>
            <w:r>
              <w:t>Korea</w:t>
            </w:r>
          </w:p>
        </w:tc>
      </w:tr>
      <w:tr w:rsidR="004C5E18" w:rsidTr="004C5E18">
        <w:tc>
          <w:tcPr>
            <w:tcW w:w="552" w:type="pct"/>
            <w:tcBorders>
              <w:top w:val="single" w:sz="6" w:space="0" w:color="auto"/>
            </w:tcBorders>
          </w:tcPr>
          <w:p w:rsidR="004C5E18" w:rsidRDefault="004C5E18" w:rsidP="00173A56">
            <w:pPr>
              <w:pStyle w:val="TableUnitsRow"/>
              <w:jc w:val="left"/>
            </w:pPr>
          </w:p>
        </w:tc>
        <w:tc>
          <w:tcPr>
            <w:tcW w:w="548" w:type="pct"/>
            <w:tcBorders>
              <w:top w:val="single" w:sz="6" w:space="0" w:color="auto"/>
            </w:tcBorders>
          </w:tcPr>
          <w:p w:rsidR="004C5E18" w:rsidRDefault="004C5E18" w:rsidP="00173A56">
            <w:pPr>
              <w:pStyle w:val="TableUnitsRow"/>
            </w:pPr>
          </w:p>
        </w:tc>
        <w:tc>
          <w:tcPr>
            <w:tcW w:w="618" w:type="pct"/>
            <w:tcBorders>
              <w:top w:val="single" w:sz="6" w:space="0" w:color="auto"/>
            </w:tcBorders>
          </w:tcPr>
          <w:p w:rsidR="004C5E18" w:rsidRDefault="004C5E18" w:rsidP="00173A56">
            <w:pPr>
              <w:pStyle w:val="TableUnitsRow"/>
            </w:pPr>
          </w:p>
        </w:tc>
        <w:tc>
          <w:tcPr>
            <w:tcW w:w="548" w:type="pct"/>
            <w:tcBorders>
              <w:top w:val="single" w:sz="6" w:space="0" w:color="auto"/>
            </w:tcBorders>
          </w:tcPr>
          <w:p w:rsidR="004C5E18" w:rsidRDefault="004C5E18" w:rsidP="00173A56">
            <w:pPr>
              <w:pStyle w:val="TableUnitsRow"/>
            </w:pPr>
          </w:p>
        </w:tc>
        <w:tc>
          <w:tcPr>
            <w:tcW w:w="548" w:type="pct"/>
            <w:tcBorders>
              <w:top w:val="single" w:sz="6" w:space="0" w:color="auto"/>
            </w:tcBorders>
          </w:tcPr>
          <w:p w:rsidR="004C5E18" w:rsidRDefault="004C5E18" w:rsidP="00173A56">
            <w:pPr>
              <w:pStyle w:val="TableUnitsRow"/>
            </w:pPr>
          </w:p>
        </w:tc>
        <w:tc>
          <w:tcPr>
            <w:tcW w:w="548" w:type="pct"/>
            <w:tcBorders>
              <w:top w:val="single" w:sz="6" w:space="0" w:color="auto"/>
            </w:tcBorders>
          </w:tcPr>
          <w:p w:rsidR="004C5E18" w:rsidRDefault="004C5E18" w:rsidP="00173A56">
            <w:pPr>
              <w:pStyle w:val="TableUnitsRow"/>
            </w:pPr>
          </w:p>
        </w:tc>
        <w:tc>
          <w:tcPr>
            <w:tcW w:w="548" w:type="pct"/>
            <w:tcBorders>
              <w:top w:val="single" w:sz="6" w:space="0" w:color="auto"/>
            </w:tcBorders>
          </w:tcPr>
          <w:p w:rsidR="004C5E18" w:rsidRDefault="004C5E18" w:rsidP="00173A56">
            <w:pPr>
              <w:pStyle w:val="TableUnitsRow"/>
            </w:pPr>
          </w:p>
        </w:tc>
        <w:tc>
          <w:tcPr>
            <w:tcW w:w="548" w:type="pct"/>
            <w:tcBorders>
              <w:top w:val="single" w:sz="6" w:space="0" w:color="auto"/>
            </w:tcBorders>
          </w:tcPr>
          <w:p w:rsidR="004C5E18" w:rsidRDefault="004C5E18" w:rsidP="00173A56">
            <w:pPr>
              <w:pStyle w:val="TableUnitsRow"/>
            </w:pPr>
          </w:p>
        </w:tc>
        <w:tc>
          <w:tcPr>
            <w:tcW w:w="542" w:type="pct"/>
            <w:tcBorders>
              <w:top w:val="single" w:sz="6" w:space="0" w:color="auto"/>
            </w:tcBorders>
          </w:tcPr>
          <w:p w:rsidR="004C5E18" w:rsidRDefault="004C5E18" w:rsidP="00173A56">
            <w:pPr>
              <w:pStyle w:val="TableUnitsRow"/>
              <w:ind w:right="28"/>
            </w:pPr>
          </w:p>
        </w:tc>
      </w:tr>
      <w:tr w:rsidR="004C5E18" w:rsidTr="004C5E18">
        <w:tc>
          <w:tcPr>
            <w:tcW w:w="552" w:type="pct"/>
            <w:tcBorders>
              <w:bottom w:val="single" w:sz="4" w:space="0" w:color="auto"/>
            </w:tcBorders>
          </w:tcPr>
          <w:p w:rsidR="004C5E18" w:rsidRDefault="004C5E18" w:rsidP="00173A56">
            <w:pPr>
              <w:pStyle w:val="TableBodyText"/>
              <w:jc w:val="left"/>
            </w:pPr>
            <w:r>
              <w:t>Number</w:t>
            </w:r>
          </w:p>
        </w:tc>
        <w:tc>
          <w:tcPr>
            <w:tcW w:w="548" w:type="pct"/>
            <w:tcBorders>
              <w:bottom w:val="single" w:sz="4" w:space="0" w:color="auto"/>
            </w:tcBorders>
          </w:tcPr>
          <w:p w:rsidR="004C5E18" w:rsidRDefault="004C5E18" w:rsidP="00173A56">
            <w:pPr>
              <w:pStyle w:val="TableBodyText"/>
            </w:pPr>
            <w:r>
              <w:t>2826</w:t>
            </w:r>
          </w:p>
        </w:tc>
        <w:tc>
          <w:tcPr>
            <w:tcW w:w="618" w:type="pct"/>
            <w:tcBorders>
              <w:bottom w:val="single" w:sz="4" w:space="0" w:color="auto"/>
            </w:tcBorders>
          </w:tcPr>
          <w:p w:rsidR="004C5E18" w:rsidRDefault="004C5E18" w:rsidP="00173A56">
            <w:pPr>
              <w:pStyle w:val="TableBodyText"/>
            </w:pPr>
            <w:r>
              <w:t>1</w:t>
            </w:r>
          </w:p>
        </w:tc>
        <w:tc>
          <w:tcPr>
            <w:tcW w:w="548" w:type="pct"/>
            <w:tcBorders>
              <w:bottom w:val="single" w:sz="4" w:space="0" w:color="auto"/>
            </w:tcBorders>
          </w:tcPr>
          <w:p w:rsidR="004C5E18" w:rsidRDefault="004C5E18" w:rsidP="00173A56">
            <w:pPr>
              <w:pStyle w:val="TableBodyText"/>
            </w:pPr>
            <w:r>
              <w:t>2900</w:t>
            </w:r>
          </w:p>
        </w:tc>
        <w:tc>
          <w:tcPr>
            <w:tcW w:w="548" w:type="pct"/>
            <w:tcBorders>
              <w:bottom w:val="single" w:sz="4" w:space="0" w:color="auto"/>
            </w:tcBorders>
          </w:tcPr>
          <w:p w:rsidR="004C5E18" w:rsidRDefault="004C5E18" w:rsidP="00173A56">
            <w:pPr>
              <w:pStyle w:val="TableBodyText"/>
            </w:pPr>
            <w:r>
              <w:t>980</w:t>
            </w:r>
          </w:p>
        </w:tc>
        <w:tc>
          <w:tcPr>
            <w:tcW w:w="548" w:type="pct"/>
            <w:tcBorders>
              <w:bottom w:val="single" w:sz="4" w:space="0" w:color="auto"/>
            </w:tcBorders>
          </w:tcPr>
          <w:p w:rsidR="004C5E18" w:rsidRDefault="004C5E18" w:rsidP="00173A56">
            <w:pPr>
              <w:pStyle w:val="TableBodyText"/>
            </w:pPr>
            <w:r>
              <w:t>2803</w:t>
            </w:r>
          </w:p>
        </w:tc>
        <w:tc>
          <w:tcPr>
            <w:tcW w:w="548" w:type="pct"/>
            <w:tcBorders>
              <w:bottom w:val="single" w:sz="4" w:space="0" w:color="auto"/>
            </w:tcBorders>
          </w:tcPr>
          <w:p w:rsidR="004C5E18" w:rsidRDefault="004C5E18" w:rsidP="00173A56">
            <w:pPr>
              <w:pStyle w:val="TableBodyText"/>
            </w:pPr>
            <w:r>
              <w:t>3102</w:t>
            </w:r>
          </w:p>
        </w:tc>
        <w:tc>
          <w:tcPr>
            <w:tcW w:w="548" w:type="pct"/>
            <w:tcBorders>
              <w:bottom w:val="single" w:sz="4" w:space="0" w:color="auto"/>
            </w:tcBorders>
          </w:tcPr>
          <w:p w:rsidR="004C5E18" w:rsidRDefault="004C5E18" w:rsidP="00173A56">
            <w:pPr>
              <w:pStyle w:val="TableBodyText"/>
            </w:pPr>
            <w:r>
              <w:t>2658</w:t>
            </w:r>
          </w:p>
        </w:tc>
        <w:tc>
          <w:tcPr>
            <w:tcW w:w="542" w:type="pct"/>
            <w:tcBorders>
              <w:bottom w:val="single" w:sz="4" w:space="0" w:color="auto"/>
            </w:tcBorders>
          </w:tcPr>
          <w:p w:rsidR="004C5E18" w:rsidRDefault="004C5E18" w:rsidP="00173A56">
            <w:pPr>
              <w:pStyle w:val="TableBodyText"/>
              <w:ind w:right="28"/>
            </w:pPr>
            <w:r>
              <w:t>5205</w:t>
            </w:r>
          </w:p>
        </w:tc>
      </w:tr>
    </w:tbl>
    <w:p w:rsidR="001637C6" w:rsidRPr="008E77FE" w:rsidRDefault="001637C6" w:rsidP="00874A3E">
      <w:pPr>
        <w:pStyle w:val="Source"/>
      </w:pPr>
      <w:r>
        <w:rPr>
          <w:i/>
        </w:rPr>
        <w:t>Source</w:t>
      </w:r>
      <w:r>
        <w:t xml:space="preserve">: </w:t>
      </w:r>
      <w:r w:rsidR="00A955A1">
        <w:t>Commission</w:t>
      </w:r>
      <w:r>
        <w:t xml:space="preserve"> estimates.</w:t>
      </w:r>
    </w:p>
    <w:p w:rsidR="001174D0" w:rsidRDefault="001174D0" w:rsidP="001174D0">
      <w:pPr>
        <w:pStyle w:val="BodyText"/>
      </w:pPr>
      <w:r>
        <w:lastRenderedPageBreak/>
        <w:t>While the number of listed rules in agreements is a result of how the rules are presented in agreement schedules and varies considerably, the rules apply to a similar total number of individual HS 6</w:t>
      </w:r>
      <w:r w:rsidR="001741C3">
        <w:t> </w:t>
      </w:r>
      <w:r>
        <w:t>digit commodity items. The Commission understands that the more detailed listing of 6</w:t>
      </w:r>
      <w:r w:rsidR="001741C3">
        <w:t> </w:t>
      </w:r>
      <w:r>
        <w:t xml:space="preserve">digit rules in the Korean agreement (compared with other agreements) </w:t>
      </w:r>
      <w:r w:rsidR="001741C3">
        <w:t>i</w:t>
      </w:r>
      <w:r>
        <w:t>s intended to simplify the use of the origin</w:t>
      </w:r>
      <w:r w:rsidR="001741C3">
        <w:t>-</w:t>
      </w:r>
      <w:r>
        <w:t xml:space="preserve">rule schedule for firms. Irrespective of the </w:t>
      </w:r>
      <w:r w:rsidR="001741C3">
        <w:t xml:space="preserve">effectiveness of the </w:t>
      </w:r>
      <w:r>
        <w:t xml:space="preserve">Korean agreement in achieving the simplification goal, the different rule structure across agreements means that a firm trading with multiple countries </w:t>
      </w:r>
      <w:r w:rsidR="004F6F63">
        <w:t xml:space="preserve">with </w:t>
      </w:r>
      <w:r>
        <w:t xml:space="preserve">which Australia has signed a trade agreement faces greater complexity </w:t>
      </w:r>
      <w:r w:rsidR="00684D6D">
        <w:t xml:space="preserve">and compliance costs </w:t>
      </w:r>
      <w:r w:rsidR="003065DD">
        <w:t xml:space="preserve">through the need to interpret the different </w:t>
      </w:r>
      <w:r>
        <w:t>rule</w:t>
      </w:r>
      <w:r w:rsidR="006C697F">
        <w:t>s</w:t>
      </w:r>
      <w:r>
        <w:t xml:space="preserve"> of origin</w:t>
      </w:r>
      <w:r w:rsidR="003065DD">
        <w:t xml:space="preserve"> schedules</w:t>
      </w:r>
      <w:r>
        <w:t>.</w:t>
      </w:r>
    </w:p>
    <w:p w:rsidR="0050641C" w:rsidRDefault="001637C6" w:rsidP="00F25FEB">
      <w:pPr>
        <w:pStyle w:val="BodyText"/>
      </w:pPr>
      <w:r>
        <w:t xml:space="preserve">With the large number of </w:t>
      </w:r>
      <w:r w:rsidR="003065DD">
        <w:t xml:space="preserve">separately negotiated </w:t>
      </w:r>
      <w:r>
        <w:t xml:space="preserve">product-specific rules across agreements </w:t>
      </w:r>
      <w:r w:rsidR="007A46A6">
        <w:t xml:space="preserve">there </w:t>
      </w:r>
      <w:r w:rsidR="00CC1B23">
        <w:t xml:space="preserve">also </w:t>
      </w:r>
      <w:r>
        <w:t xml:space="preserve">comes </w:t>
      </w:r>
      <w:r w:rsidR="00F25FEB">
        <w:t xml:space="preserve">considerable variation in the origin rules </w:t>
      </w:r>
      <w:r w:rsidR="00CC1B23">
        <w:t xml:space="preserve">for individual products </w:t>
      </w:r>
      <w:r w:rsidR="00F25FEB">
        <w:t>between agreements</w:t>
      </w:r>
      <w:r w:rsidR="004B5EF3">
        <w:t xml:space="preserve">. </w:t>
      </w:r>
      <w:r w:rsidR="00077E8C">
        <w:t>Underlying the differences in rules of origin requirements between agreements is a number of different methods for determining origin</w:t>
      </w:r>
      <w:r w:rsidR="00842E32">
        <w:t xml:space="preserve"> (</w:t>
      </w:r>
      <w:r w:rsidR="00F25FEB">
        <w:t>box</w:t>
      </w:r>
      <w:r w:rsidR="00A03F33">
        <w:t> </w:t>
      </w:r>
      <w:r w:rsidR="001F6EE1">
        <w:t>6</w:t>
      </w:r>
      <w:r w:rsidR="003A4433">
        <w:t>.</w:t>
      </w:r>
      <w:r w:rsidR="00913065">
        <w:t>5</w:t>
      </w:r>
      <w:r w:rsidR="00842E32">
        <w:t>)</w:t>
      </w:r>
      <w:r w:rsidR="00F25FEB">
        <w:t>.</w:t>
      </w:r>
      <w:r w:rsidR="00B67A2D">
        <w:t xml:space="preserve"> </w:t>
      </w:r>
      <w:r w:rsidR="00F557EE">
        <w:t>A</w:t>
      </w:r>
      <w:r w:rsidR="00B67A2D">
        <w:t xml:space="preserve"> specific example of </w:t>
      </w:r>
      <w:r w:rsidR="00F3093E">
        <w:t xml:space="preserve">how </w:t>
      </w:r>
      <w:r w:rsidR="00B67A2D">
        <w:t>these</w:t>
      </w:r>
      <w:r w:rsidR="003A4433">
        <w:t xml:space="preserve"> differences </w:t>
      </w:r>
      <w:r w:rsidR="00F3093E">
        <w:t xml:space="preserve">manifest in </w:t>
      </w:r>
      <w:r w:rsidR="00806A6B">
        <w:t xml:space="preserve">actual </w:t>
      </w:r>
      <w:r w:rsidR="00F3093E">
        <w:t xml:space="preserve">agreements </w:t>
      </w:r>
      <w:r w:rsidR="00412E65">
        <w:t xml:space="preserve">with respect to a single tariff item (curtains, blinds and valances) </w:t>
      </w:r>
      <w:r w:rsidR="003A4433">
        <w:t xml:space="preserve">is shown in </w:t>
      </w:r>
      <w:r w:rsidR="00913065">
        <w:t>box </w:t>
      </w:r>
      <w:r w:rsidR="001F6EE1">
        <w:t>6.</w:t>
      </w:r>
      <w:r w:rsidR="005D5E91">
        <w:t>6</w:t>
      </w:r>
      <w:r w:rsidR="00B67A2D">
        <w:t>.</w:t>
      </w:r>
    </w:p>
    <w:p w:rsidR="00A0118E" w:rsidRDefault="00A0118E" w:rsidP="00A0118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0118E" w:rsidTr="00FC7507">
        <w:tc>
          <w:tcPr>
            <w:tcW w:w="8771" w:type="dxa"/>
            <w:tcBorders>
              <w:top w:val="single" w:sz="6" w:space="0" w:color="auto"/>
              <w:bottom w:val="nil"/>
            </w:tcBorders>
          </w:tcPr>
          <w:p w:rsidR="00A0118E" w:rsidRDefault="00A0118E" w:rsidP="00FC7507">
            <w:pPr>
              <w:pStyle w:val="BoxTitle"/>
            </w:pPr>
            <w:r>
              <w:rPr>
                <w:b w:val="0"/>
              </w:rPr>
              <w:t xml:space="preserve">Box </w:t>
            </w:r>
            <w:r w:rsidR="000B5158">
              <w:rPr>
                <w:b w:val="0"/>
              </w:rPr>
              <w:t>6.</w:t>
            </w:r>
            <w:r w:rsidR="00CE0B5E">
              <w:rPr>
                <w:b w:val="0"/>
                <w:noProof/>
              </w:rPr>
              <w:t>5</w:t>
            </w:r>
            <w:r>
              <w:tab/>
              <w:t>Rules of Origin tests in Australia’s preferential trading agreements</w:t>
            </w:r>
          </w:p>
        </w:tc>
      </w:tr>
      <w:tr w:rsidR="00A0118E" w:rsidTr="00FC7507">
        <w:trPr>
          <w:cantSplit/>
        </w:trPr>
        <w:tc>
          <w:tcPr>
            <w:tcW w:w="8771" w:type="dxa"/>
            <w:tcBorders>
              <w:top w:val="nil"/>
              <w:left w:val="single" w:sz="6" w:space="0" w:color="auto"/>
              <w:bottom w:val="nil"/>
              <w:right w:val="single" w:sz="6" w:space="0" w:color="auto"/>
            </w:tcBorders>
          </w:tcPr>
          <w:p w:rsidR="00A0118E" w:rsidRDefault="00A0118E" w:rsidP="00FC7507">
            <w:pPr>
              <w:pStyle w:val="Box"/>
            </w:pPr>
            <w:r>
              <w:t>Australia’s preferential trade agreements contain a range of approaches for conferring origin that business</w:t>
            </w:r>
            <w:r w:rsidR="006C697F">
              <w:t>es</w:t>
            </w:r>
            <w:r>
              <w:t xml:space="preserve"> must consider when sourcing inputs to attain concessional rates for their products. The three common tests used for determining origin are:</w:t>
            </w:r>
          </w:p>
          <w:p w:rsidR="00A0118E" w:rsidRDefault="00A0118E" w:rsidP="00FC7507">
            <w:pPr>
              <w:pStyle w:val="BoxListBullet"/>
              <w:spacing w:before="120"/>
            </w:pPr>
            <w:r>
              <w:t xml:space="preserve">Change in tariff classification test </w:t>
            </w:r>
            <w:r w:rsidR="008E60AB">
              <w:t xml:space="preserve">– </w:t>
            </w:r>
            <w:r>
              <w:t>a good is transformed if there is a change in tariff classification under the Harmonized Commodity Description and Coding System.</w:t>
            </w:r>
          </w:p>
          <w:p w:rsidR="00A0118E" w:rsidRDefault="00A0118E" w:rsidP="00FC7507">
            <w:pPr>
              <w:pStyle w:val="BoxListBullet"/>
              <w:spacing w:before="120"/>
            </w:pPr>
            <w:r>
              <w:t>Specified process test – a good is transformed if it has undergone specified manufacturing or processing operations which confer origin of the country in which they were carried out.</w:t>
            </w:r>
          </w:p>
          <w:p w:rsidR="00A0118E" w:rsidRDefault="00A0118E" w:rsidP="00FC7507">
            <w:pPr>
              <w:pStyle w:val="BoxListBullet"/>
              <w:spacing w:before="120"/>
            </w:pPr>
            <w:r>
              <w:t xml:space="preserve">Regional value content test </w:t>
            </w:r>
            <w:r w:rsidR="008E60AB">
              <w:t>–</w:t>
            </w:r>
            <w:r>
              <w:t xml:space="preserve"> a good is transformed if a threshold percentage value of locally or regionally produced inputs is reached in the exporting country.</w:t>
            </w:r>
          </w:p>
          <w:p w:rsidR="00842E32" w:rsidRDefault="00842E32" w:rsidP="00CC1B23">
            <w:pPr>
              <w:pStyle w:val="Box"/>
            </w:pPr>
            <w:r>
              <w:t>These rules are variously applied individually or in combination with one another. In some agreements</w:t>
            </w:r>
            <w:r w:rsidR="00C465B3">
              <w:t>,</w:t>
            </w:r>
            <w:r>
              <w:t xml:space="preserve"> such as the ASEAN</w:t>
            </w:r>
            <w:r w:rsidR="00C465B3">
              <w:t xml:space="preserve"> – Australia – </w:t>
            </w:r>
            <w:r>
              <w:t xml:space="preserve">New Zealand </w:t>
            </w:r>
            <w:r w:rsidR="00A248A8">
              <w:t>and the Malaysia</w:t>
            </w:r>
            <w:r w:rsidR="00CC1B23">
              <w:t xml:space="preserve"> </w:t>
            </w:r>
            <w:r w:rsidR="00C465B3">
              <w:t>–</w:t>
            </w:r>
            <w:r w:rsidR="00A248A8">
              <w:t xml:space="preserve">Australia </w:t>
            </w:r>
            <w:r>
              <w:t>agreement</w:t>
            </w:r>
            <w:r w:rsidR="00A248A8">
              <w:t>s</w:t>
            </w:r>
            <w:r>
              <w:t xml:space="preserve">, a choice between rules is afforded. </w:t>
            </w:r>
          </w:p>
        </w:tc>
      </w:tr>
      <w:tr w:rsidR="00A0118E" w:rsidTr="00FC7507">
        <w:trPr>
          <w:cantSplit/>
        </w:trPr>
        <w:tc>
          <w:tcPr>
            <w:tcW w:w="8771" w:type="dxa"/>
            <w:tcBorders>
              <w:top w:val="nil"/>
              <w:left w:val="single" w:sz="6" w:space="0" w:color="auto"/>
              <w:bottom w:val="nil"/>
              <w:right w:val="single" w:sz="6" w:space="0" w:color="auto"/>
            </w:tcBorders>
          </w:tcPr>
          <w:p w:rsidR="00A0118E" w:rsidRDefault="00A0118E" w:rsidP="00FC7507">
            <w:pPr>
              <w:pStyle w:val="BoxSource"/>
            </w:pPr>
            <w:r>
              <w:rPr>
                <w:i/>
              </w:rPr>
              <w:t>Source</w:t>
            </w:r>
            <w:r w:rsidRPr="00167F06">
              <w:t xml:space="preserve">: </w:t>
            </w:r>
            <w:r>
              <w:t xml:space="preserve">PC </w:t>
            </w:r>
            <w:r w:rsidR="00BA314F">
              <w:t>(</w:t>
            </w:r>
            <w:r>
              <w:t>2010, p.</w:t>
            </w:r>
            <w:r w:rsidR="00361C34">
              <w:t> </w:t>
            </w:r>
            <w:r>
              <w:t>79, pp.</w:t>
            </w:r>
            <w:r w:rsidR="00361C34">
              <w:t> </w:t>
            </w:r>
            <w:r>
              <w:t>242-243</w:t>
            </w:r>
            <w:r w:rsidR="00BA314F">
              <w:t>)</w:t>
            </w:r>
            <w:r>
              <w:t>.</w:t>
            </w:r>
          </w:p>
        </w:tc>
      </w:tr>
      <w:tr w:rsidR="00A0118E" w:rsidTr="00FC7507">
        <w:trPr>
          <w:cantSplit/>
        </w:trPr>
        <w:tc>
          <w:tcPr>
            <w:tcW w:w="8771" w:type="dxa"/>
            <w:tcBorders>
              <w:top w:val="nil"/>
              <w:left w:val="single" w:sz="6" w:space="0" w:color="auto"/>
              <w:bottom w:val="single" w:sz="6" w:space="0" w:color="auto"/>
              <w:right w:val="single" w:sz="6" w:space="0" w:color="auto"/>
            </w:tcBorders>
          </w:tcPr>
          <w:p w:rsidR="00A0118E" w:rsidRDefault="00A0118E" w:rsidP="00FC7507">
            <w:pPr>
              <w:pStyle w:val="Box"/>
              <w:spacing w:before="0" w:line="120" w:lineRule="exact"/>
            </w:pPr>
          </w:p>
        </w:tc>
      </w:tr>
      <w:tr w:rsidR="00A0118E" w:rsidRPr="000863A5" w:rsidTr="00FC7507">
        <w:tc>
          <w:tcPr>
            <w:tcW w:w="8771" w:type="dxa"/>
            <w:tcBorders>
              <w:top w:val="nil"/>
              <w:left w:val="nil"/>
              <w:bottom w:val="nil"/>
              <w:right w:val="nil"/>
            </w:tcBorders>
          </w:tcPr>
          <w:p w:rsidR="00A0118E" w:rsidRPr="00626D32" w:rsidRDefault="00A0118E" w:rsidP="00FC7507">
            <w:pPr>
              <w:pStyle w:val="BoxSpaceBelow"/>
            </w:pPr>
          </w:p>
        </w:tc>
      </w:tr>
    </w:tbl>
    <w:p w:rsidR="00B67A2D" w:rsidRDefault="00B67A2D" w:rsidP="00B67A2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4A0" w:firstRow="1" w:lastRow="0" w:firstColumn="1" w:lastColumn="0" w:noHBand="0" w:noVBand="1"/>
      </w:tblPr>
      <w:tblGrid>
        <w:gridCol w:w="8771"/>
      </w:tblGrid>
      <w:tr w:rsidR="00B67A2D" w:rsidTr="00FC7507">
        <w:tc>
          <w:tcPr>
            <w:tcW w:w="8771" w:type="dxa"/>
            <w:tcBorders>
              <w:top w:val="single" w:sz="6" w:space="0" w:color="auto"/>
              <w:left w:val="single" w:sz="6" w:space="0" w:color="auto"/>
              <w:bottom w:val="nil"/>
              <w:right w:val="single" w:sz="6" w:space="0" w:color="auto"/>
            </w:tcBorders>
            <w:hideMark/>
          </w:tcPr>
          <w:p w:rsidR="00B67A2D" w:rsidRDefault="00B67A2D" w:rsidP="003A4433">
            <w:pPr>
              <w:pStyle w:val="BoxTitle"/>
            </w:pPr>
            <w:r>
              <w:rPr>
                <w:b w:val="0"/>
              </w:rPr>
              <w:t xml:space="preserve">Box </w:t>
            </w:r>
            <w:r w:rsidR="000B5158">
              <w:rPr>
                <w:b w:val="0"/>
              </w:rPr>
              <w:t>6.</w:t>
            </w:r>
            <w:r w:rsidR="00CE0B5E">
              <w:rPr>
                <w:b w:val="0"/>
                <w:noProof/>
              </w:rPr>
              <w:t>6</w:t>
            </w:r>
            <w:r w:rsidR="008D3C31">
              <w:tab/>
              <w:t xml:space="preserve">Rules of origin for </w:t>
            </w:r>
            <w:r w:rsidR="00EB309B">
              <w:t>C</w:t>
            </w:r>
            <w:r>
              <w:t>urtains (including drapes) and interior blinds; curtain or bed valances (HS item 6303)</w:t>
            </w:r>
          </w:p>
        </w:tc>
      </w:tr>
      <w:tr w:rsidR="00B67A2D" w:rsidTr="00FC7507">
        <w:trPr>
          <w:cantSplit/>
        </w:trPr>
        <w:tc>
          <w:tcPr>
            <w:tcW w:w="8771" w:type="dxa"/>
            <w:tcBorders>
              <w:top w:val="nil"/>
              <w:left w:val="single" w:sz="6" w:space="0" w:color="auto"/>
              <w:bottom w:val="nil"/>
              <w:right w:val="single" w:sz="6" w:space="0" w:color="auto"/>
            </w:tcBorders>
            <w:hideMark/>
          </w:tcPr>
          <w:p w:rsidR="00B67A2D" w:rsidRDefault="00B67A2D" w:rsidP="00FC7507">
            <w:pPr>
              <w:pStyle w:val="Box"/>
            </w:pPr>
            <w:r>
              <w:t xml:space="preserve">In order to qualify for concessional entry, </w:t>
            </w:r>
            <w:r>
              <w:rPr>
                <w:i/>
              </w:rPr>
              <w:t>Curtains (including drapes) and interior blinds; curtain or bed valances</w:t>
            </w:r>
            <w:r>
              <w:t xml:space="preserve"> [HS item 6303] must meet the following criteria:</w:t>
            </w:r>
          </w:p>
          <w:p w:rsidR="00B67A2D" w:rsidRDefault="008F1167" w:rsidP="00C46AEE">
            <w:pPr>
              <w:pStyle w:val="BoxListBullet"/>
              <w:spacing w:before="120"/>
            </w:pPr>
            <w:r w:rsidRPr="00B82D0E">
              <w:rPr>
                <w:i/>
              </w:rPr>
              <w:t>Australia</w:t>
            </w:r>
            <w:r w:rsidRPr="00B82D0E">
              <w:rPr>
                <w:i/>
              </w:rPr>
              <w:noBreakHyphen/>
              <w:t>United States</w:t>
            </w:r>
            <w:r>
              <w:t xml:space="preserve">. </w:t>
            </w:r>
            <w:r w:rsidR="00CA17C0">
              <w:t xml:space="preserve">Change to heading 6303 from any other chapter [except from a range of other </w:t>
            </w:r>
            <w:r w:rsidR="00E36D05">
              <w:t>specified</w:t>
            </w:r>
            <w:r w:rsidR="00D07F83">
              <w:t xml:space="preserve"> </w:t>
            </w:r>
            <w:r w:rsidR="00CA17C0">
              <w:t xml:space="preserve">headings or chapters] provided that the good is both cut (or knit to shape) and sewn or otherwise assembled </w:t>
            </w:r>
            <w:r w:rsidR="00E36D05">
              <w:t>in the US or Australia</w:t>
            </w:r>
            <w:r w:rsidR="00B67A2D">
              <w:t>.</w:t>
            </w:r>
          </w:p>
          <w:p w:rsidR="00B67A2D" w:rsidRDefault="008F1167" w:rsidP="00C46AEE">
            <w:pPr>
              <w:pStyle w:val="BoxListBullet"/>
              <w:spacing w:before="120"/>
            </w:pPr>
            <w:r>
              <w:t>Thailand</w:t>
            </w:r>
            <w:r>
              <w:noBreakHyphen/>
              <w:t xml:space="preserve">Australia. </w:t>
            </w:r>
            <w:r w:rsidR="00B67A2D">
              <w:t>C</w:t>
            </w:r>
            <w:r w:rsidR="00B67A2D" w:rsidRPr="00C1688A">
              <w:t>hange to heading 630</w:t>
            </w:r>
            <w:r w:rsidR="00B67A2D">
              <w:t>3</w:t>
            </w:r>
            <w:r w:rsidR="00B67A2D" w:rsidRPr="00C1688A">
              <w:t xml:space="preserve"> from any other chapter, provided that </w:t>
            </w:r>
            <w:r w:rsidR="00B67A2D">
              <w:t xml:space="preserve">any non-originating material that is fabric is pre-bleached or unbleached, and </w:t>
            </w:r>
            <w:r w:rsidR="00B67A2D" w:rsidRPr="00C1688A">
              <w:t>that</w:t>
            </w:r>
            <w:r w:rsidR="00B67A2D">
              <w:t xml:space="preserve"> there is a regional value content of not less than 55 per cent.</w:t>
            </w:r>
          </w:p>
          <w:p w:rsidR="00B67A2D" w:rsidRDefault="00DA0388" w:rsidP="00C46AEE">
            <w:pPr>
              <w:pStyle w:val="BoxListBullet"/>
              <w:spacing w:before="120"/>
            </w:pPr>
            <w:r>
              <w:rPr>
                <w:rFonts w:cs="Arial"/>
                <w:i/>
              </w:rPr>
              <w:t>Australia</w:t>
            </w:r>
            <w:r w:rsidR="008F1167" w:rsidRPr="00B82D0E">
              <w:rPr>
                <w:rFonts w:cs="Arial"/>
                <w:i/>
              </w:rPr>
              <w:t>–New Zealand</w:t>
            </w:r>
            <w:r w:rsidR="008F1167">
              <w:rPr>
                <w:rFonts w:cs="Arial"/>
              </w:rPr>
              <w:t>.</w:t>
            </w:r>
            <w:r w:rsidR="008F1167">
              <w:t xml:space="preserve"> </w:t>
            </w:r>
            <w:r w:rsidR="00B67A2D">
              <w:t>Change to heading 6303 from any other chapter, provided that where the starting material is fabric, the fabric is raw and fully finished in the territory of the Parties; or No change in tariff classification is required, provided that there is a regional value content of not less than 45 per cent based on the build down method.</w:t>
            </w:r>
          </w:p>
          <w:p w:rsidR="00B67A2D" w:rsidRDefault="008F1167" w:rsidP="00C46AEE">
            <w:pPr>
              <w:pStyle w:val="BoxListBullet"/>
              <w:spacing w:before="120"/>
            </w:pPr>
            <w:r w:rsidRPr="00B82D0E">
              <w:rPr>
                <w:i/>
              </w:rPr>
              <w:t>Australia</w:t>
            </w:r>
            <w:r w:rsidRPr="00B82D0E">
              <w:rPr>
                <w:i/>
              </w:rPr>
              <w:noBreakHyphen/>
              <w:t>Chile</w:t>
            </w:r>
            <w:r>
              <w:t xml:space="preserve">. </w:t>
            </w:r>
            <w:r w:rsidR="000C4341">
              <w:t>C</w:t>
            </w:r>
            <w:r w:rsidR="00B67A2D" w:rsidRPr="00C1688A">
              <w:t>hange to heading 630</w:t>
            </w:r>
            <w:r w:rsidR="00B67A2D">
              <w:t>3 from any other chapter</w:t>
            </w:r>
            <w:r w:rsidR="00B67A2D" w:rsidRPr="00C1688A">
              <w:t xml:space="preserve"> provided that where the starting material is fabric, the fabric </w:t>
            </w:r>
            <w:r w:rsidR="00B67A2D">
              <w:t>is raw and fully finishe</w:t>
            </w:r>
            <w:r w:rsidR="00E41F72">
              <w:t>d in the territory of the p</w:t>
            </w:r>
            <w:r w:rsidR="00B67A2D">
              <w:t>arties.</w:t>
            </w:r>
          </w:p>
          <w:p w:rsidR="00B67A2D" w:rsidRDefault="008F1167" w:rsidP="00C46AEE">
            <w:pPr>
              <w:pStyle w:val="BoxListBullet"/>
              <w:spacing w:before="120"/>
            </w:pPr>
            <w:r w:rsidRPr="00B82D0E">
              <w:rPr>
                <w:i/>
              </w:rPr>
              <w:t>Australia</w:t>
            </w:r>
            <w:r w:rsidRPr="00B82D0E">
              <w:rPr>
                <w:i/>
              </w:rPr>
              <w:noBreakHyphen/>
              <w:t>Malaysia</w:t>
            </w:r>
            <w:r w:rsidR="00EB309B">
              <w:t>.</w:t>
            </w:r>
            <w:r>
              <w:t xml:space="preserve"> </w:t>
            </w:r>
            <w:r w:rsidR="000C4341">
              <w:t>C</w:t>
            </w:r>
            <w:r w:rsidR="00B67A2D" w:rsidRPr="00C1688A">
              <w:t>hange to heading 630</w:t>
            </w:r>
            <w:r w:rsidR="00B67A2D">
              <w:t>3</w:t>
            </w:r>
            <w:r w:rsidR="00B67A2D" w:rsidRPr="00C1688A">
              <w:t xml:space="preserve"> from any other chapter, provided that where the starting material is fabric, the fabric was </w:t>
            </w:r>
            <w:proofErr w:type="spellStart"/>
            <w:r w:rsidR="00B67A2D" w:rsidRPr="00C1688A">
              <w:t>greige</w:t>
            </w:r>
            <w:proofErr w:type="spellEnd"/>
            <w:r w:rsidR="00B67A2D" w:rsidRPr="00C1688A">
              <w:t xml:space="preserve"> fabric that:</w:t>
            </w:r>
            <w:r w:rsidR="00B67A2D">
              <w:t xml:space="preserve"> </w:t>
            </w:r>
            <w:r w:rsidR="00B67A2D" w:rsidRPr="00C1688A">
              <w:t>(a) is dyed or printed; and</w:t>
            </w:r>
            <w:r w:rsidR="00B67A2D">
              <w:t xml:space="preserve"> </w:t>
            </w:r>
            <w:r w:rsidR="00B67A2D" w:rsidRPr="00C1688A">
              <w:t xml:space="preserve">(b) </w:t>
            </w:r>
            <w:r w:rsidR="00AC1A4B">
              <w:t xml:space="preserve">is </w:t>
            </w:r>
            <w:r w:rsidR="00B67A2D" w:rsidRPr="00C1688A">
              <w:t>finished in Australia or Malaysia to render it directly usable</w:t>
            </w:r>
            <w:r w:rsidR="00B67A2D">
              <w:t>.</w:t>
            </w:r>
          </w:p>
          <w:p w:rsidR="00690096" w:rsidRDefault="002C6ECA" w:rsidP="004E3CC1">
            <w:pPr>
              <w:pStyle w:val="Box"/>
            </w:pPr>
            <w:r w:rsidRPr="004E3CC1">
              <w:t>In other agreem</w:t>
            </w:r>
            <w:r w:rsidR="00AC1A4B">
              <w:t>ents, the qualifying criteria are</w:t>
            </w:r>
            <w:r w:rsidRPr="004E3CC1">
              <w:t xml:space="preserve"> </w:t>
            </w:r>
            <w:r w:rsidR="00772CEA">
              <w:t>described</w:t>
            </w:r>
            <w:r w:rsidRPr="004E3CC1">
              <w:t xml:space="preserve"> at the HS 6</w:t>
            </w:r>
            <w:r w:rsidR="00CC1B23">
              <w:t> </w:t>
            </w:r>
            <w:r w:rsidRPr="004E3CC1">
              <w:t>digit level</w:t>
            </w:r>
            <w:r w:rsidR="00772CEA">
              <w:t>.</w:t>
            </w:r>
            <w:r w:rsidR="006A42F0">
              <w:t xml:space="preserve"> For example, in order to qualify for concessional entry, the 6</w:t>
            </w:r>
            <w:r w:rsidR="00CC1B23">
              <w:t> </w:t>
            </w:r>
            <w:r w:rsidR="006A42F0">
              <w:t xml:space="preserve">digit sub-item </w:t>
            </w:r>
            <w:r w:rsidR="006A42F0" w:rsidRPr="00CD0B0E">
              <w:rPr>
                <w:i/>
              </w:rPr>
              <w:t>Curtains (including drapes) and interior blinds; curtain or bed valances – Knitted or crocheted: of synthetic fibres</w:t>
            </w:r>
            <w:r w:rsidR="006A42F0">
              <w:t xml:space="preserve"> [item 6303.12] must meet the following criteria:</w:t>
            </w:r>
          </w:p>
          <w:p w:rsidR="006A42F0" w:rsidRPr="00E478AA" w:rsidRDefault="00690096" w:rsidP="00E478AA">
            <w:pPr>
              <w:pStyle w:val="BoxListBullet"/>
              <w:spacing w:before="120"/>
            </w:pPr>
            <w:r w:rsidRPr="00286855">
              <w:rPr>
                <w:i/>
              </w:rPr>
              <w:t>ASEAN</w:t>
            </w:r>
            <w:r w:rsidRPr="00286855">
              <w:rPr>
                <w:i/>
              </w:rPr>
              <w:noBreakHyphen/>
              <w:t>Australia</w:t>
            </w:r>
            <w:r w:rsidRPr="00286855">
              <w:rPr>
                <w:i/>
              </w:rPr>
              <w:noBreakHyphen/>
              <w:t>New Zealand</w:t>
            </w:r>
            <w:r w:rsidR="00732991">
              <w:rPr>
                <w:i/>
              </w:rPr>
              <w:t>.</w:t>
            </w:r>
            <w:r>
              <w:t xml:space="preserve"> </w:t>
            </w:r>
            <w:r w:rsidR="00D178C7">
              <w:t>CC [Change to subheading from any other chapter]</w:t>
            </w:r>
            <w:r w:rsidR="006A42F0">
              <w:t>, provided that where the starting material is fabric, the fabric is raw or unbleached fabric and fully finished in the territory of one or more of the Parties.</w:t>
            </w:r>
          </w:p>
          <w:p w:rsidR="004C2DDB" w:rsidRDefault="004C2DDB" w:rsidP="00C46AEE">
            <w:pPr>
              <w:pStyle w:val="BoxListBullet"/>
              <w:spacing w:before="120"/>
            </w:pPr>
            <w:r>
              <w:rPr>
                <w:i/>
              </w:rPr>
              <w:t>Korea</w:t>
            </w:r>
            <w:r w:rsidR="002C6ECA" w:rsidRPr="00B82D0E">
              <w:rPr>
                <w:i/>
              </w:rPr>
              <w:noBreakHyphen/>
            </w:r>
            <w:r>
              <w:t xml:space="preserve">Australia. </w:t>
            </w:r>
            <w:r w:rsidR="00D178C7">
              <w:t xml:space="preserve">CC [Change to subheading from any other chapter], </w:t>
            </w:r>
            <w:r w:rsidR="00535419">
              <w:t xml:space="preserve">provided that where the starting material is fabric, the fabric was </w:t>
            </w:r>
            <w:proofErr w:type="spellStart"/>
            <w:r w:rsidR="00535419">
              <w:t>greige</w:t>
            </w:r>
            <w:proofErr w:type="spellEnd"/>
            <w:r w:rsidR="00535419">
              <w:t xml:space="preserve"> fabric is dyed or printed and finished in the territory of one or both of the Parties to render it directly usable.</w:t>
            </w:r>
          </w:p>
          <w:p w:rsidR="00B67A2D" w:rsidRDefault="008F1167" w:rsidP="00583BAE">
            <w:pPr>
              <w:pStyle w:val="Box"/>
            </w:pPr>
            <w:r>
              <w:t xml:space="preserve">Exceptions within groups can also apply such that different rules apply to 6 (or 8) digit items within a group. </w:t>
            </w:r>
            <w:r w:rsidR="007D56ED">
              <w:t xml:space="preserve">For example, </w:t>
            </w:r>
            <w:r w:rsidR="00583BAE">
              <w:t xml:space="preserve">in the </w:t>
            </w:r>
            <w:r w:rsidR="00583BAE" w:rsidRPr="00286855">
              <w:rPr>
                <w:i/>
              </w:rPr>
              <w:t>ASEAN</w:t>
            </w:r>
            <w:r w:rsidR="00583BAE" w:rsidRPr="00286855">
              <w:rPr>
                <w:i/>
              </w:rPr>
              <w:noBreakHyphen/>
              <w:t>Australia</w:t>
            </w:r>
            <w:r w:rsidR="00583BAE" w:rsidRPr="00286855">
              <w:rPr>
                <w:i/>
              </w:rPr>
              <w:noBreakHyphen/>
              <w:t>New Zealand</w:t>
            </w:r>
            <w:r w:rsidR="00583BAE">
              <w:t xml:space="preserve"> agreement, within the group Molybdenum and articles thereof, including waste and scrap [HS item 8102] the following criteria apply to items within the group:</w:t>
            </w:r>
          </w:p>
          <w:p w:rsidR="00583BAE" w:rsidRDefault="009F6BA4" w:rsidP="00175E5B">
            <w:pPr>
              <w:pStyle w:val="Box"/>
              <w:rPr>
                <w:rFonts w:eastAsiaTheme="minorHAnsi" w:cstheme="minorBidi"/>
                <w:szCs w:val="22"/>
                <w:lang w:eastAsia="en-US"/>
              </w:rPr>
            </w:pPr>
            <w:proofErr w:type="spellStart"/>
            <w:r>
              <w:t>RVC</w:t>
            </w:r>
            <w:proofErr w:type="spellEnd"/>
            <w:r>
              <w:t xml:space="preserve">(40) or CC for items 8102.10, </w:t>
            </w:r>
            <w:r w:rsidR="000E2830">
              <w:t>8102.94</w:t>
            </w:r>
            <w:r w:rsidR="00175E5B">
              <w:t xml:space="preserve">; </w:t>
            </w:r>
            <w:proofErr w:type="spellStart"/>
            <w:r w:rsidR="000E2830">
              <w:t>RVC</w:t>
            </w:r>
            <w:proofErr w:type="spellEnd"/>
            <w:r w:rsidR="000E2830">
              <w:t xml:space="preserve">(40) or </w:t>
            </w:r>
            <w:proofErr w:type="spellStart"/>
            <w:r w:rsidR="000E2830">
              <w:t>CTSH</w:t>
            </w:r>
            <w:proofErr w:type="spellEnd"/>
            <w:r w:rsidR="000E2830">
              <w:t xml:space="preserve"> for </w:t>
            </w:r>
            <w:r w:rsidR="00CB203B">
              <w:t xml:space="preserve">items </w:t>
            </w:r>
            <w:r w:rsidR="000E2830">
              <w:t>8102.95</w:t>
            </w:r>
            <w:r>
              <w:t>, 8102.96, 8102.99</w:t>
            </w:r>
            <w:r w:rsidR="00175E5B">
              <w:t xml:space="preserve">; and </w:t>
            </w:r>
            <w:r w:rsidR="000E2830">
              <w:rPr>
                <w:rFonts w:eastAsiaTheme="minorHAnsi" w:cstheme="minorBidi"/>
                <w:szCs w:val="22"/>
                <w:lang w:eastAsia="en-US"/>
              </w:rPr>
              <w:t>Origin shall be conferred to a good of this subheading that is derived from production or consumption in a Party for item 8102.97</w:t>
            </w:r>
            <w:r w:rsidR="00FE1257">
              <w:rPr>
                <w:rFonts w:eastAsiaTheme="minorHAnsi" w:cstheme="minorBidi"/>
                <w:szCs w:val="22"/>
                <w:lang w:eastAsia="en-US"/>
              </w:rPr>
              <w:t>.</w:t>
            </w:r>
          </w:p>
        </w:tc>
      </w:tr>
      <w:tr w:rsidR="00B67A2D" w:rsidTr="00FC7507">
        <w:trPr>
          <w:cantSplit/>
        </w:trPr>
        <w:tc>
          <w:tcPr>
            <w:tcW w:w="8771" w:type="dxa"/>
            <w:tcBorders>
              <w:top w:val="nil"/>
              <w:left w:val="single" w:sz="6" w:space="0" w:color="auto"/>
              <w:bottom w:val="nil"/>
              <w:right w:val="single" w:sz="6" w:space="0" w:color="auto"/>
            </w:tcBorders>
            <w:hideMark/>
          </w:tcPr>
          <w:p w:rsidR="00B67A2D" w:rsidRDefault="00214E8A" w:rsidP="008F68EC">
            <w:pPr>
              <w:pStyle w:val="BoxSource"/>
            </w:pPr>
            <w:r>
              <w:rPr>
                <w:i/>
              </w:rPr>
              <w:t>Source</w:t>
            </w:r>
            <w:r w:rsidR="00B67A2D">
              <w:rPr>
                <w:i/>
              </w:rPr>
              <w:t>:</w:t>
            </w:r>
            <w:r w:rsidR="00B67A2D">
              <w:t xml:space="preserve"> </w:t>
            </w:r>
            <w:r w:rsidR="008F68EC">
              <w:t>Au</w:t>
            </w:r>
            <w:r w:rsidR="0070614C">
              <w:t>stralian Custom</w:t>
            </w:r>
            <w:r w:rsidR="008F68EC">
              <w:t xml:space="preserve">s </w:t>
            </w:r>
            <w:r w:rsidR="008A1CE6">
              <w:t xml:space="preserve">and Border Protection </w:t>
            </w:r>
            <w:r w:rsidR="008F68EC">
              <w:t xml:space="preserve">Service </w:t>
            </w:r>
            <w:r w:rsidR="00716AC8">
              <w:t>(</w:t>
            </w:r>
            <w:r w:rsidR="008F68EC">
              <w:t>2014</w:t>
            </w:r>
            <w:r w:rsidR="00716AC8">
              <w:t>)</w:t>
            </w:r>
            <w:r w:rsidR="008F68EC">
              <w:t>.</w:t>
            </w:r>
          </w:p>
        </w:tc>
      </w:tr>
      <w:tr w:rsidR="00B67A2D" w:rsidTr="00FC7507">
        <w:trPr>
          <w:cantSplit/>
        </w:trPr>
        <w:tc>
          <w:tcPr>
            <w:tcW w:w="8771" w:type="dxa"/>
            <w:tcBorders>
              <w:top w:val="nil"/>
              <w:left w:val="single" w:sz="6" w:space="0" w:color="auto"/>
              <w:bottom w:val="single" w:sz="6" w:space="0" w:color="auto"/>
              <w:right w:val="single" w:sz="6" w:space="0" w:color="auto"/>
            </w:tcBorders>
          </w:tcPr>
          <w:p w:rsidR="00B67A2D" w:rsidRDefault="00B67A2D" w:rsidP="00FC7507">
            <w:pPr>
              <w:pStyle w:val="Box"/>
              <w:spacing w:before="0" w:line="120" w:lineRule="exact"/>
            </w:pPr>
          </w:p>
        </w:tc>
      </w:tr>
      <w:tr w:rsidR="00214E8A" w:rsidRPr="00214E8A" w:rsidTr="00FC7507">
        <w:tc>
          <w:tcPr>
            <w:tcW w:w="8771" w:type="dxa"/>
            <w:tcBorders>
              <w:top w:val="nil"/>
              <w:left w:val="nil"/>
              <w:bottom w:val="nil"/>
              <w:right w:val="nil"/>
            </w:tcBorders>
          </w:tcPr>
          <w:p w:rsidR="00B67A2D" w:rsidRPr="00214E8A" w:rsidRDefault="00B67A2D" w:rsidP="00FC7507">
            <w:pPr>
              <w:pStyle w:val="Box"/>
              <w:keepNext w:val="0"/>
              <w:spacing w:before="60" w:after="60" w:line="80" w:lineRule="exact"/>
              <w:rPr>
                <w:b/>
                <w:sz w:val="14"/>
              </w:rPr>
            </w:pPr>
          </w:p>
        </w:tc>
      </w:tr>
    </w:tbl>
    <w:p w:rsidR="001F6B66" w:rsidRDefault="001F6B66" w:rsidP="001F6B66">
      <w:pPr>
        <w:pStyle w:val="BodyText"/>
      </w:pPr>
      <w:r>
        <w:lastRenderedPageBreak/>
        <w:t xml:space="preserve">Comparing a selection of Australia’s bilateral agreements demonstrates the diversity of approaches for conferring origin that businesses must consider when sourcing inputs to attain preferential access for their products (figure 6.1). </w:t>
      </w:r>
      <w:r w:rsidRPr="00FC6A9E">
        <w:t xml:space="preserve">The most frequent rules </w:t>
      </w:r>
      <w:r>
        <w:t xml:space="preserve">for determining </w:t>
      </w:r>
      <w:r w:rsidRPr="00FC6A9E">
        <w:t>origin are now based on a Change in Tariff Classification (CTC) (figure</w:t>
      </w:r>
      <w:r>
        <w:t> 6</w:t>
      </w:r>
      <w:r w:rsidRPr="00FC6A9E">
        <w:t xml:space="preserve">.1, left hand panel) test but there is considerable variability in how such rules are combined with other rules and how they are applied. For example, CTC-only tests represent just 11 per cent of origin rules </w:t>
      </w:r>
      <w:r>
        <w:t xml:space="preserve">as specified </w:t>
      </w:r>
      <w:r w:rsidRPr="00FC6A9E">
        <w:t xml:space="preserve">in the ASEAN and Malaysian agreements with a further </w:t>
      </w:r>
      <w:r>
        <w:t>72</w:t>
      </w:r>
      <w:r w:rsidRPr="00FC6A9E">
        <w:t xml:space="preserve"> and </w:t>
      </w:r>
      <w:r>
        <w:t>8</w:t>
      </w:r>
      <w:r w:rsidRPr="00FC6A9E">
        <w:t xml:space="preserve">7 per cent </w:t>
      </w:r>
      <w:r>
        <w:t>respectively</w:t>
      </w:r>
      <w:r w:rsidRPr="00FC6A9E">
        <w:t xml:space="preserve"> being CTC or </w:t>
      </w:r>
      <w:proofErr w:type="spellStart"/>
      <w:r w:rsidRPr="00FC6A9E">
        <w:t>RVC</w:t>
      </w:r>
      <w:proofErr w:type="spellEnd"/>
      <w:r w:rsidRPr="00FC6A9E">
        <w:t xml:space="preserve"> rules. In the US and </w:t>
      </w:r>
      <w:r>
        <w:t>Korea</w:t>
      </w:r>
      <w:r w:rsidRPr="00FC6A9E">
        <w:t xml:space="preserve"> agreements, 78 per cent and </w:t>
      </w:r>
      <w:r>
        <w:t>59</w:t>
      </w:r>
      <w:r w:rsidRPr="00FC6A9E">
        <w:t xml:space="preserve"> per cent </w:t>
      </w:r>
      <w:r>
        <w:t xml:space="preserve">of the rules as specified </w:t>
      </w:r>
      <w:r w:rsidRPr="00FC6A9E">
        <w:t>are CT</w:t>
      </w:r>
      <w:r>
        <w:t>C-</w:t>
      </w:r>
      <w:r w:rsidRPr="00FC6A9E">
        <w:t>only rules. The choice of origin rule in the ASEAN and Malaysia agreements</w:t>
      </w:r>
      <w:r w:rsidR="006E5DD6">
        <w:t>,</w:t>
      </w:r>
      <w:r w:rsidRPr="00FC6A9E">
        <w:t xml:space="preserve"> while adding complexity, also provides flexibility </w:t>
      </w:r>
      <w:r>
        <w:t>that</w:t>
      </w:r>
      <w:r w:rsidRPr="00FC6A9E">
        <w:t xml:space="preserve"> has not been </w:t>
      </w:r>
      <w:r>
        <w:t>afforded</w:t>
      </w:r>
      <w:r w:rsidRPr="00FC6A9E">
        <w:t xml:space="preserve"> widely in other agreements.</w:t>
      </w:r>
      <w:r>
        <w:rPr>
          <w:rStyle w:val="FootnoteReference"/>
        </w:rPr>
        <w:footnoteReference w:id="4"/>
      </w:r>
    </w:p>
    <w:p w:rsidR="001F6B66" w:rsidRDefault="001F6B66" w:rsidP="001F6B66">
      <w:pPr>
        <w:pStyle w:val="BodyText"/>
      </w:pPr>
      <w:r w:rsidRPr="00FC6A9E">
        <w:t xml:space="preserve">Adding to the complexity, agreements often, but not always, specify rules of origin </w:t>
      </w:r>
      <w:r w:rsidR="006E5DD6">
        <w:t>that</w:t>
      </w:r>
      <w:r w:rsidRPr="00FC6A9E">
        <w:t xml:space="preserve"> require application of more than one rule (for example, a combination of a CTC rule and a Regional Value Content rule) or a CTC rule with an exception, which narrows the scope of the CTC rule by carving out specific products.</w:t>
      </w:r>
    </w:p>
    <w:p w:rsidR="001F6B66" w:rsidRDefault="001F6B66" w:rsidP="001F6B66">
      <w:pPr>
        <w:pStyle w:val="BodyText"/>
      </w:pPr>
      <w:r w:rsidRPr="00FC6A9E">
        <w:t xml:space="preserve">Although the CTC method is </w:t>
      </w:r>
      <w:r w:rsidR="006E5DD6">
        <w:t xml:space="preserve">the </w:t>
      </w:r>
      <w:r w:rsidRPr="00FC6A9E">
        <w:t>most common</w:t>
      </w:r>
      <w:r w:rsidR="006E5DD6">
        <w:t xml:space="preserve"> approach</w:t>
      </w:r>
      <w:r w:rsidRPr="00FC6A9E">
        <w:t xml:space="preserve">, there is </w:t>
      </w:r>
      <w:r>
        <w:t xml:space="preserve">also </w:t>
      </w:r>
      <w:r w:rsidRPr="00FC6A9E">
        <w:t>considerable variation in how the rules are actually applied between agreements. For example, more than 50 per cent of the CTC origin rules in the New Zealand, Thailand</w:t>
      </w:r>
      <w:r>
        <w:t>,</w:t>
      </w:r>
      <w:r w:rsidRPr="00FC6A9E">
        <w:t xml:space="preserve"> Chile</w:t>
      </w:r>
      <w:r>
        <w:t xml:space="preserve"> and</w:t>
      </w:r>
      <w:r w:rsidRPr="00FC6A9E">
        <w:t xml:space="preserve"> Malaysian agreements </w:t>
      </w:r>
      <w:r>
        <w:t>require change from a</w:t>
      </w:r>
      <w:r w:rsidRPr="00FC6A9E">
        <w:t xml:space="preserve"> detailed HS 6 digit </w:t>
      </w:r>
      <w:r w:rsidR="00C72569">
        <w:t>sub</w:t>
      </w:r>
      <w:r>
        <w:t xml:space="preserve">heading item </w:t>
      </w:r>
      <w:r w:rsidRPr="00FC6A9E">
        <w:t>level</w:t>
      </w:r>
      <w:r>
        <w:t xml:space="preserve"> (to </w:t>
      </w:r>
      <w:r w:rsidR="00C72569">
        <w:t>another chapter, heading or sub</w:t>
      </w:r>
      <w:r>
        <w:t xml:space="preserve">heading item), </w:t>
      </w:r>
      <w:r w:rsidRPr="00FC6A9E">
        <w:t>compared to just 24 per cent in the Korean agreement (figure</w:t>
      </w:r>
      <w:r>
        <w:t> 6</w:t>
      </w:r>
      <w:r w:rsidRPr="00FC6A9E">
        <w:t xml:space="preserve">.1, right hand panel). </w:t>
      </w:r>
    </w:p>
    <w:p w:rsidR="00F43A10" w:rsidRDefault="00F43A10" w:rsidP="00F43A10">
      <w:pPr>
        <w:pStyle w:val="FigureTitle"/>
      </w:pPr>
      <w:r>
        <w:rPr>
          <w:b w:val="0"/>
        </w:rPr>
        <w:lastRenderedPageBreak/>
        <w:t xml:space="preserve">Figure </w:t>
      </w:r>
      <w:r w:rsidR="000B5158">
        <w:rPr>
          <w:b w:val="0"/>
        </w:rPr>
        <w:t>6.</w:t>
      </w:r>
      <w:r w:rsidR="00CE0B5E">
        <w:rPr>
          <w:b w:val="0"/>
          <w:noProof/>
        </w:rPr>
        <w:t>1</w:t>
      </w:r>
      <w:r>
        <w:rPr>
          <w:b w:val="0"/>
        </w:rPr>
        <w:tab/>
      </w:r>
      <w:r>
        <w:t xml:space="preserve">Summary of methods used to determine origin in recent preferential trade agreements </w:t>
      </w:r>
      <w:r w:rsidR="00270207">
        <w:t>with</w:t>
      </w:r>
      <w:r>
        <w:t xml:space="preserve"> Australia</w:t>
      </w:r>
      <w:proofErr w:type="spellStart"/>
      <w:r w:rsidRPr="003C472B">
        <w:rPr>
          <w:rStyle w:val="NoteLabel"/>
        </w:rPr>
        <w:t>a</w:t>
      </w:r>
      <w:r w:rsidRPr="001E04DA">
        <w:rPr>
          <w:rStyle w:val="NoteLabel"/>
        </w:rPr>
        <w:t>,</w:t>
      </w:r>
      <w:r>
        <w:rPr>
          <w:rStyle w:val="NoteLabel"/>
        </w:rPr>
        <w:t>b</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F43A10" w:rsidTr="003B3B5C">
        <w:tc>
          <w:tcPr>
            <w:tcW w:w="4388" w:type="dxa"/>
          </w:tcPr>
          <w:p w:rsidR="00F43A10" w:rsidRDefault="00F43A10" w:rsidP="00F43A10">
            <w:pPr>
              <w:pStyle w:val="TableColumnHeading"/>
              <w:jc w:val="center"/>
              <w:rPr>
                <w:rStyle w:val="NoteLabel"/>
              </w:rPr>
            </w:pPr>
            <w:r>
              <w:t>Rule for determining origin</w:t>
            </w:r>
          </w:p>
          <w:p w:rsidR="00F43A10" w:rsidRDefault="00F43A10" w:rsidP="00F43A10">
            <w:pPr>
              <w:pStyle w:val="TableColumnHeading"/>
              <w:jc w:val="center"/>
              <w:rPr>
                <w:rStyle w:val="NoteLabel"/>
              </w:rPr>
            </w:pPr>
            <w:r w:rsidRPr="001E04DA">
              <w:rPr>
                <w:i w:val="0"/>
              </w:rPr>
              <w:t xml:space="preserve">Per cent </w:t>
            </w:r>
            <w:r>
              <w:rPr>
                <w:i w:val="0"/>
              </w:rPr>
              <w:t xml:space="preserve">of </w:t>
            </w:r>
            <w:r w:rsidR="003065DD">
              <w:rPr>
                <w:i w:val="0"/>
              </w:rPr>
              <w:t xml:space="preserve">specified </w:t>
            </w:r>
            <w:r>
              <w:rPr>
                <w:i w:val="0"/>
              </w:rPr>
              <w:t>rules</w:t>
            </w:r>
            <w:r w:rsidRPr="0091321C">
              <w:rPr>
                <w:rStyle w:val="NoteLabel"/>
              </w:rPr>
              <w:t>c</w:t>
            </w:r>
          </w:p>
          <w:p w:rsidR="00915D94" w:rsidRPr="00CA6AAF" w:rsidRDefault="003B3B5C" w:rsidP="00F43A10">
            <w:pPr>
              <w:pStyle w:val="TableColumnHeading"/>
              <w:jc w:val="center"/>
              <w:rPr>
                <w:b/>
                <w:position w:val="6"/>
                <w:sz w:val="18"/>
              </w:rPr>
            </w:pPr>
            <w:r>
              <w:rPr>
                <w:noProof/>
              </w:rPr>
              <w:drawing>
                <wp:inline distT="0" distB="0" distL="0" distR="0" wp14:anchorId="14AECA64" wp14:editId="109710C2">
                  <wp:extent cx="2628901" cy="2900364"/>
                  <wp:effectExtent l="0" t="0" r="0" b="0"/>
                  <wp:docPr id="1" name="Chart 1" descr="Figure 6.1. Summary of methods used to determine origin in recent preferential trade agreements with Australia. This figure is described in the footnotes to the figure an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389" w:type="dxa"/>
          </w:tcPr>
          <w:p w:rsidR="00F43A10" w:rsidRDefault="00F43A10" w:rsidP="00F43A10">
            <w:pPr>
              <w:pStyle w:val="TableColumnHeading"/>
              <w:jc w:val="center"/>
              <w:rPr>
                <w:rStyle w:val="NoteLabel"/>
              </w:rPr>
            </w:pPr>
            <w:r>
              <w:t>Application of CTC method</w:t>
            </w:r>
            <w:r w:rsidDel="00A86D40">
              <w:t xml:space="preserve"> </w:t>
            </w:r>
            <w:r>
              <w:rPr>
                <w:rStyle w:val="NoteLabel"/>
              </w:rPr>
              <w:t>d</w:t>
            </w:r>
          </w:p>
          <w:p w:rsidR="00F43A10" w:rsidRDefault="00F43A10" w:rsidP="00F43A10">
            <w:pPr>
              <w:pStyle w:val="TableColumnHeading"/>
              <w:jc w:val="center"/>
              <w:rPr>
                <w:rStyle w:val="NoteLabel"/>
              </w:rPr>
            </w:pPr>
            <w:r w:rsidRPr="001E04DA">
              <w:rPr>
                <w:i w:val="0"/>
              </w:rPr>
              <w:t xml:space="preserve">Per cent of </w:t>
            </w:r>
            <w:r>
              <w:rPr>
                <w:i w:val="0"/>
              </w:rPr>
              <w:t>CTC</w:t>
            </w:r>
            <w:r w:rsidR="003065DD">
              <w:rPr>
                <w:i w:val="0"/>
              </w:rPr>
              <w:t>-specified</w:t>
            </w:r>
            <w:r>
              <w:rPr>
                <w:i w:val="0"/>
              </w:rPr>
              <w:t xml:space="preserve"> rules</w:t>
            </w:r>
            <w:r w:rsidRPr="0091321C">
              <w:rPr>
                <w:rStyle w:val="NoteLabel"/>
              </w:rPr>
              <w:t>c</w:t>
            </w:r>
          </w:p>
          <w:p w:rsidR="00915D94" w:rsidRPr="00CA6AAF" w:rsidRDefault="003B3B5C" w:rsidP="00F43A10">
            <w:pPr>
              <w:pStyle w:val="TableColumnHeading"/>
              <w:jc w:val="center"/>
              <w:rPr>
                <w:b/>
                <w:position w:val="6"/>
                <w:sz w:val="18"/>
              </w:rPr>
            </w:pPr>
            <w:r>
              <w:rPr>
                <w:noProof/>
              </w:rPr>
              <w:drawing>
                <wp:inline distT="0" distB="0" distL="0" distR="0" wp14:anchorId="0E6A9F52" wp14:editId="2B6ED326">
                  <wp:extent cx="2638427" cy="2924176"/>
                  <wp:effectExtent l="0" t="0" r="0" b="0"/>
                  <wp:docPr id="2" name="Chart 2" descr="Figure 6.1. Summary of methods used to determine origin in recent preferential trade agreements with Australia. This figure is described in the footnotes to the figure an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F43A10" w:rsidRPr="00944610" w:rsidRDefault="00FD6B18" w:rsidP="00F43A10">
      <w:pPr>
        <w:pStyle w:val="Source"/>
        <w:rPr>
          <w:rStyle w:val="NoteChar"/>
        </w:rPr>
      </w:pPr>
      <w:r>
        <w:rPr>
          <w:rStyle w:val="NoteLabel"/>
        </w:rPr>
        <w:t>a</w:t>
      </w:r>
      <w:r>
        <w:t> </w:t>
      </w:r>
      <w:r w:rsidR="00F43A10">
        <w:t>‘</w:t>
      </w:r>
      <w:r w:rsidR="00F43A10" w:rsidRPr="00444D16">
        <w:rPr>
          <w:rStyle w:val="NoteChar"/>
        </w:rPr>
        <w:t>CTC</w:t>
      </w:r>
      <w:r w:rsidR="00F43A10">
        <w:rPr>
          <w:rStyle w:val="NoteChar"/>
        </w:rPr>
        <w:t>’</w:t>
      </w:r>
      <w:r w:rsidR="00F43A10" w:rsidRPr="00444D16">
        <w:rPr>
          <w:rStyle w:val="NoteChar"/>
        </w:rPr>
        <w:t xml:space="preserve"> refers to a change in tariff classification test. </w:t>
      </w:r>
      <w:r w:rsidR="00F43A10">
        <w:rPr>
          <w:rStyle w:val="NoteChar"/>
        </w:rPr>
        <w:t>‘</w:t>
      </w:r>
      <w:proofErr w:type="spellStart"/>
      <w:r w:rsidR="00F43A10" w:rsidRPr="00444D16">
        <w:rPr>
          <w:rStyle w:val="NoteChar"/>
        </w:rPr>
        <w:t>RVC</w:t>
      </w:r>
      <w:proofErr w:type="spellEnd"/>
      <w:r w:rsidR="00F43A10">
        <w:rPr>
          <w:rStyle w:val="NoteChar"/>
        </w:rPr>
        <w:t>’</w:t>
      </w:r>
      <w:r w:rsidR="00F43A10" w:rsidRPr="00444D16">
        <w:rPr>
          <w:rStyle w:val="NoteChar"/>
        </w:rPr>
        <w:t xml:space="preserve"> refers to a regional value content rule.</w:t>
      </w:r>
      <w:r w:rsidR="00F43A10">
        <w:rPr>
          <w:rStyle w:val="NoteChar"/>
        </w:rPr>
        <w:t xml:space="preserve"> ‘Other’ includes, for example, combined CTC and </w:t>
      </w:r>
      <w:proofErr w:type="spellStart"/>
      <w:r w:rsidR="00F43A10">
        <w:rPr>
          <w:rStyle w:val="NoteChar"/>
        </w:rPr>
        <w:t>RVC</w:t>
      </w:r>
      <w:proofErr w:type="spellEnd"/>
      <w:r w:rsidR="00F43A10">
        <w:rPr>
          <w:rStyle w:val="NoteChar"/>
        </w:rPr>
        <w:t xml:space="preserve"> rules</w:t>
      </w:r>
      <w:r w:rsidR="009418A2">
        <w:rPr>
          <w:rStyle w:val="NoteChar"/>
        </w:rPr>
        <w:t xml:space="preserve">, CTC rules with </w:t>
      </w:r>
      <w:r>
        <w:rPr>
          <w:rStyle w:val="NoteChar"/>
        </w:rPr>
        <w:t>exceptions</w:t>
      </w:r>
      <w:r w:rsidR="00F43A10">
        <w:rPr>
          <w:rStyle w:val="NoteChar"/>
        </w:rPr>
        <w:t xml:space="preserve"> and specified process tests that require particular production methods to be used to qualify for preferential entry. </w:t>
      </w:r>
      <w:r w:rsidR="00F43A10" w:rsidRPr="000B44B7">
        <w:rPr>
          <w:rStyle w:val="NoteLabel"/>
        </w:rPr>
        <w:t>b</w:t>
      </w:r>
      <w:r w:rsidR="00F43A10">
        <w:rPr>
          <w:rStyle w:val="NoteLabel"/>
        </w:rPr>
        <w:t> </w:t>
      </w:r>
      <w:r w:rsidR="00F43A10">
        <w:rPr>
          <w:rStyle w:val="NoteChar"/>
        </w:rPr>
        <w:t xml:space="preserve">The agreement with Singapore is not included as it applies a single </w:t>
      </w:r>
      <w:r w:rsidR="00A5027C">
        <w:rPr>
          <w:rStyle w:val="NoteChar"/>
        </w:rPr>
        <w:t>three</w:t>
      </w:r>
      <w:r w:rsidR="00F43A10">
        <w:rPr>
          <w:rStyle w:val="NoteChar"/>
        </w:rPr>
        <w:t xml:space="preserve">-tiered test of origin based on </w:t>
      </w:r>
      <w:r w:rsidR="00DE60FB">
        <w:rPr>
          <w:rStyle w:val="NoteChar"/>
        </w:rPr>
        <w:t>location of production and</w:t>
      </w:r>
      <w:r w:rsidR="00A5027C">
        <w:rPr>
          <w:rStyle w:val="NoteChar"/>
        </w:rPr>
        <w:t>,</w:t>
      </w:r>
      <w:r w:rsidR="00DE60FB">
        <w:rPr>
          <w:rStyle w:val="NoteChar"/>
        </w:rPr>
        <w:t xml:space="preserve"> for manufactured goods</w:t>
      </w:r>
      <w:r w:rsidR="00A5027C">
        <w:rPr>
          <w:rStyle w:val="NoteChar"/>
        </w:rPr>
        <w:t>,</w:t>
      </w:r>
      <w:r w:rsidR="00DE60FB">
        <w:rPr>
          <w:rStyle w:val="NoteChar"/>
        </w:rPr>
        <w:t xml:space="preserve"> an </w:t>
      </w:r>
      <w:proofErr w:type="spellStart"/>
      <w:r w:rsidR="00F43A10">
        <w:rPr>
          <w:rStyle w:val="NoteChar"/>
        </w:rPr>
        <w:t>RVC</w:t>
      </w:r>
      <w:proofErr w:type="spellEnd"/>
      <w:r w:rsidR="00F43A10">
        <w:rPr>
          <w:rStyle w:val="NoteChar"/>
        </w:rPr>
        <w:t xml:space="preserve"> </w:t>
      </w:r>
      <w:r w:rsidR="00DE60FB">
        <w:rPr>
          <w:rStyle w:val="NoteChar"/>
        </w:rPr>
        <w:t>requirement</w:t>
      </w:r>
      <w:r w:rsidR="00F43A10">
        <w:rPr>
          <w:rStyle w:val="NoteChar"/>
        </w:rPr>
        <w:t xml:space="preserve">. </w:t>
      </w:r>
      <w:r w:rsidR="00F43A10" w:rsidRPr="0091321C">
        <w:rPr>
          <w:rStyle w:val="NoteLabel"/>
        </w:rPr>
        <w:t>c</w:t>
      </w:r>
      <w:r w:rsidR="005832A2">
        <w:rPr>
          <w:rStyle w:val="NoteChar"/>
        </w:rPr>
        <w:t> I</w:t>
      </w:r>
      <w:r w:rsidR="00F43A10">
        <w:rPr>
          <w:rStyle w:val="NoteChar"/>
        </w:rPr>
        <w:t>ndividual rules can be expressed at the 4 digit heading level</w:t>
      </w:r>
      <w:r w:rsidR="00E864B0">
        <w:rPr>
          <w:rStyle w:val="NoteChar"/>
        </w:rPr>
        <w:t>,</w:t>
      </w:r>
      <w:r w:rsidR="00C72569">
        <w:rPr>
          <w:rStyle w:val="NoteChar"/>
        </w:rPr>
        <w:t xml:space="preserve"> the 6 digit sub</w:t>
      </w:r>
      <w:r w:rsidR="00F43A10">
        <w:rPr>
          <w:rStyle w:val="NoteChar"/>
        </w:rPr>
        <w:t>heading level</w:t>
      </w:r>
      <w:r w:rsidR="00E864B0">
        <w:rPr>
          <w:rStyle w:val="NoteChar"/>
        </w:rPr>
        <w:t xml:space="preserve"> or for groupings of tariff line items</w:t>
      </w:r>
      <w:r w:rsidR="00F43A10">
        <w:rPr>
          <w:rStyle w:val="NoteChar"/>
        </w:rPr>
        <w:t xml:space="preserve">. The number of </w:t>
      </w:r>
      <w:r>
        <w:rPr>
          <w:rStyle w:val="NoteChar"/>
        </w:rPr>
        <w:t xml:space="preserve">listed </w:t>
      </w:r>
      <w:r w:rsidR="00F43A10">
        <w:rPr>
          <w:rStyle w:val="NoteChar"/>
        </w:rPr>
        <w:t xml:space="preserve">rules </w:t>
      </w:r>
      <w:r>
        <w:rPr>
          <w:rStyle w:val="NoteChar"/>
        </w:rPr>
        <w:t>therefore differs between agreements</w:t>
      </w:r>
      <w:r w:rsidR="00F43A10">
        <w:rPr>
          <w:rStyle w:val="NoteChar"/>
        </w:rPr>
        <w:t xml:space="preserve">. </w:t>
      </w:r>
      <w:r w:rsidR="00F43A10">
        <w:rPr>
          <w:rStyle w:val="NoteLabel"/>
        </w:rPr>
        <w:t>d </w:t>
      </w:r>
      <w:r w:rsidR="00F43A10" w:rsidRPr="00B82D0E">
        <w:rPr>
          <w:rStyle w:val="NoteChar"/>
        </w:rPr>
        <w:t xml:space="preserve">When the </w:t>
      </w:r>
      <w:r w:rsidR="00F43A10">
        <w:rPr>
          <w:rStyle w:val="NoteChar"/>
        </w:rPr>
        <w:t xml:space="preserve">Australia-New Zealand Closer Economic Relations </w:t>
      </w:r>
      <w:r w:rsidR="00F43A10" w:rsidRPr="00B82D0E">
        <w:rPr>
          <w:rStyle w:val="NoteChar"/>
        </w:rPr>
        <w:t xml:space="preserve">agreement </w:t>
      </w:r>
      <w:r w:rsidR="00F43A10">
        <w:rPr>
          <w:rStyle w:val="NoteChar"/>
        </w:rPr>
        <w:t xml:space="preserve">entered into force </w:t>
      </w:r>
      <w:r w:rsidR="00F43A10" w:rsidRPr="00B82D0E">
        <w:rPr>
          <w:rStyle w:val="NoteChar"/>
        </w:rPr>
        <w:t xml:space="preserve">in 1983, </w:t>
      </w:r>
      <w:r w:rsidR="00F43A10">
        <w:rPr>
          <w:rStyle w:val="NoteChar"/>
        </w:rPr>
        <w:t xml:space="preserve">an </w:t>
      </w:r>
      <w:proofErr w:type="spellStart"/>
      <w:r w:rsidR="00F43A10" w:rsidRPr="00B82D0E">
        <w:rPr>
          <w:rStyle w:val="NoteChar"/>
        </w:rPr>
        <w:t>RVC</w:t>
      </w:r>
      <w:proofErr w:type="spellEnd"/>
      <w:r w:rsidR="00F43A10" w:rsidRPr="00B82D0E">
        <w:rPr>
          <w:rStyle w:val="NoteChar"/>
        </w:rPr>
        <w:t xml:space="preserve"> rule with </w:t>
      </w:r>
      <w:r w:rsidR="00F43A10">
        <w:rPr>
          <w:rStyle w:val="NoteChar"/>
        </w:rPr>
        <w:t xml:space="preserve">a simple </w:t>
      </w:r>
      <w:r w:rsidR="00F43A10" w:rsidRPr="00B82D0E">
        <w:rPr>
          <w:rStyle w:val="NoteChar"/>
        </w:rPr>
        <w:t xml:space="preserve">technical </w:t>
      </w:r>
      <w:r w:rsidR="00F43A10">
        <w:rPr>
          <w:rStyle w:val="NoteChar"/>
        </w:rPr>
        <w:t xml:space="preserve">test </w:t>
      </w:r>
      <w:r w:rsidR="00F43A10" w:rsidRPr="00B82D0E">
        <w:rPr>
          <w:rStyle w:val="NoteChar"/>
        </w:rPr>
        <w:t>w</w:t>
      </w:r>
      <w:r w:rsidR="00F43A10">
        <w:rPr>
          <w:rStyle w:val="NoteChar"/>
        </w:rPr>
        <w:t>as</w:t>
      </w:r>
      <w:r w:rsidR="00F43A10" w:rsidRPr="00B82D0E">
        <w:rPr>
          <w:rStyle w:val="NoteChar"/>
        </w:rPr>
        <w:t xml:space="preserve"> the main rule applied. The revised rules </w:t>
      </w:r>
      <w:r w:rsidR="00F43A10">
        <w:rPr>
          <w:rStyle w:val="NoteChar"/>
        </w:rPr>
        <w:t xml:space="preserve">reported replaced that rule and </w:t>
      </w:r>
      <w:r w:rsidR="00F43A10" w:rsidRPr="00B82D0E">
        <w:rPr>
          <w:rStyle w:val="NoteChar"/>
        </w:rPr>
        <w:t xml:space="preserve">have been in force since </w:t>
      </w:r>
      <w:r w:rsidR="00F43A10">
        <w:rPr>
          <w:rStyle w:val="NoteChar"/>
        </w:rPr>
        <w:t>1 </w:t>
      </w:r>
      <w:r w:rsidR="00E544FE">
        <w:rPr>
          <w:rStyle w:val="NoteChar"/>
        </w:rPr>
        <w:t>January </w:t>
      </w:r>
      <w:r w:rsidR="00F43A10">
        <w:rPr>
          <w:rStyle w:val="NoteChar"/>
        </w:rPr>
        <w:t>2007</w:t>
      </w:r>
      <w:r w:rsidR="00F43A10" w:rsidRPr="00944610">
        <w:rPr>
          <w:rStyle w:val="NoteChar"/>
        </w:rPr>
        <w:t>.</w:t>
      </w:r>
      <w:r w:rsidR="00F43A10">
        <w:rPr>
          <w:rStyle w:val="NoteChar"/>
        </w:rPr>
        <w:t xml:space="preserve"> </w:t>
      </w:r>
    </w:p>
    <w:p w:rsidR="00F43A10" w:rsidRDefault="00F43A10" w:rsidP="00F43A10">
      <w:pPr>
        <w:pStyle w:val="Source"/>
      </w:pPr>
      <w:r w:rsidRPr="004C5E18">
        <w:rPr>
          <w:i/>
        </w:rPr>
        <w:t>Source</w:t>
      </w:r>
      <w:r>
        <w:t xml:space="preserve">: </w:t>
      </w:r>
      <w:r w:rsidR="007D51BA">
        <w:t>Commission</w:t>
      </w:r>
      <w:r>
        <w:t xml:space="preserve"> estimates.</w:t>
      </w:r>
    </w:p>
    <w:p w:rsidR="004B5EF3" w:rsidRDefault="004B5EF3" w:rsidP="004B5EF3">
      <w:pPr>
        <w:pStyle w:val="BodyText"/>
      </w:pPr>
      <w:r w:rsidRPr="00055052">
        <w:t xml:space="preserve">The range </w:t>
      </w:r>
      <w:r w:rsidR="001D44C4">
        <w:t xml:space="preserve">and variable application </w:t>
      </w:r>
      <w:r w:rsidRPr="00055052">
        <w:t>of rules adds to the compliance costs for firms engaging in trade</w:t>
      </w:r>
      <w:r w:rsidRPr="00DA6A60">
        <w:rPr>
          <w:rStyle w:val="BodyTextChar"/>
        </w:rPr>
        <w:t>.</w:t>
      </w:r>
      <w:r w:rsidR="00CB2D28">
        <w:rPr>
          <w:rStyle w:val="FootnoteReference"/>
        </w:rPr>
        <w:footnoteReference w:id="5"/>
      </w:r>
      <w:r w:rsidRPr="00DA6A60">
        <w:rPr>
          <w:rStyle w:val="BodyTextChar"/>
        </w:rPr>
        <w:t xml:space="preserve"> </w:t>
      </w:r>
      <w:r w:rsidR="00F7106D" w:rsidRPr="00DA6A60">
        <w:rPr>
          <w:rStyle w:val="BodyTextChar"/>
        </w:rPr>
        <w:t>In</w:t>
      </w:r>
      <w:r w:rsidR="00A12B22">
        <w:rPr>
          <w:rStyle w:val="BodyTextChar"/>
        </w:rPr>
        <w:t xml:space="preserve"> addition to the actual rules, rules of o</w:t>
      </w:r>
      <w:r w:rsidR="00F7106D" w:rsidRPr="00DA6A60">
        <w:rPr>
          <w:rStyle w:val="BodyTextChar"/>
        </w:rPr>
        <w:t xml:space="preserve">rigin chapters in trade agreements </w:t>
      </w:r>
      <w:r w:rsidR="003B4C30">
        <w:rPr>
          <w:rStyle w:val="BodyTextChar"/>
        </w:rPr>
        <w:t xml:space="preserve">also </w:t>
      </w:r>
      <w:r w:rsidR="00F7106D" w:rsidRPr="00DA6A60">
        <w:rPr>
          <w:rStyle w:val="BodyTextChar"/>
        </w:rPr>
        <w:t xml:space="preserve">contain </w:t>
      </w:r>
      <w:r w:rsidR="00714B9D">
        <w:rPr>
          <w:rStyle w:val="BodyTextChar"/>
        </w:rPr>
        <w:t xml:space="preserve">agreement-specific </w:t>
      </w:r>
      <w:r w:rsidR="00F7106D" w:rsidRPr="00DA6A60">
        <w:rPr>
          <w:rStyle w:val="BodyTextChar"/>
        </w:rPr>
        <w:t xml:space="preserve">procedures </w:t>
      </w:r>
      <w:r w:rsidR="00714B9D">
        <w:rPr>
          <w:rStyle w:val="BodyTextChar"/>
        </w:rPr>
        <w:t>for certifying origin</w:t>
      </w:r>
      <w:r w:rsidR="003B4C30">
        <w:rPr>
          <w:rStyle w:val="BodyTextChar"/>
        </w:rPr>
        <w:t>.</w:t>
      </w:r>
      <w:r w:rsidR="00714B9D">
        <w:rPr>
          <w:rStyle w:val="FootnoteReference"/>
        </w:rPr>
        <w:footnoteReference w:id="6"/>
      </w:r>
      <w:r w:rsidR="00F7106D" w:rsidRPr="00DA6A60">
        <w:rPr>
          <w:rStyle w:val="BodyTextChar"/>
        </w:rPr>
        <w:t xml:space="preserve"> </w:t>
      </w:r>
      <w:r>
        <w:t xml:space="preserve">Recent studies have suggested that the costs associated with these requirements </w:t>
      </w:r>
      <w:r>
        <w:lastRenderedPageBreak/>
        <w:t>could be as high as 25 per cent of the value of goods traded within ASEAN (APEC 2009, p. 67</w:t>
      </w:r>
      <w:r w:rsidRPr="00BE4C56">
        <w:t>).</w:t>
      </w:r>
      <w:r>
        <w:t xml:space="preserve"> In a joint Australian and New Zealand Productivity Commission study on strengthening trans-Tasman economic relations, the Commissions found that </w:t>
      </w:r>
      <w:r w:rsidR="00A12B22">
        <w:t xml:space="preserve">the </w:t>
      </w:r>
      <w:r>
        <w:t>‘…</w:t>
      </w:r>
      <w:r w:rsidR="00A12B22">
        <w:t xml:space="preserve"> </w:t>
      </w:r>
      <w:r>
        <w:t xml:space="preserve">main </w:t>
      </w:r>
      <w:r w:rsidR="00B13AD5">
        <w:t xml:space="preserve">issue for bilateral trade </w:t>
      </w:r>
      <w:r>
        <w:t xml:space="preserve">between Australia and New Zealand is the </w:t>
      </w:r>
      <w:r w:rsidR="00B13AD5">
        <w:t xml:space="preserve">distortions and compliance </w:t>
      </w:r>
      <w:r>
        <w:t>cost</w:t>
      </w:r>
      <w:r w:rsidR="00B13AD5">
        <w:t>s</w:t>
      </w:r>
      <w:r>
        <w:t xml:space="preserve"> </w:t>
      </w:r>
      <w:r w:rsidR="00B13AD5">
        <w:t xml:space="preserve">that arise from the </w:t>
      </w:r>
      <w:r w:rsidR="004475C3">
        <w:t>[</w:t>
      </w:r>
      <w:r>
        <w:t>C</w:t>
      </w:r>
      <w:r w:rsidR="004475C3">
        <w:t xml:space="preserve">loser </w:t>
      </w:r>
      <w:r>
        <w:t>E</w:t>
      </w:r>
      <w:r w:rsidR="004475C3">
        <w:t xml:space="preserve">conomic </w:t>
      </w:r>
      <w:r>
        <w:t>R</w:t>
      </w:r>
      <w:r w:rsidR="004475C3">
        <w:t xml:space="preserve">elations] </w:t>
      </w:r>
      <w:proofErr w:type="spellStart"/>
      <w:r w:rsidR="004475C3">
        <w:t>CER</w:t>
      </w:r>
      <w:proofErr w:type="spellEnd"/>
      <w:r>
        <w:t xml:space="preserve"> </w:t>
      </w:r>
      <w:proofErr w:type="spellStart"/>
      <w:r w:rsidR="00B13AD5">
        <w:t>RoO</w:t>
      </w:r>
      <w:proofErr w:type="spellEnd"/>
      <w:r w:rsidR="00361C34">
        <w:t xml:space="preserve"> </w:t>
      </w:r>
      <w:r w:rsidR="00B13AD5">
        <w:t>…’</w:t>
      </w:r>
      <w:r>
        <w:t xml:space="preserve"> (Australian Productivity Commission and New Zealand Productivity Commission 2012, p. </w:t>
      </w:r>
      <w:r w:rsidR="00B13AD5">
        <w:t>108</w:t>
      </w:r>
      <w:r>
        <w:t>).</w:t>
      </w:r>
    </w:p>
    <w:p w:rsidR="004B5EF3" w:rsidRDefault="004B5EF3" w:rsidP="004B5EF3">
      <w:pPr>
        <w:pStyle w:val="BodyText"/>
      </w:pPr>
      <w:r>
        <w:t>The Australian Chamber of Commerce and Industry (</w:t>
      </w:r>
      <w:proofErr w:type="spellStart"/>
      <w:r>
        <w:t>ACCI</w:t>
      </w:r>
      <w:proofErr w:type="spellEnd"/>
      <w:r>
        <w:t>) has also reported from an industry perspective that:</w:t>
      </w:r>
    </w:p>
    <w:p w:rsidR="004B5EF3" w:rsidRDefault="004B5EF3" w:rsidP="004B5EF3">
      <w:pPr>
        <w:pStyle w:val="Quote"/>
      </w:pPr>
      <w:r>
        <w:t>Preferential agreements, while potentially providing ‘freer’ trade between the agreement parties, are specifically designed to be restricted to the parties and so exclude non-parties by way of complex ‘rules of origin’.</w:t>
      </w:r>
    </w:p>
    <w:p w:rsidR="004B5EF3" w:rsidRDefault="004B5EF3" w:rsidP="004B5EF3">
      <w:pPr>
        <w:pStyle w:val="Quote"/>
      </w:pPr>
      <w:r>
        <w:t>When the hundreds of trade agreements across the globe are negotiated in aggregate by nations a complex barrier of administrative obligations and procedures emerges, which traders must understand and overcome for each specific agreement in order to obtain benefit. These agreement-by-agreement administrative barriers are an added cost to business, add risk for delay of goods should documentation and other requirements be addressed incorrectly, and ultimately risk reducing the streamlining of international trade (</w:t>
      </w:r>
      <w:proofErr w:type="spellStart"/>
      <w:r>
        <w:t>ACCI</w:t>
      </w:r>
      <w:proofErr w:type="spellEnd"/>
      <w:r>
        <w:t> 2013, p. iii).</w:t>
      </w:r>
    </w:p>
    <w:p w:rsidR="00967D50" w:rsidRDefault="00CA3018" w:rsidP="009208F6">
      <w:pPr>
        <w:pStyle w:val="BodyText"/>
      </w:pPr>
      <w:r>
        <w:t>The Commission’s study into bilateral and regional trade agreements argued that given the number of prospective bilateral agreements which Australia is seeking to negotiate, the opportunity to adopt a more coherent approach to determining origin was an important consideration. In this context, it favoured the composite approach adopted in the A</w:t>
      </w:r>
      <w:r w:rsidR="003F2A57">
        <w:t>SEAN</w:t>
      </w:r>
      <w:r w:rsidR="00B66F42">
        <w:t>–</w:t>
      </w:r>
      <w:r>
        <w:t>A</w:t>
      </w:r>
      <w:r w:rsidR="003F2A57">
        <w:t>ustralia</w:t>
      </w:r>
      <w:r w:rsidR="00B66F42">
        <w:t>–</w:t>
      </w:r>
      <w:r>
        <w:t>N</w:t>
      </w:r>
      <w:r w:rsidR="003F2A57">
        <w:t xml:space="preserve">ew </w:t>
      </w:r>
      <w:r>
        <w:t>Z</w:t>
      </w:r>
      <w:r w:rsidR="003F2A57">
        <w:t xml:space="preserve">ealand </w:t>
      </w:r>
      <w:proofErr w:type="spellStart"/>
      <w:r>
        <w:t>FTA</w:t>
      </w:r>
      <w:proofErr w:type="spellEnd"/>
      <w:r>
        <w:t xml:space="preserve"> which gives exporters the flexibility of using either the regional value content test or the change in tariff classification test to determine origin (PC 2010, p.</w:t>
      </w:r>
      <w:r w:rsidR="00361C34">
        <w:t> </w:t>
      </w:r>
      <w:r>
        <w:t>245).</w:t>
      </w:r>
    </w:p>
    <w:p w:rsidR="00B13AD5" w:rsidRDefault="00E41676" w:rsidP="009208F6">
      <w:pPr>
        <w:pStyle w:val="BodyText"/>
      </w:pPr>
      <w:r>
        <w:t xml:space="preserve">The Commission also recommended that, in future trade agreement negotiations, Australia seek the inclusion of a waiver of </w:t>
      </w:r>
      <w:r w:rsidR="00697FCD">
        <w:t>origin-</w:t>
      </w:r>
      <w:r>
        <w:t xml:space="preserve">rule requirements to be applied where the </w:t>
      </w:r>
      <w:r w:rsidR="005C51DE">
        <w:t>margin of a preference</w:t>
      </w:r>
      <w:r>
        <w:t xml:space="preserve"> for a particular product </w:t>
      </w:r>
      <w:r w:rsidR="00B610A5">
        <w:t>is</w:t>
      </w:r>
      <w:r>
        <w:t xml:space="preserve"> </w:t>
      </w:r>
      <w:r w:rsidR="002E4866">
        <w:t>5 </w:t>
      </w:r>
      <w:r>
        <w:t xml:space="preserve">percentage points or less. </w:t>
      </w:r>
      <w:r w:rsidR="0090754E">
        <w:t xml:space="preserve">In such cases, </w:t>
      </w:r>
      <w:r>
        <w:t xml:space="preserve">there </w:t>
      </w:r>
      <w:r w:rsidR="0090754E">
        <w:t>sh</w:t>
      </w:r>
      <w:r>
        <w:t xml:space="preserve">ould be </w:t>
      </w:r>
      <w:r w:rsidR="0090754E">
        <w:t xml:space="preserve">little or </w:t>
      </w:r>
      <w:r>
        <w:t xml:space="preserve">no incentive to tranship when the margin of preference </w:t>
      </w:r>
      <w:r w:rsidR="00697FCD">
        <w:t xml:space="preserve">is </w:t>
      </w:r>
      <w:r>
        <w:t>within this range and, accordingly, a waiver would deliver broad based gains and should reduce compliance costs (</w:t>
      </w:r>
      <w:r w:rsidR="00B82D0E">
        <w:t>PC </w:t>
      </w:r>
      <w:r>
        <w:t>2010, p.</w:t>
      </w:r>
      <w:r w:rsidR="0008224A">
        <w:t> </w:t>
      </w:r>
      <w:r>
        <w:t>245).</w:t>
      </w:r>
      <w:r w:rsidR="005D1E81">
        <w:t xml:space="preserve"> </w:t>
      </w:r>
      <w:r w:rsidR="00B13AD5">
        <w:t xml:space="preserve">This recommendation followed a similar recommendation in the </w:t>
      </w:r>
      <w:r w:rsidR="002E4866">
        <w:t xml:space="preserve">Commission’s </w:t>
      </w:r>
      <w:r w:rsidR="00B13AD5">
        <w:t xml:space="preserve">study </w:t>
      </w:r>
      <w:r w:rsidR="002E4866">
        <w:t>in</w:t>
      </w:r>
      <w:r w:rsidR="00B13AD5">
        <w:t>to</w:t>
      </w:r>
      <w:r w:rsidR="002E4866">
        <w:t xml:space="preserve"> the</w:t>
      </w:r>
      <w:r w:rsidR="00B13AD5">
        <w:t xml:space="preserve"> </w:t>
      </w:r>
      <w:proofErr w:type="spellStart"/>
      <w:r w:rsidR="00B13AD5">
        <w:t>CER</w:t>
      </w:r>
      <w:proofErr w:type="spellEnd"/>
      <w:r w:rsidR="00B13AD5">
        <w:t xml:space="preserve"> rules of origin (</w:t>
      </w:r>
      <w:r w:rsidR="002E4866">
        <w:t>PC </w:t>
      </w:r>
      <w:proofErr w:type="spellStart"/>
      <w:r w:rsidR="00B13AD5">
        <w:t>2004</w:t>
      </w:r>
      <w:r w:rsidR="008C7EFD">
        <w:t>a</w:t>
      </w:r>
      <w:proofErr w:type="spellEnd"/>
      <w:r w:rsidR="00B13AD5">
        <w:t>).</w:t>
      </w:r>
    </w:p>
    <w:p w:rsidR="009805D8" w:rsidRDefault="00A10F90" w:rsidP="009208F6">
      <w:pPr>
        <w:pStyle w:val="BodyText"/>
      </w:pPr>
      <w:r>
        <w:t>In 201</w:t>
      </w:r>
      <w:r w:rsidR="004B5EF3">
        <w:t>2</w:t>
      </w:r>
      <w:r>
        <w:t xml:space="preserve">, the Australian and New Zealand Productivity Commissions suggested that waiving rules of origin for all items where tariffs are no greater than 5 per cent would reduce compliance and administrative costs for a significant proportion of trans-Tasman trade. It also </w:t>
      </w:r>
      <w:r w:rsidR="00B13AD5">
        <w:t>contended</w:t>
      </w:r>
      <w:r>
        <w:t xml:space="preserve"> that such a waiver </w:t>
      </w:r>
      <w:r w:rsidR="009904F2">
        <w:t>c</w:t>
      </w:r>
      <w:r>
        <w:t xml:space="preserve">ould be built on by </w:t>
      </w:r>
      <w:r>
        <w:lastRenderedPageBreak/>
        <w:t xml:space="preserve">reducing the few remaining tariffs that exceed 5 per cent to that level (Australian </w:t>
      </w:r>
      <w:r w:rsidR="001F6A2D">
        <w:t xml:space="preserve">Productivity Commission </w:t>
      </w:r>
      <w:r>
        <w:t>and New Zealand Productivity Commission</w:t>
      </w:r>
      <w:r w:rsidR="0057408E">
        <w:t> 201</w:t>
      </w:r>
      <w:r w:rsidR="004B5EF3">
        <w:t>2</w:t>
      </w:r>
      <w:r w:rsidR="0057408E">
        <w:t xml:space="preserve">, </w:t>
      </w:r>
      <w:r>
        <w:t>p. </w:t>
      </w:r>
      <w:r w:rsidR="00DE4455">
        <w:t>9</w:t>
      </w:r>
      <w:r>
        <w:t>).</w:t>
      </w:r>
      <w:r w:rsidR="00B13AD5">
        <w:rPr>
          <w:rStyle w:val="FootnoteReference"/>
        </w:rPr>
        <w:footnoteReference w:id="7"/>
      </w:r>
      <w:r>
        <w:t xml:space="preserve"> </w:t>
      </w:r>
    </w:p>
    <w:p w:rsidR="002675DA" w:rsidRDefault="00A71FC5" w:rsidP="009208F6">
      <w:pPr>
        <w:pStyle w:val="BodyText"/>
      </w:pPr>
      <w:r>
        <w:t>While a waiver may provide interim relief for businesses</w:t>
      </w:r>
      <w:r w:rsidR="002675DA">
        <w:t xml:space="preserve">, the simplest and most beneficial approach to addressing </w:t>
      </w:r>
      <w:r w:rsidR="002675DA">
        <w:rPr>
          <w:i/>
        </w:rPr>
        <w:t>inter alia</w:t>
      </w:r>
      <w:r w:rsidR="002675DA">
        <w:t xml:space="preserve"> rules of origin would be to unilaterally reduce tariff barriers on a most favoured nation basis, thereby eliminating altogether the need for preferential rules of origin on imports. </w:t>
      </w:r>
    </w:p>
    <w:p w:rsidR="00B23934" w:rsidRPr="00B23934" w:rsidRDefault="000B5158" w:rsidP="00B23934">
      <w:pPr>
        <w:pStyle w:val="Heading2"/>
      </w:pPr>
      <w:r>
        <w:t>6.</w:t>
      </w:r>
      <w:r w:rsidR="00CE0B5E">
        <w:rPr>
          <w:noProof/>
        </w:rPr>
        <w:t>4</w:t>
      </w:r>
      <w:r w:rsidR="00B23934">
        <w:tab/>
      </w:r>
      <w:r w:rsidR="007C494A">
        <w:t>Dispute settlement</w:t>
      </w:r>
    </w:p>
    <w:p w:rsidR="00700228" w:rsidRDefault="00700228" w:rsidP="0008224A">
      <w:pPr>
        <w:pStyle w:val="Heading3"/>
      </w:pPr>
      <w:r>
        <w:t>Disputes under the WTO</w:t>
      </w:r>
    </w:p>
    <w:p w:rsidR="00170536" w:rsidRDefault="00FA254E" w:rsidP="00DA4173">
      <w:pPr>
        <w:pStyle w:val="BodyText"/>
      </w:pPr>
      <w:r>
        <w:t>Since the Commissi</w:t>
      </w:r>
      <w:r w:rsidR="00B23934">
        <w:t>on last reported</w:t>
      </w:r>
      <w:r>
        <w:t xml:space="preserve"> on dispute settlement activity</w:t>
      </w:r>
      <w:r w:rsidR="00B23934">
        <w:t xml:space="preserve"> in the WTO</w:t>
      </w:r>
      <w:r w:rsidR="00A254FF">
        <w:t xml:space="preserve"> (</w:t>
      </w:r>
      <w:r w:rsidR="00F130CC">
        <w:t>PC </w:t>
      </w:r>
      <w:proofErr w:type="spellStart"/>
      <w:r w:rsidR="00A254FF">
        <w:t>2013</w:t>
      </w:r>
      <w:r w:rsidR="00637C4B">
        <w:t>c</w:t>
      </w:r>
      <w:proofErr w:type="spellEnd"/>
      <w:r w:rsidR="00A254FF">
        <w:t>, pp</w:t>
      </w:r>
      <w:r w:rsidR="00F130CC">
        <w:t>. </w:t>
      </w:r>
      <w:r w:rsidR="00A254FF">
        <w:t>112</w:t>
      </w:r>
      <w:r w:rsidR="00361C34">
        <w:t>–</w:t>
      </w:r>
      <w:r w:rsidR="00A254FF">
        <w:t>113)</w:t>
      </w:r>
      <w:r>
        <w:t xml:space="preserve">, </w:t>
      </w:r>
      <w:r w:rsidR="00B23934">
        <w:t>Australia has had one new complaint b</w:t>
      </w:r>
      <w:r w:rsidR="006B5F4D">
        <w:t>r</w:t>
      </w:r>
      <w:r w:rsidR="00B23934">
        <w:t>ought against it.</w:t>
      </w:r>
      <w:r w:rsidR="006D6944">
        <w:t xml:space="preserve"> That</w:t>
      </w:r>
      <w:r w:rsidR="00B23934">
        <w:t xml:space="preserve"> complaint </w:t>
      </w:r>
      <w:r w:rsidR="00AE17BE">
        <w:t>(</w:t>
      </w:r>
      <w:proofErr w:type="spellStart"/>
      <w:r w:rsidR="00AE17BE">
        <w:t>DS467</w:t>
      </w:r>
      <w:proofErr w:type="spellEnd"/>
      <w:r w:rsidR="00AE17BE">
        <w:t xml:space="preserve">) </w:t>
      </w:r>
      <w:r w:rsidR="00B23934">
        <w:t xml:space="preserve">was brought by Indonesia </w:t>
      </w:r>
      <w:r w:rsidR="006D6944">
        <w:t xml:space="preserve">on </w:t>
      </w:r>
      <w:r w:rsidR="00F130CC">
        <w:t>20 September </w:t>
      </w:r>
      <w:r w:rsidR="006D6944">
        <w:t>2013 and concerned ‘…</w:t>
      </w:r>
      <w:r w:rsidR="00361C34">
        <w:t xml:space="preserve"> </w:t>
      </w:r>
      <w:r w:rsidR="006D6944">
        <w:t>certain Australian laws and regulations that impose restrictions on trademarks, geographical indications</w:t>
      </w:r>
      <w:r w:rsidR="006A7667">
        <w:t xml:space="preserve">, and other plain packaging requirements on </w:t>
      </w:r>
      <w:r w:rsidR="00200C10">
        <w:t xml:space="preserve">tobacco products and packaging’ </w:t>
      </w:r>
      <w:r w:rsidR="00E508C6">
        <w:t>(</w:t>
      </w:r>
      <w:r w:rsidR="00F130CC">
        <w:t>WTO </w:t>
      </w:r>
      <w:proofErr w:type="spellStart"/>
      <w:r w:rsidR="00E508C6">
        <w:t>2013b</w:t>
      </w:r>
      <w:proofErr w:type="spellEnd"/>
      <w:r w:rsidR="00E508C6">
        <w:t>)</w:t>
      </w:r>
      <w:r w:rsidR="00C439AB">
        <w:t>.</w:t>
      </w:r>
    </w:p>
    <w:p w:rsidR="007C494A" w:rsidRDefault="006A7667" w:rsidP="00DA4173">
      <w:pPr>
        <w:pStyle w:val="BodyText"/>
      </w:pPr>
      <w:r>
        <w:t xml:space="preserve">According to the </w:t>
      </w:r>
      <w:r w:rsidR="00C50FA7">
        <w:t>WTO </w:t>
      </w:r>
      <w:r w:rsidR="00F20C1A">
        <w:t>(</w:t>
      </w:r>
      <w:proofErr w:type="spellStart"/>
      <w:r w:rsidR="00F20C1A">
        <w:t>2013</w:t>
      </w:r>
      <w:r w:rsidR="00E508C6">
        <w:t>b</w:t>
      </w:r>
      <w:proofErr w:type="spellEnd"/>
      <w:r w:rsidR="00F20C1A">
        <w:t>)</w:t>
      </w:r>
      <w:r>
        <w:t xml:space="preserve">, Indonesia claims that Australia’s measures appear to be inconsistent </w:t>
      </w:r>
      <w:r w:rsidR="00D95C94">
        <w:t xml:space="preserve">with </w:t>
      </w:r>
      <w:r w:rsidR="00C227BA">
        <w:t xml:space="preserve">certain provisions of </w:t>
      </w:r>
      <w:r w:rsidR="00D95C94">
        <w:t>the Trade</w:t>
      </w:r>
      <w:r w:rsidR="00C227BA">
        <w:t>-</w:t>
      </w:r>
      <w:r w:rsidR="00D95C94">
        <w:t>Relate</w:t>
      </w:r>
      <w:r w:rsidR="00C227BA">
        <w:t>d</w:t>
      </w:r>
      <w:r w:rsidR="00D95C94">
        <w:t xml:space="preserve"> Aspects of Intellectual Property Rights (TRIPS) Agreement, the Tec</w:t>
      </w:r>
      <w:r w:rsidR="00AE17BE">
        <w:t>hnical B</w:t>
      </w:r>
      <w:r w:rsidR="00D95C94">
        <w:t>arriers to Trade (</w:t>
      </w:r>
      <w:proofErr w:type="spellStart"/>
      <w:r w:rsidR="00D95C94">
        <w:t>TBT</w:t>
      </w:r>
      <w:proofErr w:type="spellEnd"/>
      <w:r w:rsidR="00D95C94">
        <w:t xml:space="preserve">) Agreement and the </w:t>
      </w:r>
      <w:r w:rsidR="00C227BA">
        <w:t>General Agreement on Tariffs and Trade (</w:t>
      </w:r>
      <w:r w:rsidR="00C50FA7">
        <w:t>GATT </w:t>
      </w:r>
      <w:r w:rsidR="00D95C94">
        <w:t>1994</w:t>
      </w:r>
      <w:r w:rsidR="00C227BA">
        <w:t>).</w:t>
      </w:r>
      <w:r w:rsidR="00D50FB2">
        <w:t xml:space="preserve"> </w:t>
      </w:r>
      <w:r w:rsidR="00D95C94">
        <w:t xml:space="preserve">Indonesia is the fifth country to lodge a complaint against Australia’s tobacco plain packaging laws </w:t>
      </w:r>
      <w:r w:rsidR="00E8014B">
        <w:t>following th</w:t>
      </w:r>
      <w:r w:rsidR="004D0AC8">
        <w:t>e complaints by the Ukraine (</w:t>
      </w:r>
      <w:proofErr w:type="spellStart"/>
      <w:r w:rsidR="004D0AC8">
        <w:t>DS</w:t>
      </w:r>
      <w:r w:rsidR="00E8014B">
        <w:t>434</w:t>
      </w:r>
      <w:proofErr w:type="spellEnd"/>
      <w:r w:rsidR="00E8014B">
        <w:t xml:space="preserve"> </w:t>
      </w:r>
      <w:r w:rsidR="00E8014B">
        <w:softHyphen/>
        <w:t xml:space="preserve"> </w:t>
      </w:r>
      <w:r w:rsidR="00F130CC">
        <w:t>13 March </w:t>
      </w:r>
      <w:r w:rsidR="00097EF1">
        <w:t>2012), Honduras (</w:t>
      </w:r>
      <w:proofErr w:type="spellStart"/>
      <w:r w:rsidR="00097EF1">
        <w:t>DS435</w:t>
      </w:r>
      <w:proofErr w:type="spellEnd"/>
      <w:r w:rsidR="00097EF1">
        <w:t xml:space="preserve"> </w:t>
      </w:r>
      <w:r w:rsidR="00097EF1">
        <w:softHyphen/>
        <w:t xml:space="preserve"> </w:t>
      </w:r>
      <w:r w:rsidR="00F130CC">
        <w:t>4 April </w:t>
      </w:r>
      <w:r w:rsidR="00097EF1">
        <w:t>2012), the Dominican Republic (</w:t>
      </w:r>
      <w:proofErr w:type="spellStart"/>
      <w:r w:rsidR="00097EF1">
        <w:t>DS441</w:t>
      </w:r>
      <w:proofErr w:type="spellEnd"/>
      <w:r w:rsidR="00097EF1">
        <w:t xml:space="preserve"> </w:t>
      </w:r>
      <w:r w:rsidR="00097EF1">
        <w:softHyphen/>
        <w:t xml:space="preserve"> </w:t>
      </w:r>
      <w:r w:rsidR="00F130CC">
        <w:t>18 July </w:t>
      </w:r>
      <w:r w:rsidR="00097EF1">
        <w:t>2012) and Cuba (</w:t>
      </w:r>
      <w:proofErr w:type="spellStart"/>
      <w:r w:rsidR="00097EF1">
        <w:t>DS458</w:t>
      </w:r>
      <w:proofErr w:type="spellEnd"/>
      <w:r w:rsidR="00097EF1">
        <w:t xml:space="preserve"> </w:t>
      </w:r>
      <w:r w:rsidR="00097EF1">
        <w:softHyphen/>
        <w:t xml:space="preserve"> </w:t>
      </w:r>
      <w:r w:rsidR="00F130CC">
        <w:t>6 May </w:t>
      </w:r>
      <w:r w:rsidR="00097EF1">
        <w:t>2013).</w:t>
      </w:r>
      <w:r w:rsidR="00FC14DC">
        <w:t xml:space="preserve"> </w:t>
      </w:r>
      <w:r w:rsidR="00CF5D13">
        <w:t>In addition to the complainant countries, a</w:t>
      </w:r>
      <w:r w:rsidR="00FC14DC">
        <w:t xml:space="preserve"> </w:t>
      </w:r>
      <w:r w:rsidR="00C227BA">
        <w:t xml:space="preserve">large </w:t>
      </w:r>
      <w:r w:rsidR="00FC14DC">
        <w:t xml:space="preserve">number of </w:t>
      </w:r>
      <w:r w:rsidR="00CF5D13">
        <w:t xml:space="preserve">other </w:t>
      </w:r>
      <w:r w:rsidR="00FC14DC">
        <w:t>countries have requested (and been granted</w:t>
      </w:r>
      <w:r w:rsidR="00B37E95">
        <w:t xml:space="preserve"> permission</w:t>
      </w:r>
      <w:r w:rsidR="00FC14DC">
        <w:t>) to join the dispute as third parties.</w:t>
      </w:r>
      <w:r w:rsidR="00FC14DC">
        <w:rPr>
          <w:rStyle w:val="FootnoteReference"/>
        </w:rPr>
        <w:footnoteReference w:id="8"/>
      </w:r>
    </w:p>
    <w:p w:rsidR="009710A6" w:rsidRDefault="009710A6" w:rsidP="00DA4173">
      <w:pPr>
        <w:pStyle w:val="BodyText"/>
      </w:pPr>
      <w:r>
        <w:lastRenderedPageBreak/>
        <w:t>WTO dispute settlement panels have now been</w:t>
      </w:r>
      <w:r w:rsidR="00780CDF">
        <w:t xml:space="preserve"> established in relation to all five </w:t>
      </w:r>
      <w:r>
        <w:t>complaints against Australia’s tobacco plain packaging laws and on 5</w:t>
      </w:r>
      <w:r w:rsidR="00C50FA7">
        <w:t> </w:t>
      </w:r>
      <w:r>
        <w:t>May</w:t>
      </w:r>
      <w:r w:rsidR="00C50FA7">
        <w:t> </w:t>
      </w:r>
      <w:r>
        <w:t>2015, the Director-General of the WTO appointed the panellists who will hear these disputes.</w:t>
      </w:r>
    </w:p>
    <w:p w:rsidR="00700228" w:rsidRPr="0020642A" w:rsidRDefault="00700228" w:rsidP="0008224A">
      <w:pPr>
        <w:pStyle w:val="Heading3"/>
      </w:pPr>
      <w:r>
        <w:t>Investor-state dispute legal proceedings against the Australian Government</w:t>
      </w:r>
    </w:p>
    <w:p w:rsidR="001D44C4" w:rsidRDefault="00BC6B30" w:rsidP="00DA4173">
      <w:pPr>
        <w:pStyle w:val="BodyText"/>
      </w:pPr>
      <w:r>
        <w:t>Some trade agreements and invest</w:t>
      </w:r>
      <w:r w:rsidR="00F130CC">
        <w:t>ment</w:t>
      </w:r>
      <w:r>
        <w:t xml:space="preserve"> treaties entered into by the Australian Government</w:t>
      </w:r>
      <w:r w:rsidR="00ED02EF">
        <w:t xml:space="preserve"> contain investor-state dispute settlement (</w:t>
      </w:r>
      <w:proofErr w:type="spellStart"/>
      <w:r w:rsidR="00ED02EF">
        <w:t>ISDS</w:t>
      </w:r>
      <w:proofErr w:type="spellEnd"/>
      <w:r w:rsidR="00ED02EF">
        <w:t>) provi</w:t>
      </w:r>
      <w:r w:rsidR="00FE74C7">
        <w:t>sions for settling disputes bet</w:t>
      </w:r>
      <w:r w:rsidR="00ED02EF">
        <w:t xml:space="preserve">ween an investor of one party to the agreement and the other government. Under the provisions, dispute settlement </w:t>
      </w:r>
      <w:r w:rsidR="00AD6856">
        <w:t>options can include third-party arbitration.</w:t>
      </w:r>
    </w:p>
    <w:p w:rsidR="00BC6B30" w:rsidRDefault="002E0DF7" w:rsidP="00DA4173">
      <w:pPr>
        <w:pStyle w:val="BodyText"/>
      </w:pPr>
      <w:r>
        <w:t>Pursuant to</w:t>
      </w:r>
      <w:r w:rsidR="00AD6856">
        <w:t xml:space="preserve"> the </w:t>
      </w:r>
      <w:r w:rsidR="00AD6856" w:rsidRPr="00DA6A60">
        <w:rPr>
          <w:i/>
        </w:rPr>
        <w:t>Agreement</w:t>
      </w:r>
      <w:r w:rsidR="00AD6856" w:rsidRPr="0008224A">
        <w:rPr>
          <w:i/>
        </w:rPr>
        <w:t xml:space="preserve"> between the Government of Australia and the Government of Hong Kong for the Promotion and Protection of Investments</w:t>
      </w:r>
      <w:r w:rsidR="008754F5">
        <w:t>, which entered into force in 1993, Philip Morris Asia Limited lodged a dispute against the Australian Government over tobacco plain packaging requirements, which is subject to third-party arbitration</w:t>
      </w:r>
      <w:r w:rsidR="00446548">
        <w:t xml:space="preserve"> </w:t>
      </w:r>
      <w:r w:rsidR="009710A6">
        <w:t xml:space="preserve">being administered </w:t>
      </w:r>
      <w:r w:rsidR="00446548">
        <w:t>by the Permanent Court of Arbitration (</w:t>
      </w:r>
      <w:proofErr w:type="spellStart"/>
      <w:r w:rsidR="00446548">
        <w:t>PCA</w:t>
      </w:r>
      <w:proofErr w:type="spellEnd"/>
      <w:r w:rsidR="00446548">
        <w:t>)</w:t>
      </w:r>
      <w:r w:rsidR="008754F5">
        <w:t xml:space="preserve">. </w:t>
      </w:r>
      <w:r w:rsidR="00ED1B1B">
        <w:t>The most recent arbitration hearing relating to this case (</w:t>
      </w:r>
      <w:proofErr w:type="spellStart"/>
      <w:r w:rsidR="00ED1B1B">
        <w:t>PCA</w:t>
      </w:r>
      <w:proofErr w:type="spellEnd"/>
      <w:r w:rsidR="00ED1B1B">
        <w:t xml:space="preserve"> Case No. 2012</w:t>
      </w:r>
      <w:r w:rsidR="00361C34">
        <w:t>–</w:t>
      </w:r>
      <w:r w:rsidR="00ED1B1B">
        <w:t xml:space="preserve">12) was </w:t>
      </w:r>
      <w:r w:rsidR="009E72C7">
        <w:t>held on 20-21</w:t>
      </w:r>
      <w:r w:rsidR="007C740C">
        <w:t> </w:t>
      </w:r>
      <w:r w:rsidR="009E72C7">
        <w:t>February</w:t>
      </w:r>
      <w:r w:rsidR="007C740C">
        <w:t> </w:t>
      </w:r>
      <w:r w:rsidR="009E72C7">
        <w:t>2014</w:t>
      </w:r>
      <w:r w:rsidR="00023C7F">
        <w:t xml:space="preserve"> in </w:t>
      </w:r>
      <w:r w:rsidR="009E72C7">
        <w:t>Toronto</w:t>
      </w:r>
      <w:r w:rsidR="00497A4E">
        <w:t>, Canada</w:t>
      </w:r>
      <w:r w:rsidR="00023C7F">
        <w:t xml:space="preserve">. </w:t>
      </w:r>
      <w:r w:rsidR="009D56E1">
        <w:t xml:space="preserve">The outcome of that hearing </w:t>
      </w:r>
      <w:r w:rsidR="003A3A5C">
        <w:t>favoured</w:t>
      </w:r>
      <w:r w:rsidR="00B11F7F" w:rsidRPr="00FE7359">
        <w:t xml:space="preserve"> Australia’s argument for bifurcation (</w:t>
      </w:r>
      <w:r w:rsidR="00ED00E9">
        <w:t xml:space="preserve">the </w:t>
      </w:r>
      <w:r w:rsidR="00B11F7F" w:rsidRPr="00FE7359">
        <w:t>separation of proceedings into a preliminary jurisdictional phase and a subsequent merits phase, if required</w:t>
      </w:r>
      <w:r w:rsidR="009A691B">
        <w:t>).</w:t>
      </w:r>
      <w:r w:rsidR="00483888">
        <w:t xml:space="preserve"> </w:t>
      </w:r>
      <w:r w:rsidR="00483888" w:rsidRPr="00FE7359">
        <w:t>The Tribunal also issued a timetable f</w:t>
      </w:r>
      <w:r w:rsidR="00483888">
        <w:t>or consideration by the Parties</w:t>
      </w:r>
      <w:r w:rsidR="00483888" w:rsidRPr="00FE7359">
        <w:t xml:space="preserve"> which would involve the hearing on preliminary </w:t>
      </w:r>
      <w:r w:rsidR="00317679">
        <w:t xml:space="preserve">jurisdictional </w:t>
      </w:r>
      <w:r w:rsidR="00483888" w:rsidRPr="00FE7359">
        <w:t>objections being held early in 2015.</w:t>
      </w:r>
    </w:p>
    <w:p w:rsidR="00A90213" w:rsidRDefault="00D55D74" w:rsidP="00DA4173">
      <w:pPr>
        <w:pStyle w:val="BodyText"/>
      </w:pPr>
      <w:r>
        <w:t xml:space="preserve">In </w:t>
      </w:r>
      <w:r w:rsidR="005B2517">
        <w:t>June</w:t>
      </w:r>
      <w:r w:rsidR="00F130CC">
        <w:t> </w:t>
      </w:r>
      <w:r w:rsidR="005B2517">
        <w:t xml:space="preserve">2013, the United </w:t>
      </w:r>
      <w:r w:rsidR="00E20551">
        <w:t xml:space="preserve">Nations </w:t>
      </w:r>
      <w:r w:rsidR="005B2517">
        <w:t xml:space="preserve">Conference on Trade and Development </w:t>
      </w:r>
      <w:r w:rsidR="00D52721">
        <w:t>(</w:t>
      </w:r>
      <w:proofErr w:type="spellStart"/>
      <w:r w:rsidR="00D52721">
        <w:t>UNCTAD</w:t>
      </w:r>
      <w:proofErr w:type="spellEnd"/>
      <w:r w:rsidR="00D52721">
        <w:t xml:space="preserve">) released a report on the functioning of </w:t>
      </w:r>
      <w:proofErr w:type="spellStart"/>
      <w:r w:rsidR="00D52721">
        <w:t>ISDS</w:t>
      </w:r>
      <w:proofErr w:type="spellEnd"/>
      <w:r w:rsidR="00D52721">
        <w:t xml:space="preserve"> regimes and a range of reform options </w:t>
      </w:r>
      <w:r w:rsidR="00AD58B1">
        <w:t>that could be con</w:t>
      </w:r>
      <w:r w:rsidR="00A858B8">
        <w:t>sidered</w:t>
      </w:r>
      <w:r w:rsidR="008228FB">
        <w:t xml:space="preserve"> (</w:t>
      </w:r>
      <w:proofErr w:type="spellStart"/>
      <w:r w:rsidR="008228FB">
        <w:t>UNCTAD</w:t>
      </w:r>
      <w:proofErr w:type="spellEnd"/>
      <w:r w:rsidR="008228FB">
        <w:t> 2013)</w:t>
      </w:r>
      <w:r w:rsidR="00A858B8">
        <w:t xml:space="preserve">. The </w:t>
      </w:r>
      <w:proofErr w:type="spellStart"/>
      <w:r w:rsidR="00A858B8">
        <w:t>UNCTAD</w:t>
      </w:r>
      <w:proofErr w:type="spellEnd"/>
      <w:r w:rsidR="00A858B8">
        <w:t xml:space="preserve"> report noted</w:t>
      </w:r>
      <w:r w:rsidR="00AD58B1">
        <w:t xml:space="preserve"> that </w:t>
      </w:r>
      <w:r w:rsidR="00A858B8">
        <w:t xml:space="preserve">in many cases </w:t>
      </w:r>
      <w:r w:rsidR="00BD0A00">
        <w:t>foreign investors have challenged policies adopted by States in the public interest</w:t>
      </w:r>
      <w:r w:rsidR="00C04DDD">
        <w:t xml:space="preserve"> and </w:t>
      </w:r>
      <w:r w:rsidR="00AD58B1">
        <w:t xml:space="preserve">queried whether </w:t>
      </w:r>
      <w:r w:rsidR="00161277">
        <w:t>an international arbitration panel consistin</w:t>
      </w:r>
      <w:r w:rsidR="00A90213">
        <w:t xml:space="preserve">g of three individuals chosen </w:t>
      </w:r>
      <w:r w:rsidR="00161277">
        <w:t xml:space="preserve">on an ad hoc basis </w:t>
      </w:r>
      <w:r w:rsidR="00A90213">
        <w:t xml:space="preserve">can be seen as a legitimate means of assessing the validity of </w:t>
      </w:r>
      <w:r w:rsidR="00C6308F">
        <w:t xml:space="preserve">those </w:t>
      </w:r>
      <w:r w:rsidR="00A90213">
        <w:t>public policy decisions. It</w:t>
      </w:r>
      <w:r w:rsidR="00AD58B1">
        <w:t xml:space="preserve"> also found that despite </w:t>
      </w:r>
      <w:r w:rsidR="00A90213">
        <w:t xml:space="preserve">the intent of </w:t>
      </w:r>
      <w:proofErr w:type="spellStart"/>
      <w:r w:rsidR="00A90213">
        <w:t>ISDS</w:t>
      </w:r>
      <w:proofErr w:type="spellEnd"/>
      <w:r w:rsidR="00A90213">
        <w:t xml:space="preserve"> arbitration to be timely and low cost, actual </w:t>
      </w:r>
      <w:proofErr w:type="spellStart"/>
      <w:r w:rsidR="00A90213">
        <w:t>ISDS</w:t>
      </w:r>
      <w:proofErr w:type="spellEnd"/>
      <w:r w:rsidR="00A90213">
        <w:t xml:space="preserve"> practice had seen the opposite outcomes with </w:t>
      </w:r>
      <w:r w:rsidR="0078468C">
        <w:t xml:space="preserve">the </w:t>
      </w:r>
      <w:r w:rsidR="00A90213">
        <w:t>costs</w:t>
      </w:r>
      <w:r w:rsidR="005A0E71">
        <w:t xml:space="preserve"> of actions</w:t>
      </w:r>
      <w:r w:rsidR="00A90213">
        <w:t xml:space="preserve"> </w:t>
      </w:r>
      <w:r w:rsidR="005A0E71">
        <w:t xml:space="preserve">exerting significant pressures </w:t>
      </w:r>
      <w:r w:rsidR="00A90213">
        <w:t>on public finances and creating potential disincentives for public interest regulation.</w:t>
      </w:r>
    </w:p>
    <w:p w:rsidR="00D55D74" w:rsidRDefault="0078468C" w:rsidP="00DA4173">
      <w:pPr>
        <w:pStyle w:val="BodyText"/>
      </w:pPr>
      <w:proofErr w:type="spellStart"/>
      <w:r>
        <w:t>UNCTAD</w:t>
      </w:r>
      <w:r w:rsidR="0001150C">
        <w:t>’s</w:t>
      </w:r>
      <w:proofErr w:type="spellEnd"/>
      <w:r>
        <w:t xml:space="preserve"> </w:t>
      </w:r>
      <w:r w:rsidR="008D0BDC">
        <w:t xml:space="preserve">proposed </w:t>
      </w:r>
      <w:r w:rsidR="0001150C">
        <w:t xml:space="preserve">reform options </w:t>
      </w:r>
      <w:r w:rsidR="00E8001F">
        <w:t xml:space="preserve">to address </w:t>
      </w:r>
      <w:r w:rsidR="00F60521">
        <w:t>these issues</w:t>
      </w:r>
      <w:r w:rsidR="00E8001F">
        <w:t xml:space="preserve"> </w:t>
      </w:r>
      <w:r w:rsidR="00AD58B1">
        <w:t>incl</w:t>
      </w:r>
      <w:r w:rsidR="00A90213">
        <w:t>ud</w:t>
      </w:r>
      <w:r w:rsidR="00BE4DA8">
        <w:t>ed</w:t>
      </w:r>
      <w:r w:rsidR="008E1633">
        <w:t>:</w:t>
      </w:r>
      <w:r w:rsidR="00AD58B1">
        <w:t xml:space="preserve"> </w:t>
      </w:r>
      <w:r w:rsidR="008E1633">
        <w:t xml:space="preserve">promoting alternative dispute resolutions; tailoring of the existing </w:t>
      </w:r>
      <w:proofErr w:type="spellStart"/>
      <w:r w:rsidR="008E1633">
        <w:t>ISDS</w:t>
      </w:r>
      <w:proofErr w:type="spellEnd"/>
      <w:r w:rsidR="008E1633">
        <w:t xml:space="preserve"> system; limiting </w:t>
      </w:r>
      <w:r w:rsidR="008E1633">
        <w:lastRenderedPageBreak/>
        <w:t xml:space="preserve">investor access to </w:t>
      </w:r>
      <w:proofErr w:type="spellStart"/>
      <w:r w:rsidR="008E1633">
        <w:t>ISDS</w:t>
      </w:r>
      <w:proofErr w:type="spellEnd"/>
      <w:r w:rsidR="008E1633">
        <w:t xml:space="preserve"> (</w:t>
      </w:r>
      <w:r w:rsidR="00AD58B1">
        <w:t xml:space="preserve">narrowing the scope for investors to invoke </w:t>
      </w:r>
      <w:proofErr w:type="spellStart"/>
      <w:r w:rsidR="00AD58B1">
        <w:t>ISDS</w:t>
      </w:r>
      <w:proofErr w:type="spellEnd"/>
      <w:r w:rsidR="00AD58B1">
        <w:t xml:space="preserve"> provisions</w:t>
      </w:r>
      <w:r w:rsidR="008E1633">
        <w:t>)</w:t>
      </w:r>
      <w:r w:rsidR="00AD58B1">
        <w:t>; introducing appeals facilities</w:t>
      </w:r>
      <w:r w:rsidR="006C57E6">
        <w:t xml:space="preserve">; and </w:t>
      </w:r>
      <w:r w:rsidR="0072720B">
        <w:t xml:space="preserve">replacing the current system of ad hoc tribunals with a standing international investment court. </w:t>
      </w:r>
      <w:r w:rsidR="00A90213">
        <w:t>T</w:t>
      </w:r>
      <w:r w:rsidR="0072720B">
        <w:t xml:space="preserve">he report also noted that while collective action would go further in addressing current problems with </w:t>
      </w:r>
      <w:proofErr w:type="spellStart"/>
      <w:r w:rsidR="0072720B">
        <w:t>ISDS</w:t>
      </w:r>
      <w:proofErr w:type="spellEnd"/>
      <w:r w:rsidR="0072720B">
        <w:t xml:space="preserve"> systems, such a response would face greater difficulty in implementation and require agreement between a large number of States.</w:t>
      </w:r>
    </w:p>
    <w:p w:rsidR="0072720B" w:rsidRDefault="0072720B" w:rsidP="00DA4173">
      <w:pPr>
        <w:pStyle w:val="BodyText"/>
      </w:pPr>
      <w:r>
        <w:t xml:space="preserve">In its report on bilateral </w:t>
      </w:r>
      <w:r w:rsidR="00B76871">
        <w:t>and regional trade agreements</w:t>
      </w:r>
      <w:r>
        <w:t xml:space="preserve"> (PC</w:t>
      </w:r>
      <w:r w:rsidR="00F130CC">
        <w:t> </w:t>
      </w:r>
      <w:r>
        <w:t>2010</w:t>
      </w:r>
      <w:r w:rsidR="00BC2079">
        <w:t>, p. xxxviii</w:t>
      </w:r>
      <w:r>
        <w:t xml:space="preserve">), </w:t>
      </w:r>
      <w:r w:rsidR="00BC2079">
        <w:t xml:space="preserve">the </w:t>
      </w:r>
      <w:r w:rsidR="00B76871">
        <w:t xml:space="preserve">Commission recommended that the Australian Government should not include matters in bilateral and regional trade agreements that </w:t>
      </w:r>
      <w:r w:rsidR="00F03391">
        <w:t xml:space="preserve">would </w:t>
      </w:r>
      <w:r w:rsidR="00BC2079">
        <w:t>serve to increase barriers to trade, raise costs or affect established social policies without a comprehensive review of the impl</w:t>
      </w:r>
      <w:r w:rsidR="005514C9">
        <w:t>ications and avai</w:t>
      </w:r>
      <w:r w:rsidR="00BC2079">
        <w:t>l</w:t>
      </w:r>
      <w:r w:rsidR="001157DD">
        <w:t>a</w:t>
      </w:r>
      <w:r w:rsidR="00BC2079">
        <w:t>ble options for change</w:t>
      </w:r>
      <w:r w:rsidR="00F94C7F">
        <w:t xml:space="preserve">. </w:t>
      </w:r>
      <w:r w:rsidR="002C0676">
        <w:t xml:space="preserve">With specific reference to </w:t>
      </w:r>
      <w:proofErr w:type="spellStart"/>
      <w:r w:rsidR="002C0676">
        <w:t>ISDS</w:t>
      </w:r>
      <w:proofErr w:type="spellEnd"/>
      <w:r w:rsidR="002C0676">
        <w:t>, the Commission recommended that the Australian Government should seek to avoid the inclusion of investor-state di</w:t>
      </w:r>
      <w:r w:rsidR="00BB2E0A">
        <w:t>spute settlement provisions in bilateral and regional trade agreements</w:t>
      </w:r>
      <w:r w:rsidR="002C0676">
        <w:t xml:space="preserve"> that grant foreign investors in Australia substantive or procedural rights greater than those enjoyed by Australian investors.</w:t>
      </w:r>
    </w:p>
    <w:p w:rsidR="001D6302" w:rsidRDefault="000B5158" w:rsidP="001D6302">
      <w:pPr>
        <w:pStyle w:val="Heading2"/>
      </w:pPr>
      <w:r>
        <w:t>6.</w:t>
      </w:r>
      <w:r w:rsidR="00CE0B5E">
        <w:rPr>
          <w:noProof/>
        </w:rPr>
        <w:t>5</w:t>
      </w:r>
      <w:r w:rsidR="001D6302">
        <w:tab/>
        <w:t>Anti-dumping activity</w:t>
      </w:r>
    </w:p>
    <w:p w:rsidR="00E41676" w:rsidRPr="00E864B0" w:rsidRDefault="001D6302" w:rsidP="0046293E">
      <w:pPr>
        <w:pStyle w:val="BodyText"/>
      </w:pPr>
      <w:r w:rsidRPr="00E5295F">
        <w:t>During 20</w:t>
      </w:r>
      <w:r>
        <w:t>12</w:t>
      </w:r>
      <w:r w:rsidRPr="00E5295F">
        <w:noBreakHyphen/>
      </w:r>
      <w:r>
        <w:t>13</w:t>
      </w:r>
      <w:r w:rsidRPr="00E5295F">
        <w:t xml:space="preserve">, </w:t>
      </w:r>
      <w:r>
        <w:t xml:space="preserve">13 new investigations were </w:t>
      </w:r>
      <w:r w:rsidRPr="00124678">
        <w:rPr>
          <w:i/>
        </w:rPr>
        <w:t>initiated</w:t>
      </w:r>
      <w:r w:rsidRPr="00E5295F">
        <w:t xml:space="preserve"> </w:t>
      </w:r>
      <w:r>
        <w:t xml:space="preserve">by </w:t>
      </w:r>
      <w:r w:rsidR="00644D42">
        <w:t xml:space="preserve">the Australian </w:t>
      </w:r>
      <w:r>
        <w:t xml:space="preserve">Customs and Border Protection </w:t>
      </w:r>
      <w:r w:rsidR="00644D42">
        <w:t xml:space="preserve">Service </w:t>
      </w:r>
      <w:r w:rsidRPr="00E5295F">
        <w:t>(</w:t>
      </w:r>
      <w:r>
        <w:t>appendix</w:t>
      </w:r>
      <w:r w:rsidR="00361C34">
        <w:t> </w:t>
      </w:r>
      <w:r>
        <w:t>C)</w:t>
      </w:r>
      <w:r w:rsidRPr="00E5295F">
        <w:t>.</w:t>
      </w:r>
      <w:r>
        <w:t xml:space="preserve"> This is a decrease from 22 new investigations in the previous year. Also during the year, 12 </w:t>
      </w:r>
      <w:r w:rsidRPr="009F1F23">
        <w:t xml:space="preserve">new measures were </w:t>
      </w:r>
      <w:r w:rsidRPr="009F1F23">
        <w:rPr>
          <w:i/>
        </w:rPr>
        <w:t>imposed</w:t>
      </w:r>
      <w:r>
        <w:rPr>
          <w:i/>
        </w:rPr>
        <w:t xml:space="preserve">. </w:t>
      </w:r>
      <w:r w:rsidRPr="00A2716A">
        <w:t>This is an increase</w:t>
      </w:r>
      <w:r w:rsidRPr="009F1F23">
        <w:t xml:space="preserve"> </w:t>
      </w:r>
      <w:r>
        <w:t xml:space="preserve">from </w:t>
      </w:r>
      <w:r w:rsidR="008C00CE">
        <w:t>four</w:t>
      </w:r>
      <w:r w:rsidR="00CB2D28">
        <w:t xml:space="preserve"> </w:t>
      </w:r>
      <w:r>
        <w:t xml:space="preserve">new measures in the previous year. No measures </w:t>
      </w:r>
      <w:r w:rsidRPr="00677CBA">
        <w:rPr>
          <w:i/>
        </w:rPr>
        <w:t>expired</w:t>
      </w:r>
      <w:r>
        <w:t xml:space="preserve"> during 2012</w:t>
      </w:r>
      <w:r>
        <w:noBreakHyphen/>
        <w:t xml:space="preserve">13. In the 2012 calendar year, there were 209 </w:t>
      </w:r>
      <w:proofErr w:type="spellStart"/>
      <w:r>
        <w:t>anti-dumping</w:t>
      </w:r>
      <w:proofErr w:type="spellEnd"/>
      <w:r>
        <w:t xml:space="preserve"> and 23 countervailing cases initiated worldwide (appendix</w:t>
      </w:r>
      <w:r w:rsidR="00361C34">
        <w:t> </w:t>
      </w:r>
      <w:r>
        <w:t>C). The most were by Brazil (48), followed by India (21), the European Union (19), Canada (17), and the United States (16). Australia and Turkey ranked equal sixth (14). The previous year Australia had been the tenth most active.</w:t>
      </w:r>
    </w:p>
    <w:sectPr w:rsidR="00E41676" w:rsidRPr="00E864B0" w:rsidSect="001E10EA">
      <w:headerReference w:type="even" r:id="rId12"/>
      <w:headerReference w:type="default" r:id="rId13"/>
      <w:footerReference w:type="even" r:id="rId14"/>
      <w:footerReference w:type="default" r:id="rId15"/>
      <w:pgSz w:w="11907" w:h="16840" w:code="9"/>
      <w:pgMar w:top="1985" w:right="1304" w:bottom="1418" w:left="1814" w:header="1701" w:footer="567" w:gutter="0"/>
      <w:pgNumType w:start="10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4D8" w:rsidRDefault="00B174D8">
      <w:r>
        <w:separator/>
      </w:r>
    </w:p>
  </w:endnote>
  <w:endnote w:type="continuationSeparator" w:id="0">
    <w:p w:rsidR="00B174D8" w:rsidRDefault="00B174D8">
      <w:r>
        <w:continuationSeparator/>
      </w:r>
    </w:p>
  </w:endnote>
  <w:endnote w:type="continuationNotice" w:id="1">
    <w:p w:rsidR="00B174D8" w:rsidRDefault="00B174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FDIN">
    <w:altName w:val="FFDI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73A56" w:rsidTr="00F64D64">
      <w:trPr>
        <w:trHeight w:hRule="exact" w:val="740"/>
      </w:trPr>
      <w:tc>
        <w:tcPr>
          <w:tcW w:w="510" w:type="dxa"/>
          <w:tcBorders>
            <w:top w:val="single" w:sz="6" w:space="0" w:color="auto"/>
          </w:tcBorders>
        </w:tcPr>
        <w:p w:rsidR="00173A56" w:rsidRDefault="00173A56" w:rsidP="009934D9">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E4CD5">
            <w:rPr>
              <w:rStyle w:val="PageNumber"/>
              <w:noProof/>
            </w:rPr>
            <w:t>120</w:t>
          </w:r>
          <w:r>
            <w:rPr>
              <w:rStyle w:val="PageNumber"/>
            </w:rPr>
            <w:fldChar w:fldCharType="end"/>
          </w:r>
        </w:p>
      </w:tc>
      <w:tc>
        <w:tcPr>
          <w:tcW w:w="1644" w:type="dxa"/>
          <w:tcBorders>
            <w:top w:val="single" w:sz="6" w:space="0" w:color="auto"/>
          </w:tcBorders>
        </w:tcPr>
        <w:p w:rsidR="00173A56" w:rsidRDefault="007E4CD5" w:rsidP="009934D9">
          <w:pPr>
            <w:pStyle w:val="Footer"/>
          </w:pPr>
          <w:r>
            <w:fldChar w:fldCharType="begin"/>
          </w:r>
          <w:r>
            <w:instrText xml:space="preserve"> SUBJECT  \* MERGEFORMAT </w:instrText>
          </w:r>
          <w:r>
            <w:fldChar w:fldCharType="separate"/>
          </w:r>
          <w:r w:rsidR="00DC2EDA">
            <w:t>trade &amp; assistance review 2012-13</w:t>
          </w:r>
          <w:r>
            <w:fldChar w:fldCharType="end"/>
          </w:r>
        </w:p>
      </w:tc>
      <w:tc>
        <w:tcPr>
          <w:tcW w:w="6634" w:type="dxa"/>
        </w:tcPr>
        <w:p w:rsidR="00173A56" w:rsidRDefault="00173A56" w:rsidP="009934D9">
          <w:pPr>
            <w:pStyle w:val="Footer"/>
          </w:pPr>
        </w:p>
      </w:tc>
    </w:tr>
  </w:tbl>
  <w:p w:rsidR="00173A56" w:rsidRDefault="00173A5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73A56" w:rsidTr="00173A56">
      <w:trPr>
        <w:trHeight w:hRule="exact" w:val="740"/>
      </w:trPr>
      <w:tc>
        <w:tcPr>
          <w:tcW w:w="6634" w:type="dxa"/>
        </w:tcPr>
        <w:p w:rsidR="00173A56" w:rsidRDefault="00173A56" w:rsidP="00173A56">
          <w:pPr>
            <w:pStyle w:val="Footer"/>
            <w:ind w:right="360" w:firstLine="360"/>
          </w:pPr>
        </w:p>
      </w:tc>
      <w:tc>
        <w:tcPr>
          <w:tcW w:w="1644" w:type="dxa"/>
          <w:tcBorders>
            <w:top w:val="single" w:sz="6" w:space="0" w:color="auto"/>
          </w:tcBorders>
        </w:tcPr>
        <w:p w:rsidR="00173A56" w:rsidRDefault="007E4CD5" w:rsidP="00173A56">
          <w:pPr>
            <w:pStyle w:val="Footer"/>
          </w:pPr>
          <w:r>
            <w:fldChar w:fldCharType="begin"/>
          </w:r>
          <w:r>
            <w:instrText xml:space="preserve"> TITLE  \* MERGEFORMAT </w:instrText>
          </w:r>
          <w:r>
            <w:fldChar w:fldCharType="separate"/>
          </w:r>
          <w:r w:rsidR="00DC2EDA">
            <w:t>Recent developments in trade policy</w:t>
          </w:r>
          <w:r>
            <w:fldChar w:fldCharType="end"/>
          </w:r>
        </w:p>
      </w:tc>
      <w:tc>
        <w:tcPr>
          <w:tcW w:w="510" w:type="dxa"/>
          <w:tcBorders>
            <w:top w:val="single" w:sz="6" w:space="0" w:color="auto"/>
          </w:tcBorders>
        </w:tcPr>
        <w:p w:rsidR="00173A56" w:rsidRDefault="00173A56" w:rsidP="00173A56">
          <w:pPr>
            <w:pStyle w:val="Footer"/>
            <w:jc w:val="right"/>
          </w:pPr>
          <w:r>
            <w:rPr>
              <w:rStyle w:val="PageNumber"/>
            </w:rPr>
            <w:fldChar w:fldCharType="begin"/>
          </w:r>
          <w:r>
            <w:rPr>
              <w:rStyle w:val="PageNumber"/>
            </w:rPr>
            <w:instrText xml:space="preserve">PAGE  </w:instrText>
          </w:r>
          <w:r>
            <w:rPr>
              <w:rStyle w:val="PageNumber"/>
            </w:rPr>
            <w:fldChar w:fldCharType="separate"/>
          </w:r>
          <w:r w:rsidR="007E4CD5">
            <w:rPr>
              <w:rStyle w:val="PageNumber"/>
              <w:noProof/>
            </w:rPr>
            <w:t>101</w:t>
          </w:r>
          <w:r>
            <w:rPr>
              <w:rStyle w:val="PageNumber"/>
            </w:rPr>
            <w:fldChar w:fldCharType="end"/>
          </w:r>
        </w:p>
      </w:tc>
    </w:tr>
  </w:tbl>
  <w:p w:rsidR="00173A56" w:rsidRDefault="00173A56" w:rsidP="00497D7F">
    <w:pPr>
      <w:pStyle w:val="FooterEnd"/>
    </w:pPr>
  </w:p>
  <w:p w:rsidR="00173A56" w:rsidRDefault="00173A5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4D8" w:rsidRDefault="00B174D8">
      <w:r>
        <w:separator/>
      </w:r>
    </w:p>
  </w:footnote>
  <w:footnote w:type="continuationSeparator" w:id="0">
    <w:p w:rsidR="00B174D8" w:rsidRDefault="00B174D8">
      <w:r>
        <w:continuationSeparator/>
      </w:r>
    </w:p>
  </w:footnote>
  <w:footnote w:type="continuationNotice" w:id="1">
    <w:p w:rsidR="00B174D8" w:rsidRDefault="00B174D8"/>
  </w:footnote>
  <w:footnote w:id="2">
    <w:p w:rsidR="00173A56" w:rsidRDefault="00173A56">
      <w:pPr>
        <w:pStyle w:val="FootnoteText"/>
      </w:pPr>
      <w:r>
        <w:rPr>
          <w:rStyle w:val="FootnoteReference"/>
        </w:rPr>
        <w:footnoteRef/>
      </w:r>
      <w:r>
        <w:tab/>
        <w:t xml:space="preserve">The Australian Parliament does not have the constitutional power to amend a treaty signed by the </w:t>
      </w:r>
      <w:r w:rsidR="002B58E3">
        <w:t>e</w:t>
      </w:r>
      <w:r>
        <w:t xml:space="preserve">xecutive arm of </w:t>
      </w:r>
      <w:r w:rsidR="002B58E3">
        <w:t>g</w:t>
      </w:r>
      <w:r>
        <w:t>overnment. Current processes do not allow for independent, arms-length, review before an agreement is finalised and signed.</w:t>
      </w:r>
    </w:p>
  </w:footnote>
  <w:footnote w:id="3">
    <w:p w:rsidR="00173A56" w:rsidRDefault="00173A56">
      <w:pPr>
        <w:pStyle w:val="FootnoteText"/>
      </w:pPr>
      <w:r>
        <w:rPr>
          <w:rStyle w:val="FootnoteReference"/>
        </w:rPr>
        <w:footnoteRef/>
      </w:r>
      <w:r>
        <w:t xml:space="preserve"> </w:t>
      </w:r>
      <w:r>
        <w:tab/>
        <w:t xml:space="preserve">Australia and a number of these countries are also engaged in negotiations for the </w:t>
      </w:r>
      <w:proofErr w:type="spellStart"/>
      <w:r>
        <w:t>TPP</w:t>
      </w:r>
      <w:proofErr w:type="spellEnd"/>
      <w:r>
        <w:t>.</w:t>
      </w:r>
    </w:p>
  </w:footnote>
  <w:footnote w:id="4">
    <w:p w:rsidR="001F6B66" w:rsidRDefault="001F6B66" w:rsidP="001F6B66">
      <w:pPr>
        <w:pStyle w:val="FootnoteText"/>
      </w:pPr>
      <w:r>
        <w:rPr>
          <w:rStyle w:val="FootnoteReference"/>
        </w:rPr>
        <w:footnoteRef/>
      </w:r>
      <w:r>
        <w:tab/>
        <w:t>The diversity of approaches across agreements is also apparent when agreements are compared at the individual HS 6 digit rules commodity item level. For exam</w:t>
      </w:r>
      <w:r w:rsidR="00697290">
        <w:t xml:space="preserve">ple, using a disaggregated HS-6 </w:t>
      </w:r>
      <w:r>
        <w:t>digit approach</w:t>
      </w:r>
      <w:r w:rsidR="005A57FB">
        <w:t>,</w:t>
      </w:r>
      <w:r>
        <w:t xml:space="preserve"> 85 per cent of items would be counted as having rules that are CTC-based in the US agreement, compared to 78 per cent when the count is based on listed rules. Comparing the US and Korean agreements</w:t>
      </w:r>
      <w:r w:rsidR="00697290">
        <w:t xml:space="preserve"> on the basis of rules at the 6 </w:t>
      </w:r>
      <w:r>
        <w:t xml:space="preserve">digit item level, the 85 per cent counted as CTC-based in the US agreement would compare to 59 per cent in the Korea </w:t>
      </w:r>
      <w:r w:rsidR="009B2CF8">
        <w:t xml:space="preserve">agreement. </w:t>
      </w:r>
      <w:r>
        <w:t xml:space="preserve">Similarly, CTC or </w:t>
      </w:r>
      <w:proofErr w:type="spellStart"/>
      <w:r>
        <w:t>RVC</w:t>
      </w:r>
      <w:proofErr w:type="spellEnd"/>
      <w:r>
        <w:t xml:space="preserve"> rules account for 10 per cent and 2</w:t>
      </w:r>
      <w:r w:rsidR="005A57FB">
        <w:t>2 per cent of all rules, while o</w:t>
      </w:r>
      <w:r>
        <w:t>ther rules account for 3 per cent and 18 per cent of rules, respectively.</w:t>
      </w:r>
    </w:p>
  </w:footnote>
  <w:footnote w:id="5">
    <w:p w:rsidR="00173A56" w:rsidRDefault="00173A56">
      <w:pPr>
        <w:pStyle w:val="FootnoteText"/>
      </w:pPr>
      <w:r>
        <w:rPr>
          <w:rStyle w:val="FootnoteReference"/>
        </w:rPr>
        <w:footnoteRef/>
      </w:r>
      <w:r>
        <w:tab/>
        <w:t>Firms have the option of not utilising the preferential concessions available under the agreement to avoid these compliance costs but this effectively reduces the benefits that can stem from any agreement.</w:t>
      </w:r>
    </w:p>
  </w:footnote>
  <w:footnote w:id="6">
    <w:p w:rsidR="00173A56" w:rsidRDefault="00173A56">
      <w:pPr>
        <w:pStyle w:val="FootnoteText"/>
      </w:pPr>
      <w:r>
        <w:rPr>
          <w:rStyle w:val="FootnoteReference"/>
        </w:rPr>
        <w:footnoteRef/>
      </w:r>
      <w:r>
        <w:tab/>
      </w:r>
      <w:r w:rsidRPr="00322F13">
        <w:t>In addition to differing between agreements, the certification rules in preferential agreements differ from those in the Revised Kyoto Convention of 2006. The procedures from this Convention are now part of the implementation of the WTO Agreement on Trade Facilitation (ATF), an outcome of the WTO 9th Ministerial (Bali) Conference. The implementation guidance is provided in the new web tool introduced by the World Customs Organization (</w:t>
      </w:r>
      <w:proofErr w:type="spellStart"/>
      <w:r w:rsidRPr="00322F13">
        <w:t>WCO</w:t>
      </w:r>
      <w:proofErr w:type="spellEnd"/>
      <w:r w:rsidRPr="00322F13">
        <w:t> 2014).</w:t>
      </w:r>
      <w:r w:rsidRPr="00E544FE">
        <w:rPr>
          <w:rFonts w:ascii="Calibri" w:hAnsi="Calibri"/>
          <w:szCs w:val="22"/>
        </w:rPr>
        <w:t xml:space="preserve"> </w:t>
      </w:r>
    </w:p>
  </w:footnote>
  <w:footnote w:id="7">
    <w:p w:rsidR="00173A56" w:rsidRDefault="00173A56">
      <w:pPr>
        <w:pStyle w:val="FootnoteText"/>
      </w:pPr>
      <w:r>
        <w:rPr>
          <w:rStyle w:val="FootnoteReference"/>
        </w:rPr>
        <w:footnoteRef/>
      </w:r>
      <w:r>
        <w:tab/>
        <w:t>Currently, about 50 per cent of Australian tariff line items attract an MFN tariff of 5 per cent or less. Nearly all remaining tariff line items are zero rated. A relatively small number of mainly textile and clothing items currently have tariffs above 5 per cent. These tariffs are legislated to be reduced to 5 per cent on 1 January 2015.</w:t>
      </w:r>
    </w:p>
  </w:footnote>
  <w:footnote w:id="8">
    <w:p w:rsidR="00173A56" w:rsidRDefault="00173A56">
      <w:pPr>
        <w:pStyle w:val="FootnoteText"/>
      </w:pPr>
      <w:r>
        <w:rPr>
          <w:rStyle w:val="FootnoteReference"/>
        </w:rPr>
        <w:footnoteRef/>
      </w:r>
      <w:r>
        <w:t xml:space="preserve"> </w:t>
      </w:r>
      <w:r>
        <w:tab/>
        <w:t>These countries are Argentina, Brazil, Canada, Chile, China, Ecuador, the European Union, Egypt, Guatemala, India, Japan, the Republic of Korea, Malawi, Malaysia, Mexico, Moldova, New Zealand, Nicaragua, Nigeria, Norway</w:t>
      </w:r>
      <w:r w:rsidR="0001235B">
        <w:t>,</w:t>
      </w:r>
      <w:r>
        <w:t xml:space="preserve"> Oman, Panama, Peru, the Philippines, th</w:t>
      </w:r>
      <w:r w:rsidR="001B4951">
        <w:t>e</w:t>
      </w:r>
      <w:r>
        <w:t xml:space="preserve"> Russian Federation, Saudi Arabia, Singapore, South Africa, Chinese Taipei, Thailand, Trinidad and Tobago, Turkey, the United States, Uruguay, Zam</w:t>
      </w:r>
      <w:r w:rsidR="001B4951">
        <w:t>b</w:t>
      </w:r>
      <w:r>
        <w:t>ia and Zimbabwe.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73A56">
      <w:tc>
        <w:tcPr>
          <w:tcW w:w="2155" w:type="dxa"/>
          <w:tcBorders>
            <w:top w:val="single" w:sz="24" w:space="0" w:color="auto"/>
          </w:tcBorders>
        </w:tcPr>
        <w:p w:rsidR="00173A56" w:rsidRDefault="00173A56" w:rsidP="0019293B">
          <w:pPr>
            <w:pStyle w:val="HeaderEven"/>
          </w:pPr>
        </w:p>
      </w:tc>
      <w:tc>
        <w:tcPr>
          <w:tcW w:w="6634" w:type="dxa"/>
          <w:tcBorders>
            <w:top w:val="single" w:sz="6" w:space="0" w:color="auto"/>
          </w:tcBorders>
        </w:tcPr>
        <w:p w:rsidR="00173A56" w:rsidRDefault="00173A56" w:rsidP="0019293B">
          <w:pPr>
            <w:pStyle w:val="HeaderEven"/>
          </w:pPr>
        </w:p>
      </w:tc>
    </w:tr>
  </w:tbl>
  <w:p w:rsidR="00173A56" w:rsidRDefault="00173A5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3A56">
      <w:tc>
        <w:tcPr>
          <w:tcW w:w="6634" w:type="dxa"/>
          <w:tcBorders>
            <w:top w:val="single" w:sz="6" w:space="0" w:color="auto"/>
          </w:tcBorders>
        </w:tcPr>
        <w:p w:rsidR="00173A56" w:rsidRDefault="00173A56" w:rsidP="00E669E2">
          <w:pPr>
            <w:pStyle w:val="HeaderOdd"/>
          </w:pPr>
        </w:p>
      </w:tc>
      <w:tc>
        <w:tcPr>
          <w:tcW w:w="2155" w:type="dxa"/>
          <w:tcBorders>
            <w:top w:val="single" w:sz="24" w:space="0" w:color="auto"/>
          </w:tcBorders>
        </w:tcPr>
        <w:p w:rsidR="00173A56" w:rsidRDefault="00173A56" w:rsidP="00E669E2">
          <w:pPr>
            <w:pStyle w:val="HeaderOdd"/>
          </w:pPr>
        </w:p>
      </w:tc>
    </w:tr>
  </w:tbl>
  <w:p w:rsidR="00173A56" w:rsidRDefault="00173A5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4A84C3D"/>
    <w:multiLevelType w:val="multilevel"/>
    <w:tmpl w:val="EBA6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21275E6"/>
    <w:multiLevelType w:val="hybridMultilevel"/>
    <w:tmpl w:val="763EA3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1B280D37"/>
    <w:multiLevelType w:val="multilevel"/>
    <w:tmpl w:val="50D43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1">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2D21189C"/>
    <w:multiLevelType w:val="multilevel"/>
    <w:tmpl w:val="9B0E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5">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6">
    <w:nsid w:val="3BB4282C"/>
    <w:multiLevelType w:val="multilevel"/>
    <w:tmpl w:val="A9EE8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2156137"/>
    <w:multiLevelType w:val="hybridMultilevel"/>
    <w:tmpl w:val="347620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4303130"/>
    <w:multiLevelType w:val="multilevel"/>
    <w:tmpl w:val="59324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1">
    <w:nsid w:val="51F74561"/>
    <w:multiLevelType w:val="singleLevel"/>
    <w:tmpl w:val="ED98921A"/>
    <w:lvl w:ilvl="0">
      <w:start w:val="1"/>
      <w:numFmt w:val="decimal"/>
      <w:lvlText w:val="%1."/>
      <w:legacy w:legacy="1" w:legacySpace="0" w:legacyIndent="340"/>
      <w:lvlJc w:val="left"/>
      <w:pPr>
        <w:ind w:left="340" w:hanging="340"/>
      </w:pPr>
    </w:lvl>
  </w:abstractNum>
  <w:abstractNum w:abstractNumId="3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4">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6">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nsid w:val="5A096576"/>
    <w:multiLevelType w:val="singleLevel"/>
    <w:tmpl w:val="ED98921A"/>
    <w:lvl w:ilvl="0">
      <w:start w:val="1"/>
      <w:numFmt w:val="decimal"/>
      <w:lvlText w:val="%1."/>
      <w:legacy w:legacy="1" w:legacySpace="0" w:legacyIndent="340"/>
      <w:lvlJc w:val="left"/>
      <w:pPr>
        <w:ind w:left="340" w:hanging="340"/>
      </w:pPr>
    </w:lvl>
  </w:abstractNum>
  <w:abstractNum w:abstractNumId="3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60055F7F"/>
    <w:multiLevelType w:val="singleLevel"/>
    <w:tmpl w:val="ED98921A"/>
    <w:lvl w:ilvl="0">
      <w:start w:val="1"/>
      <w:numFmt w:val="decimal"/>
      <w:lvlText w:val="%1."/>
      <w:legacy w:legacy="1" w:legacySpace="0" w:legacyIndent="340"/>
      <w:lvlJc w:val="left"/>
      <w:pPr>
        <w:ind w:left="340" w:hanging="340"/>
      </w:pPr>
    </w:lvl>
  </w:abstractNum>
  <w:abstractNum w:abstractNumId="41">
    <w:nsid w:val="608E741E"/>
    <w:multiLevelType w:val="singleLevel"/>
    <w:tmpl w:val="ED98921A"/>
    <w:lvl w:ilvl="0">
      <w:start w:val="1"/>
      <w:numFmt w:val="decimal"/>
      <w:lvlText w:val="%1."/>
      <w:legacy w:legacy="1" w:legacySpace="0" w:legacyIndent="340"/>
      <w:lvlJc w:val="left"/>
      <w:pPr>
        <w:ind w:left="340" w:hanging="340"/>
      </w:pPr>
    </w:lvl>
  </w:abstractNum>
  <w:abstractNum w:abstractNumId="42">
    <w:nsid w:val="60C52EBD"/>
    <w:multiLevelType w:val="multilevel"/>
    <w:tmpl w:val="8AD0E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1320C1E"/>
    <w:multiLevelType w:val="singleLevel"/>
    <w:tmpl w:val="C444122C"/>
    <w:lvl w:ilvl="0">
      <w:start w:val="1"/>
      <w:numFmt w:val="decimal"/>
      <w:lvlText w:val="%1."/>
      <w:legacy w:legacy="1" w:legacySpace="0" w:legacyIndent="284"/>
      <w:lvlJc w:val="left"/>
      <w:pPr>
        <w:ind w:left="284" w:hanging="284"/>
      </w:pPr>
    </w:lvl>
  </w:abstractNum>
  <w:abstractNum w:abstractNumId="44">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6">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7">
    <w:nsid w:val="6B695D6B"/>
    <w:multiLevelType w:val="multilevel"/>
    <w:tmpl w:val="2FF4F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5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52">
    <w:nsid w:val="7AF8418C"/>
    <w:multiLevelType w:val="multilevel"/>
    <w:tmpl w:val="D78E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5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4"/>
  </w:num>
  <w:num w:numId="2">
    <w:abstractNumId w:val="51"/>
  </w:num>
  <w:num w:numId="3">
    <w:abstractNumId w:val="7"/>
  </w:num>
  <w:num w:numId="4">
    <w:abstractNumId w:val="32"/>
  </w:num>
  <w:num w:numId="5">
    <w:abstractNumId w:val="9"/>
  </w:num>
  <w:num w:numId="6">
    <w:abstractNumId w:val="45"/>
  </w:num>
  <w:num w:numId="7">
    <w:abstractNumId w:val="35"/>
  </w:num>
  <w:num w:numId="8">
    <w:abstractNumId w:val="53"/>
  </w:num>
  <w:num w:numId="9">
    <w:abstractNumId w:val="17"/>
  </w:num>
  <w:num w:numId="10">
    <w:abstractNumId w:val="33"/>
  </w:num>
  <w:num w:numId="11">
    <w:abstractNumId w:val="16"/>
  </w:num>
  <w:num w:numId="12">
    <w:abstractNumId w:val="15"/>
  </w:num>
  <w:num w:numId="13">
    <w:abstractNumId w:val="20"/>
  </w:num>
  <w:num w:numId="14">
    <w:abstractNumId w:val="22"/>
  </w:num>
  <w:num w:numId="15">
    <w:abstractNumId w:val="29"/>
  </w:num>
  <w:num w:numId="16">
    <w:abstractNumId w:val="11"/>
  </w:num>
  <w:num w:numId="17">
    <w:abstractNumId w:val="37"/>
  </w:num>
  <w:num w:numId="18">
    <w:abstractNumId w:val="27"/>
  </w:num>
  <w:num w:numId="19">
    <w:abstractNumId w:val="18"/>
  </w:num>
  <w:num w:numId="20">
    <w:abstractNumId w:val="10"/>
  </w:num>
  <w:num w:numId="21">
    <w:abstractNumId w:val="28"/>
  </w:num>
  <w:num w:numId="22">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52"/>
  </w:num>
  <w:num w:numId="24">
    <w:abstractNumId w:val="26"/>
  </w:num>
  <w:num w:numId="25">
    <w:abstractNumId w:val="47"/>
  </w:num>
  <w:num w:numId="26">
    <w:abstractNumId w:val="19"/>
  </w:num>
  <w:num w:numId="27">
    <w:abstractNumId w:val="42"/>
  </w:num>
  <w:num w:numId="28">
    <w:abstractNumId w:val="23"/>
  </w:num>
  <w:num w:numId="29">
    <w:abstractNumId w:val="32"/>
  </w:num>
  <w:num w:numId="30">
    <w:abstractNumId w:val="32"/>
  </w:num>
  <w:num w:numId="31">
    <w:abstractNumId w:val="35"/>
  </w:num>
  <w:num w:numId="32">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33">
    <w:abstractNumId w:val="5"/>
  </w:num>
  <w:num w:numId="34">
    <w:abstractNumId w:val="3"/>
  </w:num>
  <w:num w:numId="35">
    <w:abstractNumId w:val="2"/>
  </w:num>
  <w:num w:numId="36">
    <w:abstractNumId w:val="4"/>
  </w:num>
  <w:num w:numId="37">
    <w:abstractNumId w:val="1"/>
  </w:num>
  <w:num w:numId="38">
    <w:abstractNumId w:val="0"/>
  </w:num>
  <w:num w:numId="39">
    <w:abstractNumId w:val="13"/>
  </w:num>
  <w:num w:numId="40">
    <w:abstractNumId w:val="41"/>
  </w:num>
  <w:num w:numId="41">
    <w:abstractNumId w:val="44"/>
  </w:num>
  <w:num w:numId="42">
    <w:abstractNumId w:val="31"/>
  </w:num>
  <w:num w:numId="43">
    <w:abstractNumId w:val="34"/>
  </w:num>
  <w:num w:numId="44">
    <w:abstractNumId w:val="36"/>
  </w:num>
  <w:num w:numId="45">
    <w:abstractNumId w:val="50"/>
  </w:num>
  <w:num w:numId="46">
    <w:abstractNumId w:val="40"/>
  </w:num>
  <w:num w:numId="47">
    <w:abstractNumId w:val="46"/>
  </w:num>
  <w:num w:numId="48">
    <w:abstractNumId w:val="48"/>
  </w:num>
  <w:num w:numId="49">
    <w:abstractNumId w:val="38"/>
  </w:num>
  <w:num w:numId="50">
    <w:abstractNumId w:val="25"/>
  </w:num>
  <w:num w:numId="51">
    <w:abstractNumId w:val="54"/>
  </w:num>
  <w:num w:numId="52">
    <w:abstractNumId w:val="8"/>
  </w:num>
  <w:num w:numId="53">
    <w:abstractNumId w:val="21"/>
  </w:num>
  <w:num w:numId="54">
    <w:abstractNumId w:val="49"/>
  </w:num>
  <w:num w:numId="55">
    <w:abstractNumId w:val="39"/>
  </w:num>
  <w:num w:numId="56">
    <w:abstractNumId w:val="14"/>
  </w:num>
  <w:num w:numId="57">
    <w:abstractNumId w:val="43"/>
  </w:num>
  <w:num w:numId="58">
    <w:abstractNumId w:val="30"/>
  </w:num>
  <w:num w:numId="59">
    <w:abstractNumId w:val="1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cent developments in trade policy"/>
    <w:docVar w:name="ShortReportTitle" w:val="trade &amp; assistance review 2012-13"/>
  </w:docVars>
  <w:rsids>
    <w:rsidRoot w:val="00404F34"/>
    <w:rsid w:val="000002B2"/>
    <w:rsid w:val="00000360"/>
    <w:rsid w:val="00000752"/>
    <w:rsid w:val="000009F4"/>
    <w:rsid w:val="0000110F"/>
    <w:rsid w:val="00001471"/>
    <w:rsid w:val="00001A31"/>
    <w:rsid w:val="00001B02"/>
    <w:rsid w:val="00001CB0"/>
    <w:rsid w:val="00002228"/>
    <w:rsid w:val="00002785"/>
    <w:rsid w:val="00002ACB"/>
    <w:rsid w:val="00002F3E"/>
    <w:rsid w:val="00003A16"/>
    <w:rsid w:val="0000414A"/>
    <w:rsid w:val="00004DB4"/>
    <w:rsid w:val="00005074"/>
    <w:rsid w:val="00005829"/>
    <w:rsid w:val="0000586E"/>
    <w:rsid w:val="00005F56"/>
    <w:rsid w:val="000060F4"/>
    <w:rsid w:val="00006172"/>
    <w:rsid w:val="000064F2"/>
    <w:rsid w:val="000073B3"/>
    <w:rsid w:val="000079A3"/>
    <w:rsid w:val="00010426"/>
    <w:rsid w:val="000104AA"/>
    <w:rsid w:val="00010E33"/>
    <w:rsid w:val="0001150C"/>
    <w:rsid w:val="00011731"/>
    <w:rsid w:val="0001235B"/>
    <w:rsid w:val="00012559"/>
    <w:rsid w:val="00014FF6"/>
    <w:rsid w:val="00016932"/>
    <w:rsid w:val="0001700A"/>
    <w:rsid w:val="00020036"/>
    <w:rsid w:val="000205D7"/>
    <w:rsid w:val="00020C0F"/>
    <w:rsid w:val="00020D80"/>
    <w:rsid w:val="00021021"/>
    <w:rsid w:val="00021127"/>
    <w:rsid w:val="0002124C"/>
    <w:rsid w:val="00021CAF"/>
    <w:rsid w:val="00022481"/>
    <w:rsid w:val="000227D5"/>
    <w:rsid w:val="00022C6B"/>
    <w:rsid w:val="00023197"/>
    <w:rsid w:val="000231B3"/>
    <w:rsid w:val="00023C7F"/>
    <w:rsid w:val="00024346"/>
    <w:rsid w:val="000245AA"/>
    <w:rsid w:val="0002480E"/>
    <w:rsid w:val="0002558C"/>
    <w:rsid w:val="000264EB"/>
    <w:rsid w:val="000266FC"/>
    <w:rsid w:val="00026B64"/>
    <w:rsid w:val="00027C76"/>
    <w:rsid w:val="0003013C"/>
    <w:rsid w:val="0003056D"/>
    <w:rsid w:val="00031154"/>
    <w:rsid w:val="00031ADD"/>
    <w:rsid w:val="000321D2"/>
    <w:rsid w:val="0003411E"/>
    <w:rsid w:val="00034181"/>
    <w:rsid w:val="00034CA1"/>
    <w:rsid w:val="000352DF"/>
    <w:rsid w:val="000353E1"/>
    <w:rsid w:val="0003552C"/>
    <w:rsid w:val="00035595"/>
    <w:rsid w:val="00035817"/>
    <w:rsid w:val="0003599C"/>
    <w:rsid w:val="000359EA"/>
    <w:rsid w:val="00035B6D"/>
    <w:rsid w:val="0003664B"/>
    <w:rsid w:val="00036A50"/>
    <w:rsid w:val="00036A8C"/>
    <w:rsid w:val="00036C07"/>
    <w:rsid w:val="000379B7"/>
    <w:rsid w:val="000403ED"/>
    <w:rsid w:val="000408A9"/>
    <w:rsid w:val="00040B57"/>
    <w:rsid w:val="000410A1"/>
    <w:rsid w:val="0004111F"/>
    <w:rsid w:val="000419A2"/>
    <w:rsid w:val="00042B3C"/>
    <w:rsid w:val="00042B5E"/>
    <w:rsid w:val="000434BD"/>
    <w:rsid w:val="00043FD5"/>
    <w:rsid w:val="00044117"/>
    <w:rsid w:val="0004422F"/>
    <w:rsid w:val="00044765"/>
    <w:rsid w:val="000452CC"/>
    <w:rsid w:val="00045510"/>
    <w:rsid w:val="00045CA9"/>
    <w:rsid w:val="00045CE1"/>
    <w:rsid w:val="000465D3"/>
    <w:rsid w:val="000466F1"/>
    <w:rsid w:val="00046AEE"/>
    <w:rsid w:val="0005008B"/>
    <w:rsid w:val="000502B6"/>
    <w:rsid w:val="000507DE"/>
    <w:rsid w:val="000508A7"/>
    <w:rsid w:val="0005095D"/>
    <w:rsid w:val="00051371"/>
    <w:rsid w:val="00051A68"/>
    <w:rsid w:val="00051D0E"/>
    <w:rsid w:val="0005224C"/>
    <w:rsid w:val="000525D6"/>
    <w:rsid w:val="00052D8E"/>
    <w:rsid w:val="000543F2"/>
    <w:rsid w:val="000544DE"/>
    <w:rsid w:val="00055052"/>
    <w:rsid w:val="00055502"/>
    <w:rsid w:val="00055579"/>
    <w:rsid w:val="000559DE"/>
    <w:rsid w:val="00055BCF"/>
    <w:rsid w:val="00055FDB"/>
    <w:rsid w:val="000565B3"/>
    <w:rsid w:val="00057106"/>
    <w:rsid w:val="00057557"/>
    <w:rsid w:val="00057ED7"/>
    <w:rsid w:val="00060734"/>
    <w:rsid w:val="00060922"/>
    <w:rsid w:val="000617F8"/>
    <w:rsid w:val="00061A56"/>
    <w:rsid w:val="00061EF4"/>
    <w:rsid w:val="0006248B"/>
    <w:rsid w:val="0006293A"/>
    <w:rsid w:val="000638EB"/>
    <w:rsid w:val="00063977"/>
    <w:rsid w:val="00063C21"/>
    <w:rsid w:val="00063F11"/>
    <w:rsid w:val="000645C9"/>
    <w:rsid w:val="00065260"/>
    <w:rsid w:val="00066107"/>
    <w:rsid w:val="000668FF"/>
    <w:rsid w:val="00066B2E"/>
    <w:rsid w:val="00066D00"/>
    <w:rsid w:val="00066EC5"/>
    <w:rsid w:val="00067096"/>
    <w:rsid w:val="000677AD"/>
    <w:rsid w:val="00067B1C"/>
    <w:rsid w:val="00070791"/>
    <w:rsid w:val="00070A1B"/>
    <w:rsid w:val="0007108B"/>
    <w:rsid w:val="0007150B"/>
    <w:rsid w:val="000719F1"/>
    <w:rsid w:val="00071DF9"/>
    <w:rsid w:val="00071E3D"/>
    <w:rsid w:val="00071F23"/>
    <w:rsid w:val="0007224B"/>
    <w:rsid w:val="000728BC"/>
    <w:rsid w:val="0007297D"/>
    <w:rsid w:val="0007370B"/>
    <w:rsid w:val="00074FD7"/>
    <w:rsid w:val="000750B0"/>
    <w:rsid w:val="00075A93"/>
    <w:rsid w:val="000765CA"/>
    <w:rsid w:val="000772D9"/>
    <w:rsid w:val="00077E8C"/>
    <w:rsid w:val="00081EC0"/>
    <w:rsid w:val="0008224A"/>
    <w:rsid w:val="00082483"/>
    <w:rsid w:val="0008298B"/>
    <w:rsid w:val="00082BDD"/>
    <w:rsid w:val="00082C38"/>
    <w:rsid w:val="00082F9A"/>
    <w:rsid w:val="00083404"/>
    <w:rsid w:val="0008398E"/>
    <w:rsid w:val="00083FAB"/>
    <w:rsid w:val="00084EE5"/>
    <w:rsid w:val="0008527E"/>
    <w:rsid w:val="000859BD"/>
    <w:rsid w:val="00085A31"/>
    <w:rsid w:val="000865A5"/>
    <w:rsid w:val="0008687C"/>
    <w:rsid w:val="00086B95"/>
    <w:rsid w:val="00086E5C"/>
    <w:rsid w:val="0008717B"/>
    <w:rsid w:val="00087CF6"/>
    <w:rsid w:val="00087E10"/>
    <w:rsid w:val="00090E96"/>
    <w:rsid w:val="00091206"/>
    <w:rsid w:val="0009155F"/>
    <w:rsid w:val="0009209C"/>
    <w:rsid w:val="00092511"/>
    <w:rsid w:val="00092C5C"/>
    <w:rsid w:val="00092CF1"/>
    <w:rsid w:val="00093697"/>
    <w:rsid w:val="000938F5"/>
    <w:rsid w:val="000939E7"/>
    <w:rsid w:val="00094087"/>
    <w:rsid w:val="0009435C"/>
    <w:rsid w:val="000958A3"/>
    <w:rsid w:val="00095C0F"/>
    <w:rsid w:val="00095EA2"/>
    <w:rsid w:val="000965C1"/>
    <w:rsid w:val="00096692"/>
    <w:rsid w:val="00096844"/>
    <w:rsid w:val="00096C76"/>
    <w:rsid w:val="00096CA1"/>
    <w:rsid w:val="00096E55"/>
    <w:rsid w:val="000970FE"/>
    <w:rsid w:val="0009729B"/>
    <w:rsid w:val="00097513"/>
    <w:rsid w:val="00097B76"/>
    <w:rsid w:val="00097EF1"/>
    <w:rsid w:val="000A0128"/>
    <w:rsid w:val="000A05C9"/>
    <w:rsid w:val="000A1C94"/>
    <w:rsid w:val="000A1CA5"/>
    <w:rsid w:val="000A3B4B"/>
    <w:rsid w:val="000A4103"/>
    <w:rsid w:val="000A4B16"/>
    <w:rsid w:val="000A60E2"/>
    <w:rsid w:val="000A60EA"/>
    <w:rsid w:val="000A6834"/>
    <w:rsid w:val="000A6AB2"/>
    <w:rsid w:val="000A6FBE"/>
    <w:rsid w:val="000A6FC5"/>
    <w:rsid w:val="000B007E"/>
    <w:rsid w:val="000B00ED"/>
    <w:rsid w:val="000B08F0"/>
    <w:rsid w:val="000B0946"/>
    <w:rsid w:val="000B0AC2"/>
    <w:rsid w:val="000B1024"/>
    <w:rsid w:val="000B141A"/>
    <w:rsid w:val="000B1CD7"/>
    <w:rsid w:val="000B26B6"/>
    <w:rsid w:val="000B27CF"/>
    <w:rsid w:val="000B2901"/>
    <w:rsid w:val="000B30D4"/>
    <w:rsid w:val="000B30FB"/>
    <w:rsid w:val="000B34D0"/>
    <w:rsid w:val="000B44AB"/>
    <w:rsid w:val="000B4550"/>
    <w:rsid w:val="000B47C3"/>
    <w:rsid w:val="000B48A6"/>
    <w:rsid w:val="000B5158"/>
    <w:rsid w:val="000B5758"/>
    <w:rsid w:val="000B601B"/>
    <w:rsid w:val="000B65A7"/>
    <w:rsid w:val="000B6C57"/>
    <w:rsid w:val="000B7275"/>
    <w:rsid w:val="000B79F2"/>
    <w:rsid w:val="000B7B35"/>
    <w:rsid w:val="000C03A7"/>
    <w:rsid w:val="000C0616"/>
    <w:rsid w:val="000C0B70"/>
    <w:rsid w:val="000C1572"/>
    <w:rsid w:val="000C1837"/>
    <w:rsid w:val="000C1918"/>
    <w:rsid w:val="000C1F11"/>
    <w:rsid w:val="000C207E"/>
    <w:rsid w:val="000C2269"/>
    <w:rsid w:val="000C2C2E"/>
    <w:rsid w:val="000C300A"/>
    <w:rsid w:val="000C3560"/>
    <w:rsid w:val="000C3AA5"/>
    <w:rsid w:val="000C422B"/>
    <w:rsid w:val="000C4341"/>
    <w:rsid w:val="000C4744"/>
    <w:rsid w:val="000C4DDD"/>
    <w:rsid w:val="000C5B5A"/>
    <w:rsid w:val="000C5BCC"/>
    <w:rsid w:val="000C65C4"/>
    <w:rsid w:val="000C68CF"/>
    <w:rsid w:val="000D16A7"/>
    <w:rsid w:val="000D1EB9"/>
    <w:rsid w:val="000D2DB0"/>
    <w:rsid w:val="000D4DFD"/>
    <w:rsid w:val="000D563E"/>
    <w:rsid w:val="000D5BB7"/>
    <w:rsid w:val="000D62DB"/>
    <w:rsid w:val="000D63F6"/>
    <w:rsid w:val="000D6C62"/>
    <w:rsid w:val="000D70A6"/>
    <w:rsid w:val="000D75C4"/>
    <w:rsid w:val="000D7722"/>
    <w:rsid w:val="000D7EC8"/>
    <w:rsid w:val="000E1100"/>
    <w:rsid w:val="000E12D4"/>
    <w:rsid w:val="000E15EF"/>
    <w:rsid w:val="000E2237"/>
    <w:rsid w:val="000E2830"/>
    <w:rsid w:val="000E2C87"/>
    <w:rsid w:val="000E3655"/>
    <w:rsid w:val="000E3B69"/>
    <w:rsid w:val="000E4846"/>
    <w:rsid w:val="000E5921"/>
    <w:rsid w:val="000E5CAD"/>
    <w:rsid w:val="000E6548"/>
    <w:rsid w:val="000E6B42"/>
    <w:rsid w:val="000E71F2"/>
    <w:rsid w:val="000E7571"/>
    <w:rsid w:val="000E7752"/>
    <w:rsid w:val="000E7B67"/>
    <w:rsid w:val="000F0035"/>
    <w:rsid w:val="000F0369"/>
    <w:rsid w:val="000F06D1"/>
    <w:rsid w:val="000F06D6"/>
    <w:rsid w:val="000F078C"/>
    <w:rsid w:val="000F13A3"/>
    <w:rsid w:val="000F16DE"/>
    <w:rsid w:val="000F1AFC"/>
    <w:rsid w:val="000F1FAB"/>
    <w:rsid w:val="000F22BF"/>
    <w:rsid w:val="000F2538"/>
    <w:rsid w:val="000F27C9"/>
    <w:rsid w:val="000F2D56"/>
    <w:rsid w:val="000F307E"/>
    <w:rsid w:val="000F3714"/>
    <w:rsid w:val="000F383C"/>
    <w:rsid w:val="000F395C"/>
    <w:rsid w:val="000F39C4"/>
    <w:rsid w:val="000F3D2F"/>
    <w:rsid w:val="000F420B"/>
    <w:rsid w:val="000F4D32"/>
    <w:rsid w:val="000F5338"/>
    <w:rsid w:val="000F6064"/>
    <w:rsid w:val="000F6CD4"/>
    <w:rsid w:val="000F71BC"/>
    <w:rsid w:val="000F7400"/>
    <w:rsid w:val="000F74BA"/>
    <w:rsid w:val="000F7947"/>
    <w:rsid w:val="001000BA"/>
    <w:rsid w:val="0010028C"/>
    <w:rsid w:val="0010051C"/>
    <w:rsid w:val="00100C72"/>
    <w:rsid w:val="00100CEE"/>
    <w:rsid w:val="001018B3"/>
    <w:rsid w:val="001021C8"/>
    <w:rsid w:val="00102A32"/>
    <w:rsid w:val="00102F88"/>
    <w:rsid w:val="0010333B"/>
    <w:rsid w:val="00103451"/>
    <w:rsid w:val="001037E5"/>
    <w:rsid w:val="00103C77"/>
    <w:rsid w:val="00103CA8"/>
    <w:rsid w:val="0010418E"/>
    <w:rsid w:val="001043F0"/>
    <w:rsid w:val="001046F5"/>
    <w:rsid w:val="00104C5A"/>
    <w:rsid w:val="001059F6"/>
    <w:rsid w:val="00105EDE"/>
    <w:rsid w:val="00106B2A"/>
    <w:rsid w:val="00106B90"/>
    <w:rsid w:val="001070CD"/>
    <w:rsid w:val="00107FA0"/>
    <w:rsid w:val="00110116"/>
    <w:rsid w:val="001103C4"/>
    <w:rsid w:val="00110668"/>
    <w:rsid w:val="001111DC"/>
    <w:rsid w:val="00112047"/>
    <w:rsid w:val="001120C2"/>
    <w:rsid w:val="001127C1"/>
    <w:rsid w:val="001128DA"/>
    <w:rsid w:val="00113319"/>
    <w:rsid w:val="001145B8"/>
    <w:rsid w:val="00114626"/>
    <w:rsid w:val="00114905"/>
    <w:rsid w:val="00114A97"/>
    <w:rsid w:val="00114AA6"/>
    <w:rsid w:val="0011516B"/>
    <w:rsid w:val="001154EB"/>
    <w:rsid w:val="001155AD"/>
    <w:rsid w:val="001157DD"/>
    <w:rsid w:val="001161C8"/>
    <w:rsid w:val="001167B7"/>
    <w:rsid w:val="0011689B"/>
    <w:rsid w:val="0011742A"/>
    <w:rsid w:val="001174D0"/>
    <w:rsid w:val="001178F0"/>
    <w:rsid w:val="00120072"/>
    <w:rsid w:val="00121944"/>
    <w:rsid w:val="0012198F"/>
    <w:rsid w:val="00121F2E"/>
    <w:rsid w:val="00122DF1"/>
    <w:rsid w:val="00122F69"/>
    <w:rsid w:val="00123AF1"/>
    <w:rsid w:val="00123C2A"/>
    <w:rsid w:val="00123C3F"/>
    <w:rsid w:val="00123E60"/>
    <w:rsid w:val="00123F7F"/>
    <w:rsid w:val="001243C2"/>
    <w:rsid w:val="00124B34"/>
    <w:rsid w:val="0012505E"/>
    <w:rsid w:val="00125184"/>
    <w:rsid w:val="001252E1"/>
    <w:rsid w:val="0012607F"/>
    <w:rsid w:val="00126C52"/>
    <w:rsid w:val="00126C94"/>
    <w:rsid w:val="00126EB8"/>
    <w:rsid w:val="0012716E"/>
    <w:rsid w:val="00127219"/>
    <w:rsid w:val="001274D4"/>
    <w:rsid w:val="001275EA"/>
    <w:rsid w:val="0012786D"/>
    <w:rsid w:val="001279B6"/>
    <w:rsid w:val="001301E0"/>
    <w:rsid w:val="00130777"/>
    <w:rsid w:val="0013152E"/>
    <w:rsid w:val="0013210C"/>
    <w:rsid w:val="00132446"/>
    <w:rsid w:val="0013250B"/>
    <w:rsid w:val="001325C6"/>
    <w:rsid w:val="001337BE"/>
    <w:rsid w:val="001340D4"/>
    <w:rsid w:val="0013426B"/>
    <w:rsid w:val="00134B2E"/>
    <w:rsid w:val="0013545A"/>
    <w:rsid w:val="0013563C"/>
    <w:rsid w:val="00135AC6"/>
    <w:rsid w:val="00135D7F"/>
    <w:rsid w:val="00135D84"/>
    <w:rsid w:val="001363AA"/>
    <w:rsid w:val="00136445"/>
    <w:rsid w:val="00136DA9"/>
    <w:rsid w:val="0013752D"/>
    <w:rsid w:val="0013788F"/>
    <w:rsid w:val="001379F0"/>
    <w:rsid w:val="00140034"/>
    <w:rsid w:val="00140D3D"/>
    <w:rsid w:val="00141F3D"/>
    <w:rsid w:val="0014215E"/>
    <w:rsid w:val="00143028"/>
    <w:rsid w:val="001430E4"/>
    <w:rsid w:val="00143C5E"/>
    <w:rsid w:val="001440C9"/>
    <w:rsid w:val="00144303"/>
    <w:rsid w:val="0014494B"/>
    <w:rsid w:val="001449D2"/>
    <w:rsid w:val="00144CBA"/>
    <w:rsid w:val="00145246"/>
    <w:rsid w:val="00145865"/>
    <w:rsid w:val="0014618C"/>
    <w:rsid w:val="001464DE"/>
    <w:rsid w:val="00146779"/>
    <w:rsid w:val="00146ABF"/>
    <w:rsid w:val="0014710E"/>
    <w:rsid w:val="00147136"/>
    <w:rsid w:val="00147162"/>
    <w:rsid w:val="00147309"/>
    <w:rsid w:val="00147A5F"/>
    <w:rsid w:val="001504FC"/>
    <w:rsid w:val="00150607"/>
    <w:rsid w:val="00150CF5"/>
    <w:rsid w:val="001516CD"/>
    <w:rsid w:val="0015173B"/>
    <w:rsid w:val="00151AA8"/>
    <w:rsid w:val="00151BEB"/>
    <w:rsid w:val="00151C1A"/>
    <w:rsid w:val="00153658"/>
    <w:rsid w:val="00153AAC"/>
    <w:rsid w:val="00153F12"/>
    <w:rsid w:val="00153FAC"/>
    <w:rsid w:val="00153FE9"/>
    <w:rsid w:val="00154660"/>
    <w:rsid w:val="001555F8"/>
    <w:rsid w:val="00156BB6"/>
    <w:rsid w:val="00156D8F"/>
    <w:rsid w:val="00156DE2"/>
    <w:rsid w:val="001570CE"/>
    <w:rsid w:val="00157EA7"/>
    <w:rsid w:val="0016021C"/>
    <w:rsid w:val="0016117C"/>
    <w:rsid w:val="00161277"/>
    <w:rsid w:val="0016161A"/>
    <w:rsid w:val="00161A58"/>
    <w:rsid w:val="00161DF1"/>
    <w:rsid w:val="00162A7B"/>
    <w:rsid w:val="00163239"/>
    <w:rsid w:val="0016327F"/>
    <w:rsid w:val="00163631"/>
    <w:rsid w:val="001637C6"/>
    <w:rsid w:val="00163DD2"/>
    <w:rsid w:val="001640FC"/>
    <w:rsid w:val="00165305"/>
    <w:rsid w:val="00165938"/>
    <w:rsid w:val="00165CD1"/>
    <w:rsid w:val="0016602C"/>
    <w:rsid w:val="001661C8"/>
    <w:rsid w:val="00166369"/>
    <w:rsid w:val="001663EE"/>
    <w:rsid w:val="00167186"/>
    <w:rsid w:val="00167568"/>
    <w:rsid w:val="0016786B"/>
    <w:rsid w:val="00167DB6"/>
    <w:rsid w:val="0017043D"/>
    <w:rsid w:val="00170536"/>
    <w:rsid w:val="001707ED"/>
    <w:rsid w:val="00170979"/>
    <w:rsid w:val="001713A9"/>
    <w:rsid w:val="001734C1"/>
    <w:rsid w:val="00173A56"/>
    <w:rsid w:val="00173F06"/>
    <w:rsid w:val="00173F39"/>
    <w:rsid w:val="001741C3"/>
    <w:rsid w:val="00174AF0"/>
    <w:rsid w:val="00174C7F"/>
    <w:rsid w:val="00174DE8"/>
    <w:rsid w:val="0017574A"/>
    <w:rsid w:val="00175991"/>
    <w:rsid w:val="00175A69"/>
    <w:rsid w:val="00175E5B"/>
    <w:rsid w:val="001763FD"/>
    <w:rsid w:val="00176C7C"/>
    <w:rsid w:val="0017721B"/>
    <w:rsid w:val="001778A7"/>
    <w:rsid w:val="00180395"/>
    <w:rsid w:val="00181443"/>
    <w:rsid w:val="00181A0C"/>
    <w:rsid w:val="00181B49"/>
    <w:rsid w:val="00181F9D"/>
    <w:rsid w:val="00182151"/>
    <w:rsid w:val="00182590"/>
    <w:rsid w:val="00182BCD"/>
    <w:rsid w:val="001837A1"/>
    <w:rsid w:val="0018388E"/>
    <w:rsid w:val="00183E82"/>
    <w:rsid w:val="001840E4"/>
    <w:rsid w:val="00184633"/>
    <w:rsid w:val="00185086"/>
    <w:rsid w:val="00185770"/>
    <w:rsid w:val="00186723"/>
    <w:rsid w:val="001872C0"/>
    <w:rsid w:val="0018749C"/>
    <w:rsid w:val="001875BF"/>
    <w:rsid w:val="001878BB"/>
    <w:rsid w:val="0019010B"/>
    <w:rsid w:val="001908CC"/>
    <w:rsid w:val="00191537"/>
    <w:rsid w:val="00191AE0"/>
    <w:rsid w:val="0019293B"/>
    <w:rsid w:val="00192F16"/>
    <w:rsid w:val="001935EA"/>
    <w:rsid w:val="0019426B"/>
    <w:rsid w:val="00194B80"/>
    <w:rsid w:val="00195260"/>
    <w:rsid w:val="0019543E"/>
    <w:rsid w:val="00195E49"/>
    <w:rsid w:val="0019670D"/>
    <w:rsid w:val="001973EC"/>
    <w:rsid w:val="0019767C"/>
    <w:rsid w:val="00197A5E"/>
    <w:rsid w:val="00197E94"/>
    <w:rsid w:val="001A012A"/>
    <w:rsid w:val="001A0758"/>
    <w:rsid w:val="001A0F97"/>
    <w:rsid w:val="001A1140"/>
    <w:rsid w:val="001A1163"/>
    <w:rsid w:val="001A1878"/>
    <w:rsid w:val="001A25CB"/>
    <w:rsid w:val="001A3D3F"/>
    <w:rsid w:val="001A3DAC"/>
    <w:rsid w:val="001A4947"/>
    <w:rsid w:val="001A50ED"/>
    <w:rsid w:val="001A5898"/>
    <w:rsid w:val="001A614E"/>
    <w:rsid w:val="001A6973"/>
    <w:rsid w:val="001A6D79"/>
    <w:rsid w:val="001A6DE5"/>
    <w:rsid w:val="001A6F5F"/>
    <w:rsid w:val="001A751E"/>
    <w:rsid w:val="001A76F3"/>
    <w:rsid w:val="001A7734"/>
    <w:rsid w:val="001A7AFF"/>
    <w:rsid w:val="001B02C7"/>
    <w:rsid w:val="001B099C"/>
    <w:rsid w:val="001B2528"/>
    <w:rsid w:val="001B2626"/>
    <w:rsid w:val="001B272C"/>
    <w:rsid w:val="001B2870"/>
    <w:rsid w:val="001B3310"/>
    <w:rsid w:val="001B40D5"/>
    <w:rsid w:val="001B41F5"/>
    <w:rsid w:val="001B4951"/>
    <w:rsid w:val="001B5070"/>
    <w:rsid w:val="001B6112"/>
    <w:rsid w:val="001B6DBD"/>
    <w:rsid w:val="001B6DCF"/>
    <w:rsid w:val="001B77BD"/>
    <w:rsid w:val="001B7A96"/>
    <w:rsid w:val="001C03E3"/>
    <w:rsid w:val="001C0865"/>
    <w:rsid w:val="001C0EC8"/>
    <w:rsid w:val="001C100D"/>
    <w:rsid w:val="001C11B2"/>
    <w:rsid w:val="001C17AB"/>
    <w:rsid w:val="001C1CDD"/>
    <w:rsid w:val="001C21A1"/>
    <w:rsid w:val="001C2547"/>
    <w:rsid w:val="001C3ABA"/>
    <w:rsid w:val="001C49EE"/>
    <w:rsid w:val="001C54F0"/>
    <w:rsid w:val="001C6CD3"/>
    <w:rsid w:val="001C7871"/>
    <w:rsid w:val="001C7C99"/>
    <w:rsid w:val="001D05A8"/>
    <w:rsid w:val="001D14FE"/>
    <w:rsid w:val="001D168F"/>
    <w:rsid w:val="001D30F3"/>
    <w:rsid w:val="001D44C4"/>
    <w:rsid w:val="001D554C"/>
    <w:rsid w:val="001D5C1A"/>
    <w:rsid w:val="001D5FA2"/>
    <w:rsid w:val="001D6302"/>
    <w:rsid w:val="001D6411"/>
    <w:rsid w:val="001D6B4B"/>
    <w:rsid w:val="001D6BD3"/>
    <w:rsid w:val="001D7195"/>
    <w:rsid w:val="001E00E1"/>
    <w:rsid w:val="001E0BE5"/>
    <w:rsid w:val="001E10C4"/>
    <w:rsid w:val="001E10EA"/>
    <w:rsid w:val="001E12D7"/>
    <w:rsid w:val="001E1880"/>
    <w:rsid w:val="001E1AA3"/>
    <w:rsid w:val="001E1FDF"/>
    <w:rsid w:val="001E2DFF"/>
    <w:rsid w:val="001E4009"/>
    <w:rsid w:val="001E4E0B"/>
    <w:rsid w:val="001E5527"/>
    <w:rsid w:val="001E5629"/>
    <w:rsid w:val="001E6346"/>
    <w:rsid w:val="001E6BBB"/>
    <w:rsid w:val="001E6CA2"/>
    <w:rsid w:val="001E706B"/>
    <w:rsid w:val="001E74E6"/>
    <w:rsid w:val="001E76D3"/>
    <w:rsid w:val="001E7781"/>
    <w:rsid w:val="001E7BE8"/>
    <w:rsid w:val="001E7F25"/>
    <w:rsid w:val="001F0248"/>
    <w:rsid w:val="001F141F"/>
    <w:rsid w:val="001F1DC1"/>
    <w:rsid w:val="001F2573"/>
    <w:rsid w:val="001F3A1D"/>
    <w:rsid w:val="001F3B8D"/>
    <w:rsid w:val="001F3E78"/>
    <w:rsid w:val="001F3EB3"/>
    <w:rsid w:val="001F4A40"/>
    <w:rsid w:val="001F4B20"/>
    <w:rsid w:val="001F4F86"/>
    <w:rsid w:val="001F5439"/>
    <w:rsid w:val="001F5B41"/>
    <w:rsid w:val="001F5F85"/>
    <w:rsid w:val="001F635D"/>
    <w:rsid w:val="001F64EF"/>
    <w:rsid w:val="001F665B"/>
    <w:rsid w:val="001F6A2D"/>
    <w:rsid w:val="001F6AF3"/>
    <w:rsid w:val="001F6B66"/>
    <w:rsid w:val="001F6EE1"/>
    <w:rsid w:val="001F7434"/>
    <w:rsid w:val="001F7AAB"/>
    <w:rsid w:val="0020037D"/>
    <w:rsid w:val="00200C10"/>
    <w:rsid w:val="00200CFD"/>
    <w:rsid w:val="00201C30"/>
    <w:rsid w:val="00202617"/>
    <w:rsid w:val="002026E3"/>
    <w:rsid w:val="00202AA5"/>
    <w:rsid w:val="00202C2C"/>
    <w:rsid w:val="002031C9"/>
    <w:rsid w:val="002032A5"/>
    <w:rsid w:val="00203333"/>
    <w:rsid w:val="00203F3C"/>
    <w:rsid w:val="0020417A"/>
    <w:rsid w:val="00204436"/>
    <w:rsid w:val="0020508F"/>
    <w:rsid w:val="0020642A"/>
    <w:rsid w:val="002067BB"/>
    <w:rsid w:val="0020691E"/>
    <w:rsid w:val="002069D6"/>
    <w:rsid w:val="00207255"/>
    <w:rsid w:val="00210639"/>
    <w:rsid w:val="002115C8"/>
    <w:rsid w:val="00211FBF"/>
    <w:rsid w:val="002125E7"/>
    <w:rsid w:val="00212EC1"/>
    <w:rsid w:val="00213074"/>
    <w:rsid w:val="002135AB"/>
    <w:rsid w:val="00213D38"/>
    <w:rsid w:val="002143E7"/>
    <w:rsid w:val="002144BE"/>
    <w:rsid w:val="002147E3"/>
    <w:rsid w:val="00214BB2"/>
    <w:rsid w:val="00214E8A"/>
    <w:rsid w:val="002150D3"/>
    <w:rsid w:val="002153F6"/>
    <w:rsid w:val="002168F6"/>
    <w:rsid w:val="00216E7C"/>
    <w:rsid w:val="0021701D"/>
    <w:rsid w:val="002172D1"/>
    <w:rsid w:val="00217A80"/>
    <w:rsid w:val="002201C8"/>
    <w:rsid w:val="00220E0E"/>
    <w:rsid w:val="00220F6E"/>
    <w:rsid w:val="00221815"/>
    <w:rsid w:val="00221E87"/>
    <w:rsid w:val="0022222E"/>
    <w:rsid w:val="00222BC4"/>
    <w:rsid w:val="0022302C"/>
    <w:rsid w:val="002232A5"/>
    <w:rsid w:val="00223303"/>
    <w:rsid w:val="00223563"/>
    <w:rsid w:val="0022376B"/>
    <w:rsid w:val="00223808"/>
    <w:rsid w:val="00223A9A"/>
    <w:rsid w:val="00223D5D"/>
    <w:rsid w:val="00224480"/>
    <w:rsid w:val="002247F6"/>
    <w:rsid w:val="00224E52"/>
    <w:rsid w:val="00224FCA"/>
    <w:rsid w:val="002257D6"/>
    <w:rsid w:val="00226116"/>
    <w:rsid w:val="0022647D"/>
    <w:rsid w:val="0022689E"/>
    <w:rsid w:val="00226BBA"/>
    <w:rsid w:val="0022750E"/>
    <w:rsid w:val="00227AC1"/>
    <w:rsid w:val="00230318"/>
    <w:rsid w:val="0023050E"/>
    <w:rsid w:val="002311E8"/>
    <w:rsid w:val="002313F8"/>
    <w:rsid w:val="0023145D"/>
    <w:rsid w:val="002315D3"/>
    <w:rsid w:val="00231A79"/>
    <w:rsid w:val="00231BA5"/>
    <w:rsid w:val="00232523"/>
    <w:rsid w:val="00232B30"/>
    <w:rsid w:val="00232FF3"/>
    <w:rsid w:val="002337B4"/>
    <w:rsid w:val="00233CA3"/>
    <w:rsid w:val="00233DAB"/>
    <w:rsid w:val="0023431B"/>
    <w:rsid w:val="00235717"/>
    <w:rsid w:val="00235A04"/>
    <w:rsid w:val="00235F62"/>
    <w:rsid w:val="00236095"/>
    <w:rsid w:val="00236413"/>
    <w:rsid w:val="00236C5E"/>
    <w:rsid w:val="00236EB5"/>
    <w:rsid w:val="0023727D"/>
    <w:rsid w:val="002373CD"/>
    <w:rsid w:val="00237F70"/>
    <w:rsid w:val="00240E11"/>
    <w:rsid w:val="00241093"/>
    <w:rsid w:val="0024162A"/>
    <w:rsid w:val="00241E4C"/>
    <w:rsid w:val="00242279"/>
    <w:rsid w:val="0024245C"/>
    <w:rsid w:val="0024293E"/>
    <w:rsid w:val="00242FAA"/>
    <w:rsid w:val="0024371C"/>
    <w:rsid w:val="00244FB0"/>
    <w:rsid w:val="0024531E"/>
    <w:rsid w:val="00245729"/>
    <w:rsid w:val="00245B0B"/>
    <w:rsid w:val="00245C82"/>
    <w:rsid w:val="00245CC7"/>
    <w:rsid w:val="00246755"/>
    <w:rsid w:val="002478D7"/>
    <w:rsid w:val="0025089C"/>
    <w:rsid w:val="00250FDF"/>
    <w:rsid w:val="002510CF"/>
    <w:rsid w:val="00251637"/>
    <w:rsid w:val="0025269E"/>
    <w:rsid w:val="00252D36"/>
    <w:rsid w:val="00253260"/>
    <w:rsid w:val="0025346B"/>
    <w:rsid w:val="002534EF"/>
    <w:rsid w:val="0025419E"/>
    <w:rsid w:val="002542E4"/>
    <w:rsid w:val="00254877"/>
    <w:rsid w:val="00254966"/>
    <w:rsid w:val="002551D0"/>
    <w:rsid w:val="00255E06"/>
    <w:rsid w:val="00255EC5"/>
    <w:rsid w:val="00256A14"/>
    <w:rsid w:val="00256B17"/>
    <w:rsid w:val="00257145"/>
    <w:rsid w:val="00257246"/>
    <w:rsid w:val="002574EB"/>
    <w:rsid w:val="0025784F"/>
    <w:rsid w:val="00257BCD"/>
    <w:rsid w:val="00257C60"/>
    <w:rsid w:val="00257F1D"/>
    <w:rsid w:val="00261965"/>
    <w:rsid w:val="00261CAD"/>
    <w:rsid w:val="00261D62"/>
    <w:rsid w:val="0026275C"/>
    <w:rsid w:val="002638E5"/>
    <w:rsid w:val="00263BB0"/>
    <w:rsid w:val="00266683"/>
    <w:rsid w:val="002671D8"/>
    <w:rsid w:val="002675DA"/>
    <w:rsid w:val="002678D4"/>
    <w:rsid w:val="002701F7"/>
    <w:rsid w:val="00270207"/>
    <w:rsid w:val="0027127B"/>
    <w:rsid w:val="0027176C"/>
    <w:rsid w:val="00272D58"/>
    <w:rsid w:val="00272E02"/>
    <w:rsid w:val="0027318E"/>
    <w:rsid w:val="00273463"/>
    <w:rsid w:val="00274334"/>
    <w:rsid w:val="00274377"/>
    <w:rsid w:val="0027463D"/>
    <w:rsid w:val="00274EF5"/>
    <w:rsid w:val="00274FAB"/>
    <w:rsid w:val="00275166"/>
    <w:rsid w:val="002758C0"/>
    <w:rsid w:val="002758CC"/>
    <w:rsid w:val="002763C8"/>
    <w:rsid w:val="00276AA2"/>
    <w:rsid w:val="00276BA9"/>
    <w:rsid w:val="002771C7"/>
    <w:rsid w:val="00277995"/>
    <w:rsid w:val="00277C2F"/>
    <w:rsid w:val="00280178"/>
    <w:rsid w:val="002803DB"/>
    <w:rsid w:val="0028063C"/>
    <w:rsid w:val="00280951"/>
    <w:rsid w:val="00281203"/>
    <w:rsid w:val="0028145B"/>
    <w:rsid w:val="002815D4"/>
    <w:rsid w:val="00281A79"/>
    <w:rsid w:val="0028253C"/>
    <w:rsid w:val="0028281A"/>
    <w:rsid w:val="00282C71"/>
    <w:rsid w:val="00283250"/>
    <w:rsid w:val="00283339"/>
    <w:rsid w:val="002834BB"/>
    <w:rsid w:val="00283849"/>
    <w:rsid w:val="00283E15"/>
    <w:rsid w:val="0028494E"/>
    <w:rsid w:val="00284EAA"/>
    <w:rsid w:val="00284F5A"/>
    <w:rsid w:val="00284FE4"/>
    <w:rsid w:val="002863FA"/>
    <w:rsid w:val="0028688A"/>
    <w:rsid w:val="002869C0"/>
    <w:rsid w:val="00286E34"/>
    <w:rsid w:val="00286E6C"/>
    <w:rsid w:val="002872C6"/>
    <w:rsid w:val="002872F3"/>
    <w:rsid w:val="002877E9"/>
    <w:rsid w:val="00287C12"/>
    <w:rsid w:val="002901AC"/>
    <w:rsid w:val="0029056D"/>
    <w:rsid w:val="00290836"/>
    <w:rsid w:val="00290D24"/>
    <w:rsid w:val="00291654"/>
    <w:rsid w:val="00291B40"/>
    <w:rsid w:val="00291CB4"/>
    <w:rsid w:val="00292119"/>
    <w:rsid w:val="00292236"/>
    <w:rsid w:val="0029289F"/>
    <w:rsid w:val="00292B15"/>
    <w:rsid w:val="002943CA"/>
    <w:rsid w:val="00294D1A"/>
    <w:rsid w:val="0029502E"/>
    <w:rsid w:val="0029531D"/>
    <w:rsid w:val="0029570D"/>
    <w:rsid w:val="00296170"/>
    <w:rsid w:val="002963B1"/>
    <w:rsid w:val="00296D37"/>
    <w:rsid w:val="00296FEE"/>
    <w:rsid w:val="00297518"/>
    <w:rsid w:val="00297527"/>
    <w:rsid w:val="00297C26"/>
    <w:rsid w:val="00297F71"/>
    <w:rsid w:val="002A025B"/>
    <w:rsid w:val="002A0DD9"/>
    <w:rsid w:val="002A137A"/>
    <w:rsid w:val="002A15C2"/>
    <w:rsid w:val="002A1ED8"/>
    <w:rsid w:val="002A2A2E"/>
    <w:rsid w:val="002A2E58"/>
    <w:rsid w:val="002A30F4"/>
    <w:rsid w:val="002A33E1"/>
    <w:rsid w:val="002A3484"/>
    <w:rsid w:val="002A3C6E"/>
    <w:rsid w:val="002A4092"/>
    <w:rsid w:val="002A576D"/>
    <w:rsid w:val="002A5AF0"/>
    <w:rsid w:val="002A6760"/>
    <w:rsid w:val="002A69B8"/>
    <w:rsid w:val="002A6B19"/>
    <w:rsid w:val="002A73C0"/>
    <w:rsid w:val="002B0770"/>
    <w:rsid w:val="002B081F"/>
    <w:rsid w:val="002B08DE"/>
    <w:rsid w:val="002B0C5A"/>
    <w:rsid w:val="002B0CD7"/>
    <w:rsid w:val="002B1CBE"/>
    <w:rsid w:val="002B1E18"/>
    <w:rsid w:val="002B212C"/>
    <w:rsid w:val="002B2485"/>
    <w:rsid w:val="002B260C"/>
    <w:rsid w:val="002B2E0B"/>
    <w:rsid w:val="002B30DD"/>
    <w:rsid w:val="002B320A"/>
    <w:rsid w:val="002B3599"/>
    <w:rsid w:val="002B3795"/>
    <w:rsid w:val="002B3A5A"/>
    <w:rsid w:val="002B3CFF"/>
    <w:rsid w:val="002B4008"/>
    <w:rsid w:val="002B4052"/>
    <w:rsid w:val="002B48C2"/>
    <w:rsid w:val="002B4A8F"/>
    <w:rsid w:val="002B4C3B"/>
    <w:rsid w:val="002B56E9"/>
    <w:rsid w:val="002B58E3"/>
    <w:rsid w:val="002B6092"/>
    <w:rsid w:val="002B6226"/>
    <w:rsid w:val="002B6D26"/>
    <w:rsid w:val="002B7086"/>
    <w:rsid w:val="002C0676"/>
    <w:rsid w:val="002C0C8F"/>
    <w:rsid w:val="002C0D1A"/>
    <w:rsid w:val="002C2331"/>
    <w:rsid w:val="002C2375"/>
    <w:rsid w:val="002C239A"/>
    <w:rsid w:val="002C23DF"/>
    <w:rsid w:val="002C2670"/>
    <w:rsid w:val="002C2B34"/>
    <w:rsid w:val="002C2B44"/>
    <w:rsid w:val="002C2E5C"/>
    <w:rsid w:val="002C341B"/>
    <w:rsid w:val="002C38C1"/>
    <w:rsid w:val="002C3E40"/>
    <w:rsid w:val="002C4059"/>
    <w:rsid w:val="002C4151"/>
    <w:rsid w:val="002C478C"/>
    <w:rsid w:val="002C47F0"/>
    <w:rsid w:val="002C55FB"/>
    <w:rsid w:val="002C5608"/>
    <w:rsid w:val="002C6009"/>
    <w:rsid w:val="002C6ECA"/>
    <w:rsid w:val="002C74C7"/>
    <w:rsid w:val="002C77F8"/>
    <w:rsid w:val="002C7923"/>
    <w:rsid w:val="002D0017"/>
    <w:rsid w:val="002D0A0A"/>
    <w:rsid w:val="002D0A93"/>
    <w:rsid w:val="002D0E8E"/>
    <w:rsid w:val="002D10DB"/>
    <w:rsid w:val="002D2877"/>
    <w:rsid w:val="002D3AAB"/>
    <w:rsid w:val="002D3FE0"/>
    <w:rsid w:val="002D422A"/>
    <w:rsid w:val="002D4569"/>
    <w:rsid w:val="002D4C49"/>
    <w:rsid w:val="002D4E8F"/>
    <w:rsid w:val="002D4EA7"/>
    <w:rsid w:val="002D4F1B"/>
    <w:rsid w:val="002D6A28"/>
    <w:rsid w:val="002D70E6"/>
    <w:rsid w:val="002D72CF"/>
    <w:rsid w:val="002D7C47"/>
    <w:rsid w:val="002E0276"/>
    <w:rsid w:val="002E06A8"/>
    <w:rsid w:val="002E080A"/>
    <w:rsid w:val="002E0DF7"/>
    <w:rsid w:val="002E1731"/>
    <w:rsid w:val="002E17FC"/>
    <w:rsid w:val="002E278F"/>
    <w:rsid w:val="002E2BC8"/>
    <w:rsid w:val="002E3317"/>
    <w:rsid w:val="002E3BDB"/>
    <w:rsid w:val="002E4866"/>
    <w:rsid w:val="002E4EF3"/>
    <w:rsid w:val="002E55C4"/>
    <w:rsid w:val="002E5747"/>
    <w:rsid w:val="002E59C5"/>
    <w:rsid w:val="002E5C2B"/>
    <w:rsid w:val="002E6068"/>
    <w:rsid w:val="002E6500"/>
    <w:rsid w:val="002E657B"/>
    <w:rsid w:val="002E6A28"/>
    <w:rsid w:val="002E6C6A"/>
    <w:rsid w:val="002E77F7"/>
    <w:rsid w:val="002E783C"/>
    <w:rsid w:val="002E79B8"/>
    <w:rsid w:val="002E7AE1"/>
    <w:rsid w:val="002E7C38"/>
    <w:rsid w:val="002E7F20"/>
    <w:rsid w:val="002F018D"/>
    <w:rsid w:val="002F0F1F"/>
    <w:rsid w:val="002F1080"/>
    <w:rsid w:val="002F1818"/>
    <w:rsid w:val="002F1A37"/>
    <w:rsid w:val="002F1C4C"/>
    <w:rsid w:val="002F1F0F"/>
    <w:rsid w:val="002F205A"/>
    <w:rsid w:val="002F22DA"/>
    <w:rsid w:val="002F2B36"/>
    <w:rsid w:val="002F3468"/>
    <w:rsid w:val="002F3DE4"/>
    <w:rsid w:val="002F4719"/>
    <w:rsid w:val="002F4B9C"/>
    <w:rsid w:val="002F579C"/>
    <w:rsid w:val="002F64E3"/>
    <w:rsid w:val="002F698C"/>
    <w:rsid w:val="002F744D"/>
    <w:rsid w:val="002F7DAB"/>
    <w:rsid w:val="002F7E09"/>
    <w:rsid w:val="003006F2"/>
    <w:rsid w:val="00300C41"/>
    <w:rsid w:val="00301189"/>
    <w:rsid w:val="0030129D"/>
    <w:rsid w:val="0030234D"/>
    <w:rsid w:val="003025F6"/>
    <w:rsid w:val="003032D6"/>
    <w:rsid w:val="003034F6"/>
    <w:rsid w:val="00303D31"/>
    <w:rsid w:val="00304851"/>
    <w:rsid w:val="0030513F"/>
    <w:rsid w:val="00305215"/>
    <w:rsid w:val="00305246"/>
    <w:rsid w:val="00305456"/>
    <w:rsid w:val="003065DD"/>
    <w:rsid w:val="003067EA"/>
    <w:rsid w:val="00307589"/>
    <w:rsid w:val="00307B8E"/>
    <w:rsid w:val="00307CD8"/>
    <w:rsid w:val="00307D54"/>
    <w:rsid w:val="00310319"/>
    <w:rsid w:val="0031058B"/>
    <w:rsid w:val="00310615"/>
    <w:rsid w:val="00310E41"/>
    <w:rsid w:val="00310F65"/>
    <w:rsid w:val="003117BA"/>
    <w:rsid w:val="00311C86"/>
    <w:rsid w:val="0031228A"/>
    <w:rsid w:val="00313766"/>
    <w:rsid w:val="00313A5D"/>
    <w:rsid w:val="00313CF7"/>
    <w:rsid w:val="003140E2"/>
    <w:rsid w:val="00314193"/>
    <w:rsid w:val="003141D8"/>
    <w:rsid w:val="00314351"/>
    <w:rsid w:val="00314E86"/>
    <w:rsid w:val="00315506"/>
    <w:rsid w:val="00315566"/>
    <w:rsid w:val="00315D04"/>
    <w:rsid w:val="00315F26"/>
    <w:rsid w:val="00316192"/>
    <w:rsid w:val="00316349"/>
    <w:rsid w:val="0031675E"/>
    <w:rsid w:val="00316D3C"/>
    <w:rsid w:val="00316EC4"/>
    <w:rsid w:val="00317679"/>
    <w:rsid w:val="003177B6"/>
    <w:rsid w:val="00317B93"/>
    <w:rsid w:val="00320AC5"/>
    <w:rsid w:val="00321B09"/>
    <w:rsid w:val="00321D7C"/>
    <w:rsid w:val="00321E44"/>
    <w:rsid w:val="003222EC"/>
    <w:rsid w:val="00322F13"/>
    <w:rsid w:val="00322FB6"/>
    <w:rsid w:val="0032301E"/>
    <w:rsid w:val="0032316B"/>
    <w:rsid w:val="00323E09"/>
    <w:rsid w:val="00323F2F"/>
    <w:rsid w:val="00324236"/>
    <w:rsid w:val="0032451D"/>
    <w:rsid w:val="00324DFF"/>
    <w:rsid w:val="00325419"/>
    <w:rsid w:val="00325D3F"/>
    <w:rsid w:val="00325EA2"/>
    <w:rsid w:val="0032639C"/>
    <w:rsid w:val="00326DA6"/>
    <w:rsid w:val="0032706E"/>
    <w:rsid w:val="00327697"/>
    <w:rsid w:val="00331209"/>
    <w:rsid w:val="003312D4"/>
    <w:rsid w:val="00331696"/>
    <w:rsid w:val="00331A40"/>
    <w:rsid w:val="0033289F"/>
    <w:rsid w:val="00332E09"/>
    <w:rsid w:val="00333338"/>
    <w:rsid w:val="003334B4"/>
    <w:rsid w:val="00333664"/>
    <w:rsid w:val="00333749"/>
    <w:rsid w:val="00333761"/>
    <w:rsid w:val="003338C2"/>
    <w:rsid w:val="00333932"/>
    <w:rsid w:val="003339F5"/>
    <w:rsid w:val="00333D18"/>
    <w:rsid w:val="0033567B"/>
    <w:rsid w:val="00335AA0"/>
    <w:rsid w:val="0033657F"/>
    <w:rsid w:val="00336EB0"/>
    <w:rsid w:val="00337560"/>
    <w:rsid w:val="0033784D"/>
    <w:rsid w:val="00337C69"/>
    <w:rsid w:val="003409F4"/>
    <w:rsid w:val="00340C25"/>
    <w:rsid w:val="003411BB"/>
    <w:rsid w:val="00342122"/>
    <w:rsid w:val="0034253D"/>
    <w:rsid w:val="0034270E"/>
    <w:rsid w:val="00342A48"/>
    <w:rsid w:val="003435E2"/>
    <w:rsid w:val="0034370B"/>
    <w:rsid w:val="00343F46"/>
    <w:rsid w:val="00345C2F"/>
    <w:rsid w:val="00347246"/>
    <w:rsid w:val="003473D7"/>
    <w:rsid w:val="00347545"/>
    <w:rsid w:val="00347E8A"/>
    <w:rsid w:val="00350001"/>
    <w:rsid w:val="0035083D"/>
    <w:rsid w:val="00350D5F"/>
    <w:rsid w:val="00350EE3"/>
    <w:rsid w:val="00351517"/>
    <w:rsid w:val="0035169F"/>
    <w:rsid w:val="00351762"/>
    <w:rsid w:val="003518AA"/>
    <w:rsid w:val="00352165"/>
    <w:rsid w:val="003521A2"/>
    <w:rsid w:val="003525B4"/>
    <w:rsid w:val="00352A0B"/>
    <w:rsid w:val="00353182"/>
    <w:rsid w:val="00353322"/>
    <w:rsid w:val="00353D6D"/>
    <w:rsid w:val="0035469E"/>
    <w:rsid w:val="0035533D"/>
    <w:rsid w:val="00356198"/>
    <w:rsid w:val="00356284"/>
    <w:rsid w:val="0035659B"/>
    <w:rsid w:val="003565D9"/>
    <w:rsid w:val="0035732E"/>
    <w:rsid w:val="0035756B"/>
    <w:rsid w:val="003576F9"/>
    <w:rsid w:val="003600A8"/>
    <w:rsid w:val="003602E1"/>
    <w:rsid w:val="003604D5"/>
    <w:rsid w:val="003613C1"/>
    <w:rsid w:val="00361577"/>
    <w:rsid w:val="00361627"/>
    <w:rsid w:val="00361C34"/>
    <w:rsid w:val="0036249D"/>
    <w:rsid w:val="0036267F"/>
    <w:rsid w:val="003627AB"/>
    <w:rsid w:val="003629F0"/>
    <w:rsid w:val="0036321C"/>
    <w:rsid w:val="0036399F"/>
    <w:rsid w:val="00363D9A"/>
    <w:rsid w:val="003642EB"/>
    <w:rsid w:val="00364501"/>
    <w:rsid w:val="00364D81"/>
    <w:rsid w:val="003654B8"/>
    <w:rsid w:val="003657BF"/>
    <w:rsid w:val="00365991"/>
    <w:rsid w:val="003659ED"/>
    <w:rsid w:val="00365A55"/>
    <w:rsid w:val="00366544"/>
    <w:rsid w:val="00366878"/>
    <w:rsid w:val="003668D6"/>
    <w:rsid w:val="00366C5A"/>
    <w:rsid w:val="00366D08"/>
    <w:rsid w:val="00367183"/>
    <w:rsid w:val="003672A4"/>
    <w:rsid w:val="0036749C"/>
    <w:rsid w:val="00367A85"/>
    <w:rsid w:val="00367F62"/>
    <w:rsid w:val="00367F82"/>
    <w:rsid w:val="0037026F"/>
    <w:rsid w:val="00370B81"/>
    <w:rsid w:val="00371240"/>
    <w:rsid w:val="00371397"/>
    <w:rsid w:val="00371685"/>
    <w:rsid w:val="00371FA7"/>
    <w:rsid w:val="003725FD"/>
    <w:rsid w:val="00372E2A"/>
    <w:rsid w:val="00372EEE"/>
    <w:rsid w:val="003733BF"/>
    <w:rsid w:val="00374258"/>
    <w:rsid w:val="00374523"/>
    <w:rsid w:val="00374731"/>
    <w:rsid w:val="00374D32"/>
    <w:rsid w:val="00375403"/>
    <w:rsid w:val="00376851"/>
    <w:rsid w:val="00376E08"/>
    <w:rsid w:val="00376E59"/>
    <w:rsid w:val="003771E9"/>
    <w:rsid w:val="0037743D"/>
    <w:rsid w:val="003774DC"/>
    <w:rsid w:val="003777BD"/>
    <w:rsid w:val="00377B17"/>
    <w:rsid w:val="0038026F"/>
    <w:rsid w:val="003803A3"/>
    <w:rsid w:val="00380AE9"/>
    <w:rsid w:val="00381864"/>
    <w:rsid w:val="00381BA8"/>
    <w:rsid w:val="00382356"/>
    <w:rsid w:val="0038252A"/>
    <w:rsid w:val="00382B11"/>
    <w:rsid w:val="0038397F"/>
    <w:rsid w:val="00384BB4"/>
    <w:rsid w:val="003856FE"/>
    <w:rsid w:val="003859DF"/>
    <w:rsid w:val="00385BC9"/>
    <w:rsid w:val="003867F6"/>
    <w:rsid w:val="00386E21"/>
    <w:rsid w:val="0038703A"/>
    <w:rsid w:val="00390486"/>
    <w:rsid w:val="00390777"/>
    <w:rsid w:val="00390A56"/>
    <w:rsid w:val="00390ACD"/>
    <w:rsid w:val="00390BB5"/>
    <w:rsid w:val="003915FD"/>
    <w:rsid w:val="003919F9"/>
    <w:rsid w:val="00391BD8"/>
    <w:rsid w:val="00392C1F"/>
    <w:rsid w:val="003933DC"/>
    <w:rsid w:val="00393E06"/>
    <w:rsid w:val="00394A36"/>
    <w:rsid w:val="003954B0"/>
    <w:rsid w:val="00395C59"/>
    <w:rsid w:val="00395E64"/>
    <w:rsid w:val="00396B2B"/>
    <w:rsid w:val="00396EFF"/>
    <w:rsid w:val="00397322"/>
    <w:rsid w:val="00397FED"/>
    <w:rsid w:val="003A0107"/>
    <w:rsid w:val="003A0C4B"/>
    <w:rsid w:val="003A0F13"/>
    <w:rsid w:val="003A122F"/>
    <w:rsid w:val="003A12AA"/>
    <w:rsid w:val="003A1D3F"/>
    <w:rsid w:val="003A26FC"/>
    <w:rsid w:val="003A3A5C"/>
    <w:rsid w:val="003A3AB4"/>
    <w:rsid w:val="003A40B9"/>
    <w:rsid w:val="003A4433"/>
    <w:rsid w:val="003A4B61"/>
    <w:rsid w:val="003A4D23"/>
    <w:rsid w:val="003A5105"/>
    <w:rsid w:val="003A523B"/>
    <w:rsid w:val="003A5C79"/>
    <w:rsid w:val="003A5D09"/>
    <w:rsid w:val="003A5FCC"/>
    <w:rsid w:val="003A616F"/>
    <w:rsid w:val="003A6AEE"/>
    <w:rsid w:val="003A6C3F"/>
    <w:rsid w:val="003A6D20"/>
    <w:rsid w:val="003A6DCF"/>
    <w:rsid w:val="003B07DD"/>
    <w:rsid w:val="003B0A11"/>
    <w:rsid w:val="003B0D76"/>
    <w:rsid w:val="003B158E"/>
    <w:rsid w:val="003B213B"/>
    <w:rsid w:val="003B225B"/>
    <w:rsid w:val="003B38A7"/>
    <w:rsid w:val="003B3957"/>
    <w:rsid w:val="003B3B5C"/>
    <w:rsid w:val="003B4030"/>
    <w:rsid w:val="003B4936"/>
    <w:rsid w:val="003B4C30"/>
    <w:rsid w:val="003B52A0"/>
    <w:rsid w:val="003B5F5C"/>
    <w:rsid w:val="003B622D"/>
    <w:rsid w:val="003B6586"/>
    <w:rsid w:val="003B692F"/>
    <w:rsid w:val="003B7051"/>
    <w:rsid w:val="003B774C"/>
    <w:rsid w:val="003C0041"/>
    <w:rsid w:val="003C011E"/>
    <w:rsid w:val="003C0426"/>
    <w:rsid w:val="003C0458"/>
    <w:rsid w:val="003C07B2"/>
    <w:rsid w:val="003C087F"/>
    <w:rsid w:val="003C08B6"/>
    <w:rsid w:val="003C0E52"/>
    <w:rsid w:val="003C1207"/>
    <w:rsid w:val="003C38B5"/>
    <w:rsid w:val="003C3D2D"/>
    <w:rsid w:val="003C3F4A"/>
    <w:rsid w:val="003C4B75"/>
    <w:rsid w:val="003C5105"/>
    <w:rsid w:val="003C5BC5"/>
    <w:rsid w:val="003C5D99"/>
    <w:rsid w:val="003C63B4"/>
    <w:rsid w:val="003C644A"/>
    <w:rsid w:val="003D026F"/>
    <w:rsid w:val="003D05E8"/>
    <w:rsid w:val="003D0E90"/>
    <w:rsid w:val="003D16C7"/>
    <w:rsid w:val="003D19A5"/>
    <w:rsid w:val="003D211E"/>
    <w:rsid w:val="003D2273"/>
    <w:rsid w:val="003D23DC"/>
    <w:rsid w:val="003D23F2"/>
    <w:rsid w:val="003D4FED"/>
    <w:rsid w:val="003D516E"/>
    <w:rsid w:val="003D5425"/>
    <w:rsid w:val="003D7C1C"/>
    <w:rsid w:val="003D7CC4"/>
    <w:rsid w:val="003E0099"/>
    <w:rsid w:val="003E0518"/>
    <w:rsid w:val="003E0564"/>
    <w:rsid w:val="003E0976"/>
    <w:rsid w:val="003E11F7"/>
    <w:rsid w:val="003E1FE0"/>
    <w:rsid w:val="003E2F59"/>
    <w:rsid w:val="003E2FCB"/>
    <w:rsid w:val="003E315F"/>
    <w:rsid w:val="003E3894"/>
    <w:rsid w:val="003E5661"/>
    <w:rsid w:val="003E5F52"/>
    <w:rsid w:val="003E6260"/>
    <w:rsid w:val="003E79EE"/>
    <w:rsid w:val="003E7AD8"/>
    <w:rsid w:val="003E7C66"/>
    <w:rsid w:val="003E7FB6"/>
    <w:rsid w:val="003F0789"/>
    <w:rsid w:val="003F08B0"/>
    <w:rsid w:val="003F1482"/>
    <w:rsid w:val="003F23BF"/>
    <w:rsid w:val="003F23E1"/>
    <w:rsid w:val="003F2A57"/>
    <w:rsid w:val="003F2DAC"/>
    <w:rsid w:val="003F3490"/>
    <w:rsid w:val="003F3509"/>
    <w:rsid w:val="003F4C12"/>
    <w:rsid w:val="003F5E4F"/>
    <w:rsid w:val="003F65DD"/>
    <w:rsid w:val="003F6840"/>
    <w:rsid w:val="003F6B4D"/>
    <w:rsid w:val="003F7455"/>
    <w:rsid w:val="003F7526"/>
    <w:rsid w:val="003F78E9"/>
    <w:rsid w:val="003F7C23"/>
    <w:rsid w:val="003F7F34"/>
    <w:rsid w:val="004003EA"/>
    <w:rsid w:val="004005CC"/>
    <w:rsid w:val="00400C45"/>
    <w:rsid w:val="0040155A"/>
    <w:rsid w:val="00401656"/>
    <w:rsid w:val="00401882"/>
    <w:rsid w:val="00402B08"/>
    <w:rsid w:val="00402C2A"/>
    <w:rsid w:val="00403579"/>
    <w:rsid w:val="004040C5"/>
    <w:rsid w:val="00404AD8"/>
    <w:rsid w:val="00404E16"/>
    <w:rsid w:val="00404F34"/>
    <w:rsid w:val="004054A9"/>
    <w:rsid w:val="00406716"/>
    <w:rsid w:val="00406A24"/>
    <w:rsid w:val="00406E65"/>
    <w:rsid w:val="00406E95"/>
    <w:rsid w:val="004071F8"/>
    <w:rsid w:val="00407740"/>
    <w:rsid w:val="00407C15"/>
    <w:rsid w:val="00407EF7"/>
    <w:rsid w:val="004100C8"/>
    <w:rsid w:val="004106B5"/>
    <w:rsid w:val="00410776"/>
    <w:rsid w:val="0041089B"/>
    <w:rsid w:val="00411DBD"/>
    <w:rsid w:val="00411FFE"/>
    <w:rsid w:val="004127D4"/>
    <w:rsid w:val="00412ACE"/>
    <w:rsid w:val="00412E65"/>
    <w:rsid w:val="00413546"/>
    <w:rsid w:val="004146CC"/>
    <w:rsid w:val="004149E8"/>
    <w:rsid w:val="00414B2C"/>
    <w:rsid w:val="00414CF1"/>
    <w:rsid w:val="00414E4D"/>
    <w:rsid w:val="004154FF"/>
    <w:rsid w:val="004156D2"/>
    <w:rsid w:val="00415DCC"/>
    <w:rsid w:val="00416315"/>
    <w:rsid w:val="00417762"/>
    <w:rsid w:val="00417B5A"/>
    <w:rsid w:val="00417FFA"/>
    <w:rsid w:val="004200B1"/>
    <w:rsid w:val="00420113"/>
    <w:rsid w:val="00420670"/>
    <w:rsid w:val="00420AB2"/>
    <w:rsid w:val="004211DC"/>
    <w:rsid w:val="0042280C"/>
    <w:rsid w:val="00422873"/>
    <w:rsid w:val="00422E01"/>
    <w:rsid w:val="004233C1"/>
    <w:rsid w:val="00423BD9"/>
    <w:rsid w:val="00423F8D"/>
    <w:rsid w:val="004241C9"/>
    <w:rsid w:val="0042481C"/>
    <w:rsid w:val="00424EAE"/>
    <w:rsid w:val="004252DC"/>
    <w:rsid w:val="0042562E"/>
    <w:rsid w:val="004265A6"/>
    <w:rsid w:val="00426B7C"/>
    <w:rsid w:val="004271C4"/>
    <w:rsid w:val="00427A42"/>
    <w:rsid w:val="00430674"/>
    <w:rsid w:val="00430F6B"/>
    <w:rsid w:val="00431249"/>
    <w:rsid w:val="00431483"/>
    <w:rsid w:val="0043167B"/>
    <w:rsid w:val="004316CB"/>
    <w:rsid w:val="00431B22"/>
    <w:rsid w:val="00431BD3"/>
    <w:rsid w:val="00431FA6"/>
    <w:rsid w:val="00433303"/>
    <w:rsid w:val="004333B4"/>
    <w:rsid w:val="00433409"/>
    <w:rsid w:val="0043386C"/>
    <w:rsid w:val="004344EE"/>
    <w:rsid w:val="00434C19"/>
    <w:rsid w:val="004368B5"/>
    <w:rsid w:val="004371E5"/>
    <w:rsid w:val="004373D8"/>
    <w:rsid w:val="00437D10"/>
    <w:rsid w:val="004400B9"/>
    <w:rsid w:val="0044135F"/>
    <w:rsid w:val="0044191C"/>
    <w:rsid w:val="00441941"/>
    <w:rsid w:val="00441FF6"/>
    <w:rsid w:val="0044270C"/>
    <w:rsid w:val="00442E18"/>
    <w:rsid w:val="00443194"/>
    <w:rsid w:val="0044379B"/>
    <w:rsid w:val="0044379E"/>
    <w:rsid w:val="00443ACE"/>
    <w:rsid w:val="00443C8A"/>
    <w:rsid w:val="00443F5D"/>
    <w:rsid w:val="004447D0"/>
    <w:rsid w:val="00444D47"/>
    <w:rsid w:val="004454A7"/>
    <w:rsid w:val="00445E0A"/>
    <w:rsid w:val="00446119"/>
    <w:rsid w:val="004461C7"/>
    <w:rsid w:val="004464AF"/>
    <w:rsid w:val="00446548"/>
    <w:rsid w:val="004472D6"/>
    <w:rsid w:val="0044742A"/>
    <w:rsid w:val="004475C3"/>
    <w:rsid w:val="00447A88"/>
    <w:rsid w:val="0045011C"/>
    <w:rsid w:val="0045013F"/>
    <w:rsid w:val="00450810"/>
    <w:rsid w:val="004510D2"/>
    <w:rsid w:val="00452F32"/>
    <w:rsid w:val="004530B1"/>
    <w:rsid w:val="004533B2"/>
    <w:rsid w:val="004535C4"/>
    <w:rsid w:val="00453F13"/>
    <w:rsid w:val="00453F18"/>
    <w:rsid w:val="00454905"/>
    <w:rsid w:val="00455015"/>
    <w:rsid w:val="00455120"/>
    <w:rsid w:val="00455444"/>
    <w:rsid w:val="00455516"/>
    <w:rsid w:val="0045600E"/>
    <w:rsid w:val="00456206"/>
    <w:rsid w:val="004575E9"/>
    <w:rsid w:val="00457DA8"/>
    <w:rsid w:val="0046039E"/>
    <w:rsid w:val="00460FBB"/>
    <w:rsid w:val="00461E68"/>
    <w:rsid w:val="004620CF"/>
    <w:rsid w:val="0046225D"/>
    <w:rsid w:val="0046293E"/>
    <w:rsid w:val="0046317B"/>
    <w:rsid w:val="004639F9"/>
    <w:rsid w:val="00463BA3"/>
    <w:rsid w:val="00464129"/>
    <w:rsid w:val="0046455D"/>
    <w:rsid w:val="00464AEF"/>
    <w:rsid w:val="0046593B"/>
    <w:rsid w:val="00465C92"/>
    <w:rsid w:val="00466033"/>
    <w:rsid w:val="004662E7"/>
    <w:rsid w:val="0046675A"/>
    <w:rsid w:val="00466905"/>
    <w:rsid w:val="00466E44"/>
    <w:rsid w:val="00467AB6"/>
    <w:rsid w:val="004704A4"/>
    <w:rsid w:val="004704BE"/>
    <w:rsid w:val="004706D6"/>
    <w:rsid w:val="00473302"/>
    <w:rsid w:val="00473512"/>
    <w:rsid w:val="004747A5"/>
    <w:rsid w:val="00475420"/>
    <w:rsid w:val="00475878"/>
    <w:rsid w:val="004759FA"/>
    <w:rsid w:val="004760BC"/>
    <w:rsid w:val="00477144"/>
    <w:rsid w:val="00477935"/>
    <w:rsid w:val="00477A80"/>
    <w:rsid w:val="00480065"/>
    <w:rsid w:val="00480082"/>
    <w:rsid w:val="00480197"/>
    <w:rsid w:val="004806B1"/>
    <w:rsid w:val="0048081D"/>
    <w:rsid w:val="004812FC"/>
    <w:rsid w:val="004827B0"/>
    <w:rsid w:val="00482D04"/>
    <w:rsid w:val="00483888"/>
    <w:rsid w:val="00484142"/>
    <w:rsid w:val="004843D9"/>
    <w:rsid w:val="004844C0"/>
    <w:rsid w:val="004848C6"/>
    <w:rsid w:val="00484CB6"/>
    <w:rsid w:val="004857D8"/>
    <w:rsid w:val="00485D81"/>
    <w:rsid w:val="00486B5A"/>
    <w:rsid w:val="00486C54"/>
    <w:rsid w:val="00486F63"/>
    <w:rsid w:val="00486F65"/>
    <w:rsid w:val="0048720C"/>
    <w:rsid w:val="00487F37"/>
    <w:rsid w:val="00490820"/>
    <w:rsid w:val="0049103F"/>
    <w:rsid w:val="00491380"/>
    <w:rsid w:val="004915E5"/>
    <w:rsid w:val="00491BF4"/>
    <w:rsid w:val="00492B43"/>
    <w:rsid w:val="0049357F"/>
    <w:rsid w:val="00493D0B"/>
    <w:rsid w:val="00494167"/>
    <w:rsid w:val="0049459F"/>
    <w:rsid w:val="0049498E"/>
    <w:rsid w:val="00495351"/>
    <w:rsid w:val="0049582F"/>
    <w:rsid w:val="00496FB0"/>
    <w:rsid w:val="00497384"/>
    <w:rsid w:val="00497A4E"/>
    <w:rsid w:val="00497AC1"/>
    <w:rsid w:val="00497D7F"/>
    <w:rsid w:val="004A01FC"/>
    <w:rsid w:val="004A06B3"/>
    <w:rsid w:val="004A0B46"/>
    <w:rsid w:val="004A0C9D"/>
    <w:rsid w:val="004A1819"/>
    <w:rsid w:val="004A2127"/>
    <w:rsid w:val="004A2142"/>
    <w:rsid w:val="004A332D"/>
    <w:rsid w:val="004A38DD"/>
    <w:rsid w:val="004A38F8"/>
    <w:rsid w:val="004A4B08"/>
    <w:rsid w:val="004A4CFA"/>
    <w:rsid w:val="004A548B"/>
    <w:rsid w:val="004A5791"/>
    <w:rsid w:val="004A5E6D"/>
    <w:rsid w:val="004A5ED7"/>
    <w:rsid w:val="004A6038"/>
    <w:rsid w:val="004A6854"/>
    <w:rsid w:val="004A690F"/>
    <w:rsid w:val="004A7113"/>
    <w:rsid w:val="004B03DC"/>
    <w:rsid w:val="004B24FD"/>
    <w:rsid w:val="004B285D"/>
    <w:rsid w:val="004B29DA"/>
    <w:rsid w:val="004B2AC8"/>
    <w:rsid w:val="004B2DCB"/>
    <w:rsid w:val="004B3A35"/>
    <w:rsid w:val="004B42AB"/>
    <w:rsid w:val="004B43AE"/>
    <w:rsid w:val="004B4E29"/>
    <w:rsid w:val="004B5202"/>
    <w:rsid w:val="004B5396"/>
    <w:rsid w:val="004B5750"/>
    <w:rsid w:val="004B5EEB"/>
    <w:rsid w:val="004B5EF3"/>
    <w:rsid w:val="004B62CF"/>
    <w:rsid w:val="004B67B6"/>
    <w:rsid w:val="004B6A54"/>
    <w:rsid w:val="004B6F73"/>
    <w:rsid w:val="004B725B"/>
    <w:rsid w:val="004B759F"/>
    <w:rsid w:val="004B78D6"/>
    <w:rsid w:val="004B7F25"/>
    <w:rsid w:val="004C006B"/>
    <w:rsid w:val="004C011F"/>
    <w:rsid w:val="004C0280"/>
    <w:rsid w:val="004C08C7"/>
    <w:rsid w:val="004C0D48"/>
    <w:rsid w:val="004C18E3"/>
    <w:rsid w:val="004C1E7C"/>
    <w:rsid w:val="004C1FA9"/>
    <w:rsid w:val="004C22A6"/>
    <w:rsid w:val="004C2DDB"/>
    <w:rsid w:val="004C2FC5"/>
    <w:rsid w:val="004C30ED"/>
    <w:rsid w:val="004C3571"/>
    <w:rsid w:val="004C3C0C"/>
    <w:rsid w:val="004C3CFF"/>
    <w:rsid w:val="004C3FB4"/>
    <w:rsid w:val="004C4481"/>
    <w:rsid w:val="004C4BEF"/>
    <w:rsid w:val="004C4D33"/>
    <w:rsid w:val="004C5235"/>
    <w:rsid w:val="004C56EE"/>
    <w:rsid w:val="004C5E18"/>
    <w:rsid w:val="004C5EF6"/>
    <w:rsid w:val="004C6073"/>
    <w:rsid w:val="004C6919"/>
    <w:rsid w:val="004C6D6D"/>
    <w:rsid w:val="004C6DD4"/>
    <w:rsid w:val="004C6F53"/>
    <w:rsid w:val="004C7F55"/>
    <w:rsid w:val="004D0126"/>
    <w:rsid w:val="004D0AC8"/>
    <w:rsid w:val="004D1CB9"/>
    <w:rsid w:val="004D28CC"/>
    <w:rsid w:val="004D364F"/>
    <w:rsid w:val="004D36F0"/>
    <w:rsid w:val="004D3BCA"/>
    <w:rsid w:val="004D3EAC"/>
    <w:rsid w:val="004D3F9E"/>
    <w:rsid w:val="004D5114"/>
    <w:rsid w:val="004D5675"/>
    <w:rsid w:val="004D6870"/>
    <w:rsid w:val="004D6969"/>
    <w:rsid w:val="004D6DD1"/>
    <w:rsid w:val="004D746A"/>
    <w:rsid w:val="004E002F"/>
    <w:rsid w:val="004E045C"/>
    <w:rsid w:val="004E059E"/>
    <w:rsid w:val="004E07AE"/>
    <w:rsid w:val="004E0AB7"/>
    <w:rsid w:val="004E0FF1"/>
    <w:rsid w:val="004E1CF9"/>
    <w:rsid w:val="004E27F1"/>
    <w:rsid w:val="004E2ED6"/>
    <w:rsid w:val="004E2FD2"/>
    <w:rsid w:val="004E3C05"/>
    <w:rsid w:val="004E3CC1"/>
    <w:rsid w:val="004E3FA7"/>
    <w:rsid w:val="004E4325"/>
    <w:rsid w:val="004E487F"/>
    <w:rsid w:val="004E4B41"/>
    <w:rsid w:val="004E58F2"/>
    <w:rsid w:val="004E5B70"/>
    <w:rsid w:val="004E5D75"/>
    <w:rsid w:val="004E5F50"/>
    <w:rsid w:val="004E663F"/>
    <w:rsid w:val="004E6C63"/>
    <w:rsid w:val="004E7331"/>
    <w:rsid w:val="004E7E4A"/>
    <w:rsid w:val="004F04A3"/>
    <w:rsid w:val="004F07B1"/>
    <w:rsid w:val="004F1A56"/>
    <w:rsid w:val="004F239C"/>
    <w:rsid w:val="004F2F6E"/>
    <w:rsid w:val="004F31E5"/>
    <w:rsid w:val="004F3437"/>
    <w:rsid w:val="004F359B"/>
    <w:rsid w:val="004F3786"/>
    <w:rsid w:val="004F420D"/>
    <w:rsid w:val="004F4685"/>
    <w:rsid w:val="004F4787"/>
    <w:rsid w:val="004F561B"/>
    <w:rsid w:val="004F569D"/>
    <w:rsid w:val="004F5D98"/>
    <w:rsid w:val="004F5E80"/>
    <w:rsid w:val="004F5F7E"/>
    <w:rsid w:val="004F6F63"/>
    <w:rsid w:val="004F75C9"/>
    <w:rsid w:val="004F7979"/>
    <w:rsid w:val="004F7C62"/>
    <w:rsid w:val="005006BB"/>
    <w:rsid w:val="005007F5"/>
    <w:rsid w:val="00500DDD"/>
    <w:rsid w:val="00501EB7"/>
    <w:rsid w:val="005022EA"/>
    <w:rsid w:val="005026B8"/>
    <w:rsid w:val="00503567"/>
    <w:rsid w:val="0050356E"/>
    <w:rsid w:val="00504C4A"/>
    <w:rsid w:val="00504E96"/>
    <w:rsid w:val="00504F59"/>
    <w:rsid w:val="0050641C"/>
    <w:rsid w:val="005069A1"/>
    <w:rsid w:val="005069BF"/>
    <w:rsid w:val="0050719E"/>
    <w:rsid w:val="00507273"/>
    <w:rsid w:val="005072A6"/>
    <w:rsid w:val="005074BB"/>
    <w:rsid w:val="00507556"/>
    <w:rsid w:val="005078C6"/>
    <w:rsid w:val="00507A5F"/>
    <w:rsid w:val="00511434"/>
    <w:rsid w:val="005116AA"/>
    <w:rsid w:val="00511D42"/>
    <w:rsid w:val="00512FF7"/>
    <w:rsid w:val="00514558"/>
    <w:rsid w:val="005152BD"/>
    <w:rsid w:val="005159EC"/>
    <w:rsid w:val="00515A5F"/>
    <w:rsid w:val="00515DFC"/>
    <w:rsid w:val="005163BD"/>
    <w:rsid w:val="0051694A"/>
    <w:rsid w:val="00516C1F"/>
    <w:rsid w:val="0051744A"/>
    <w:rsid w:val="00517CD6"/>
    <w:rsid w:val="00520B04"/>
    <w:rsid w:val="00522144"/>
    <w:rsid w:val="00522BC6"/>
    <w:rsid w:val="00522D29"/>
    <w:rsid w:val="00523056"/>
    <w:rsid w:val="0052362B"/>
    <w:rsid w:val="00523639"/>
    <w:rsid w:val="0052385E"/>
    <w:rsid w:val="00523963"/>
    <w:rsid w:val="00523AAB"/>
    <w:rsid w:val="00524A6E"/>
    <w:rsid w:val="00524D55"/>
    <w:rsid w:val="0052525E"/>
    <w:rsid w:val="0052541B"/>
    <w:rsid w:val="0052592D"/>
    <w:rsid w:val="00525D80"/>
    <w:rsid w:val="0052793A"/>
    <w:rsid w:val="00527C80"/>
    <w:rsid w:val="005305AF"/>
    <w:rsid w:val="00530834"/>
    <w:rsid w:val="005309EB"/>
    <w:rsid w:val="00530C8C"/>
    <w:rsid w:val="00531A7B"/>
    <w:rsid w:val="00531FE5"/>
    <w:rsid w:val="005321AA"/>
    <w:rsid w:val="0053223F"/>
    <w:rsid w:val="005335BF"/>
    <w:rsid w:val="00533C2F"/>
    <w:rsid w:val="00533F44"/>
    <w:rsid w:val="0053454E"/>
    <w:rsid w:val="00534EA8"/>
    <w:rsid w:val="00534FDB"/>
    <w:rsid w:val="00535419"/>
    <w:rsid w:val="00535705"/>
    <w:rsid w:val="00535839"/>
    <w:rsid w:val="00536868"/>
    <w:rsid w:val="00537598"/>
    <w:rsid w:val="00537680"/>
    <w:rsid w:val="005402FA"/>
    <w:rsid w:val="005409D2"/>
    <w:rsid w:val="00540A93"/>
    <w:rsid w:val="00540D4D"/>
    <w:rsid w:val="00540EC2"/>
    <w:rsid w:val="00540FF8"/>
    <w:rsid w:val="00541365"/>
    <w:rsid w:val="00541402"/>
    <w:rsid w:val="005422BD"/>
    <w:rsid w:val="00542E49"/>
    <w:rsid w:val="005435FB"/>
    <w:rsid w:val="00543877"/>
    <w:rsid w:val="0054461A"/>
    <w:rsid w:val="00545425"/>
    <w:rsid w:val="00545B7A"/>
    <w:rsid w:val="00546190"/>
    <w:rsid w:val="00546415"/>
    <w:rsid w:val="005470B7"/>
    <w:rsid w:val="00547214"/>
    <w:rsid w:val="0054743E"/>
    <w:rsid w:val="00547900"/>
    <w:rsid w:val="00547944"/>
    <w:rsid w:val="00547B2D"/>
    <w:rsid w:val="00550356"/>
    <w:rsid w:val="00550E60"/>
    <w:rsid w:val="005514C9"/>
    <w:rsid w:val="005517C7"/>
    <w:rsid w:val="005517D3"/>
    <w:rsid w:val="0055198F"/>
    <w:rsid w:val="00551BBB"/>
    <w:rsid w:val="00551ECA"/>
    <w:rsid w:val="005523A8"/>
    <w:rsid w:val="0055241A"/>
    <w:rsid w:val="00552A48"/>
    <w:rsid w:val="00552E98"/>
    <w:rsid w:val="00553597"/>
    <w:rsid w:val="0055390E"/>
    <w:rsid w:val="00553D90"/>
    <w:rsid w:val="005545F4"/>
    <w:rsid w:val="00555080"/>
    <w:rsid w:val="00555918"/>
    <w:rsid w:val="00555EAD"/>
    <w:rsid w:val="005561A9"/>
    <w:rsid w:val="00556FCA"/>
    <w:rsid w:val="005574A5"/>
    <w:rsid w:val="00557EA5"/>
    <w:rsid w:val="00560159"/>
    <w:rsid w:val="00560A16"/>
    <w:rsid w:val="00561086"/>
    <w:rsid w:val="005615CD"/>
    <w:rsid w:val="00562248"/>
    <w:rsid w:val="00562769"/>
    <w:rsid w:val="00562A0D"/>
    <w:rsid w:val="0056301B"/>
    <w:rsid w:val="00563131"/>
    <w:rsid w:val="00563AFD"/>
    <w:rsid w:val="005648B4"/>
    <w:rsid w:val="005649E8"/>
    <w:rsid w:val="0056547B"/>
    <w:rsid w:val="00565869"/>
    <w:rsid w:val="00565C2F"/>
    <w:rsid w:val="00565E09"/>
    <w:rsid w:val="005664E2"/>
    <w:rsid w:val="005669FF"/>
    <w:rsid w:val="00566FB5"/>
    <w:rsid w:val="005671AD"/>
    <w:rsid w:val="005702C8"/>
    <w:rsid w:val="00570749"/>
    <w:rsid w:val="00571E1B"/>
    <w:rsid w:val="00571E25"/>
    <w:rsid w:val="00572BE3"/>
    <w:rsid w:val="00572BE8"/>
    <w:rsid w:val="005731F7"/>
    <w:rsid w:val="00573450"/>
    <w:rsid w:val="0057358C"/>
    <w:rsid w:val="00573C9D"/>
    <w:rsid w:val="0057408E"/>
    <w:rsid w:val="005748D1"/>
    <w:rsid w:val="00574958"/>
    <w:rsid w:val="00574D62"/>
    <w:rsid w:val="005751B1"/>
    <w:rsid w:val="005754CE"/>
    <w:rsid w:val="00575631"/>
    <w:rsid w:val="00575CAB"/>
    <w:rsid w:val="00580064"/>
    <w:rsid w:val="0058039B"/>
    <w:rsid w:val="00581688"/>
    <w:rsid w:val="00581AD9"/>
    <w:rsid w:val="005823B5"/>
    <w:rsid w:val="005823FF"/>
    <w:rsid w:val="00582683"/>
    <w:rsid w:val="005826CB"/>
    <w:rsid w:val="00582709"/>
    <w:rsid w:val="00582A80"/>
    <w:rsid w:val="00582C61"/>
    <w:rsid w:val="00582EBB"/>
    <w:rsid w:val="005832A2"/>
    <w:rsid w:val="0058348E"/>
    <w:rsid w:val="005837F4"/>
    <w:rsid w:val="00583BAE"/>
    <w:rsid w:val="00583C39"/>
    <w:rsid w:val="00584CAB"/>
    <w:rsid w:val="005853ED"/>
    <w:rsid w:val="0058543D"/>
    <w:rsid w:val="00585BD6"/>
    <w:rsid w:val="00585F61"/>
    <w:rsid w:val="00586722"/>
    <w:rsid w:val="00586BBE"/>
    <w:rsid w:val="00586C3D"/>
    <w:rsid w:val="00586D4E"/>
    <w:rsid w:val="00586F46"/>
    <w:rsid w:val="00587503"/>
    <w:rsid w:val="00587687"/>
    <w:rsid w:val="00587787"/>
    <w:rsid w:val="00587DBC"/>
    <w:rsid w:val="00587F28"/>
    <w:rsid w:val="00590121"/>
    <w:rsid w:val="005904A4"/>
    <w:rsid w:val="005907E9"/>
    <w:rsid w:val="0059085A"/>
    <w:rsid w:val="005908CE"/>
    <w:rsid w:val="005909CF"/>
    <w:rsid w:val="0059128E"/>
    <w:rsid w:val="00591E71"/>
    <w:rsid w:val="005921AC"/>
    <w:rsid w:val="005924F8"/>
    <w:rsid w:val="0059378D"/>
    <w:rsid w:val="0059403D"/>
    <w:rsid w:val="005948C1"/>
    <w:rsid w:val="00594D5B"/>
    <w:rsid w:val="00594FF7"/>
    <w:rsid w:val="0059508D"/>
    <w:rsid w:val="0059563A"/>
    <w:rsid w:val="00595C53"/>
    <w:rsid w:val="0059622A"/>
    <w:rsid w:val="005966A3"/>
    <w:rsid w:val="00596A76"/>
    <w:rsid w:val="00596D62"/>
    <w:rsid w:val="0059710D"/>
    <w:rsid w:val="005975FE"/>
    <w:rsid w:val="0059794E"/>
    <w:rsid w:val="00597A1F"/>
    <w:rsid w:val="005A0BF0"/>
    <w:rsid w:val="005A0D41"/>
    <w:rsid w:val="005A0DD6"/>
    <w:rsid w:val="005A0E5E"/>
    <w:rsid w:val="005A0E71"/>
    <w:rsid w:val="005A1390"/>
    <w:rsid w:val="005A1BDF"/>
    <w:rsid w:val="005A25C5"/>
    <w:rsid w:val="005A2689"/>
    <w:rsid w:val="005A2EA8"/>
    <w:rsid w:val="005A2F4F"/>
    <w:rsid w:val="005A2FD8"/>
    <w:rsid w:val="005A3606"/>
    <w:rsid w:val="005A508B"/>
    <w:rsid w:val="005A5181"/>
    <w:rsid w:val="005A57FB"/>
    <w:rsid w:val="005A5BB5"/>
    <w:rsid w:val="005A5F47"/>
    <w:rsid w:val="005A6C3C"/>
    <w:rsid w:val="005A70C3"/>
    <w:rsid w:val="005A7453"/>
    <w:rsid w:val="005B0009"/>
    <w:rsid w:val="005B1127"/>
    <w:rsid w:val="005B148C"/>
    <w:rsid w:val="005B2517"/>
    <w:rsid w:val="005B2767"/>
    <w:rsid w:val="005B2827"/>
    <w:rsid w:val="005B33C6"/>
    <w:rsid w:val="005B34C5"/>
    <w:rsid w:val="005B411B"/>
    <w:rsid w:val="005B45BE"/>
    <w:rsid w:val="005B4CE4"/>
    <w:rsid w:val="005B54E7"/>
    <w:rsid w:val="005B5971"/>
    <w:rsid w:val="005B69AB"/>
    <w:rsid w:val="005B7381"/>
    <w:rsid w:val="005B77BE"/>
    <w:rsid w:val="005C0898"/>
    <w:rsid w:val="005C1070"/>
    <w:rsid w:val="005C10A3"/>
    <w:rsid w:val="005C14A8"/>
    <w:rsid w:val="005C1DDE"/>
    <w:rsid w:val="005C1F06"/>
    <w:rsid w:val="005C2248"/>
    <w:rsid w:val="005C2358"/>
    <w:rsid w:val="005C2539"/>
    <w:rsid w:val="005C2710"/>
    <w:rsid w:val="005C2BC0"/>
    <w:rsid w:val="005C3843"/>
    <w:rsid w:val="005C3986"/>
    <w:rsid w:val="005C3AEC"/>
    <w:rsid w:val="005C3AFB"/>
    <w:rsid w:val="005C401C"/>
    <w:rsid w:val="005C459B"/>
    <w:rsid w:val="005C515C"/>
    <w:rsid w:val="005C51DE"/>
    <w:rsid w:val="005C51E2"/>
    <w:rsid w:val="005C521B"/>
    <w:rsid w:val="005C53CE"/>
    <w:rsid w:val="005C5541"/>
    <w:rsid w:val="005C5A57"/>
    <w:rsid w:val="005C5D5F"/>
    <w:rsid w:val="005C5FF3"/>
    <w:rsid w:val="005C6DFA"/>
    <w:rsid w:val="005C6F89"/>
    <w:rsid w:val="005C70CB"/>
    <w:rsid w:val="005C77B1"/>
    <w:rsid w:val="005C7C9F"/>
    <w:rsid w:val="005C7D8F"/>
    <w:rsid w:val="005C7E62"/>
    <w:rsid w:val="005C7FCB"/>
    <w:rsid w:val="005D094D"/>
    <w:rsid w:val="005D0B1B"/>
    <w:rsid w:val="005D0E62"/>
    <w:rsid w:val="005D102E"/>
    <w:rsid w:val="005D1E81"/>
    <w:rsid w:val="005D2873"/>
    <w:rsid w:val="005D2942"/>
    <w:rsid w:val="005D3233"/>
    <w:rsid w:val="005D358E"/>
    <w:rsid w:val="005D540E"/>
    <w:rsid w:val="005D5514"/>
    <w:rsid w:val="005D5BB2"/>
    <w:rsid w:val="005D5E91"/>
    <w:rsid w:val="005D6B76"/>
    <w:rsid w:val="005D6E04"/>
    <w:rsid w:val="005D714A"/>
    <w:rsid w:val="005D71BB"/>
    <w:rsid w:val="005E0A97"/>
    <w:rsid w:val="005E0CFC"/>
    <w:rsid w:val="005E0FB4"/>
    <w:rsid w:val="005E1577"/>
    <w:rsid w:val="005E1993"/>
    <w:rsid w:val="005E1A54"/>
    <w:rsid w:val="005E1B1F"/>
    <w:rsid w:val="005E1CE1"/>
    <w:rsid w:val="005E2632"/>
    <w:rsid w:val="005E3D1C"/>
    <w:rsid w:val="005E3EAE"/>
    <w:rsid w:val="005E47FE"/>
    <w:rsid w:val="005E4F20"/>
    <w:rsid w:val="005E54D1"/>
    <w:rsid w:val="005E6293"/>
    <w:rsid w:val="005E62E5"/>
    <w:rsid w:val="005E6710"/>
    <w:rsid w:val="005E6C7C"/>
    <w:rsid w:val="005E6C9F"/>
    <w:rsid w:val="005E6CCB"/>
    <w:rsid w:val="005E6F9A"/>
    <w:rsid w:val="005E72E7"/>
    <w:rsid w:val="005E78BF"/>
    <w:rsid w:val="005E7D73"/>
    <w:rsid w:val="005F0F80"/>
    <w:rsid w:val="005F1276"/>
    <w:rsid w:val="005F13B9"/>
    <w:rsid w:val="005F1E9C"/>
    <w:rsid w:val="005F2C6C"/>
    <w:rsid w:val="005F3853"/>
    <w:rsid w:val="005F3B47"/>
    <w:rsid w:val="005F45B9"/>
    <w:rsid w:val="005F5242"/>
    <w:rsid w:val="005F54E3"/>
    <w:rsid w:val="005F594A"/>
    <w:rsid w:val="005F5A4D"/>
    <w:rsid w:val="005F67B5"/>
    <w:rsid w:val="005F6DA2"/>
    <w:rsid w:val="005F7765"/>
    <w:rsid w:val="006001FB"/>
    <w:rsid w:val="00600933"/>
    <w:rsid w:val="00600B06"/>
    <w:rsid w:val="00600C39"/>
    <w:rsid w:val="00601477"/>
    <w:rsid w:val="00601810"/>
    <w:rsid w:val="00601B5C"/>
    <w:rsid w:val="00602B87"/>
    <w:rsid w:val="00602CD4"/>
    <w:rsid w:val="00603124"/>
    <w:rsid w:val="00603B95"/>
    <w:rsid w:val="00604E19"/>
    <w:rsid w:val="0060540D"/>
    <w:rsid w:val="006055D7"/>
    <w:rsid w:val="006060F0"/>
    <w:rsid w:val="0060669E"/>
    <w:rsid w:val="0060681B"/>
    <w:rsid w:val="00606BAF"/>
    <w:rsid w:val="00606E05"/>
    <w:rsid w:val="00607199"/>
    <w:rsid w:val="006071FD"/>
    <w:rsid w:val="00607359"/>
    <w:rsid w:val="00607BF1"/>
    <w:rsid w:val="00607DBD"/>
    <w:rsid w:val="00607F54"/>
    <w:rsid w:val="00610B4C"/>
    <w:rsid w:val="0061158D"/>
    <w:rsid w:val="0061158E"/>
    <w:rsid w:val="00611B6F"/>
    <w:rsid w:val="00611D5E"/>
    <w:rsid w:val="00612575"/>
    <w:rsid w:val="00612F49"/>
    <w:rsid w:val="0061404D"/>
    <w:rsid w:val="0061446C"/>
    <w:rsid w:val="00614925"/>
    <w:rsid w:val="00614A94"/>
    <w:rsid w:val="00615508"/>
    <w:rsid w:val="0061695A"/>
    <w:rsid w:val="00616993"/>
    <w:rsid w:val="00617A16"/>
    <w:rsid w:val="006214BF"/>
    <w:rsid w:val="00621A24"/>
    <w:rsid w:val="00621C5D"/>
    <w:rsid w:val="00622394"/>
    <w:rsid w:val="00622A50"/>
    <w:rsid w:val="00622C0C"/>
    <w:rsid w:val="00623088"/>
    <w:rsid w:val="00623F14"/>
    <w:rsid w:val="00624209"/>
    <w:rsid w:val="00624497"/>
    <w:rsid w:val="00624AF5"/>
    <w:rsid w:val="00624D45"/>
    <w:rsid w:val="00625361"/>
    <w:rsid w:val="00625516"/>
    <w:rsid w:val="00625785"/>
    <w:rsid w:val="00625A6F"/>
    <w:rsid w:val="00626D94"/>
    <w:rsid w:val="006302E3"/>
    <w:rsid w:val="006304A0"/>
    <w:rsid w:val="00630BB4"/>
    <w:rsid w:val="00630D4D"/>
    <w:rsid w:val="00630FA4"/>
    <w:rsid w:val="00631875"/>
    <w:rsid w:val="00632298"/>
    <w:rsid w:val="00632896"/>
    <w:rsid w:val="00632A74"/>
    <w:rsid w:val="00633515"/>
    <w:rsid w:val="00633ECD"/>
    <w:rsid w:val="00634E1A"/>
    <w:rsid w:val="006353F3"/>
    <w:rsid w:val="006359D4"/>
    <w:rsid w:val="00635E4E"/>
    <w:rsid w:val="00637177"/>
    <w:rsid w:val="00637A30"/>
    <w:rsid w:val="00637B83"/>
    <w:rsid w:val="00637C4B"/>
    <w:rsid w:val="006402E2"/>
    <w:rsid w:val="00640741"/>
    <w:rsid w:val="00640A01"/>
    <w:rsid w:val="00642724"/>
    <w:rsid w:val="00642C63"/>
    <w:rsid w:val="00642DDB"/>
    <w:rsid w:val="006436CA"/>
    <w:rsid w:val="006436DB"/>
    <w:rsid w:val="00644D42"/>
    <w:rsid w:val="00646AFD"/>
    <w:rsid w:val="0064764B"/>
    <w:rsid w:val="00647C60"/>
    <w:rsid w:val="00647CD2"/>
    <w:rsid w:val="00647F27"/>
    <w:rsid w:val="0065088D"/>
    <w:rsid w:val="00651292"/>
    <w:rsid w:val="0065135F"/>
    <w:rsid w:val="00651AFB"/>
    <w:rsid w:val="00652814"/>
    <w:rsid w:val="00652ACC"/>
    <w:rsid w:val="00652D7E"/>
    <w:rsid w:val="00653003"/>
    <w:rsid w:val="00653376"/>
    <w:rsid w:val="0065338E"/>
    <w:rsid w:val="00653667"/>
    <w:rsid w:val="00654580"/>
    <w:rsid w:val="00654996"/>
    <w:rsid w:val="00654FF9"/>
    <w:rsid w:val="00656F07"/>
    <w:rsid w:val="006575B8"/>
    <w:rsid w:val="006606C8"/>
    <w:rsid w:val="006609C4"/>
    <w:rsid w:val="00660B36"/>
    <w:rsid w:val="00660D51"/>
    <w:rsid w:val="00660F11"/>
    <w:rsid w:val="00661054"/>
    <w:rsid w:val="0066168F"/>
    <w:rsid w:val="00661F62"/>
    <w:rsid w:val="006626BD"/>
    <w:rsid w:val="00662BAB"/>
    <w:rsid w:val="00662F45"/>
    <w:rsid w:val="0066304B"/>
    <w:rsid w:val="00663154"/>
    <w:rsid w:val="006633F3"/>
    <w:rsid w:val="00663D0A"/>
    <w:rsid w:val="006640C1"/>
    <w:rsid w:val="0066495F"/>
    <w:rsid w:val="00665EFE"/>
    <w:rsid w:val="0066692E"/>
    <w:rsid w:val="00666B01"/>
    <w:rsid w:val="00667334"/>
    <w:rsid w:val="00667D0F"/>
    <w:rsid w:val="00667DF6"/>
    <w:rsid w:val="006706D5"/>
    <w:rsid w:val="006708D8"/>
    <w:rsid w:val="00670F8E"/>
    <w:rsid w:val="006719EA"/>
    <w:rsid w:val="00671D92"/>
    <w:rsid w:val="00671E43"/>
    <w:rsid w:val="00671FF4"/>
    <w:rsid w:val="00672AF9"/>
    <w:rsid w:val="00673057"/>
    <w:rsid w:val="006751FA"/>
    <w:rsid w:val="00675665"/>
    <w:rsid w:val="00675757"/>
    <w:rsid w:val="00675844"/>
    <w:rsid w:val="00675D6E"/>
    <w:rsid w:val="00676C69"/>
    <w:rsid w:val="00677352"/>
    <w:rsid w:val="0067757F"/>
    <w:rsid w:val="0068059F"/>
    <w:rsid w:val="006807EE"/>
    <w:rsid w:val="00680B29"/>
    <w:rsid w:val="00681067"/>
    <w:rsid w:val="00681308"/>
    <w:rsid w:val="006814A8"/>
    <w:rsid w:val="006818B6"/>
    <w:rsid w:val="006818FC"/>
    <w:rsid w:val="0068192D"/>
    <w:rsid w:val="00681A24"/>
    <w:rsid w:val="00681AB6"/>
    <w:rsid w:val="00681C5E"/>
    <w:rsid w:val="00682339"/>
    <w:rsid w:val="0068345B"/>
    <w:rsid w:val="00683833"/>
    <w:rsid w:val="00683E3B"/>
    <w:rsid w:val="00684D6D"/>
    <w:rsid w:val="00685DE1"/>
    <w:rsid w:val="0068654A"/>
    <w:rsid w:val="00686C01"/>
    <w:rsid w:val="00686E25"/>
    <w:rsid w:val="00686E44"/>
    <w:rsid w:val="00687791"/>
    <w:rsid w:val="00690096"/>
    <w:rsid w:val="00690932"/>
    <w:rsid w:val="006909E7"/>
    <w:rsid w:val="00690A62"/>
    <w:rsid w:val="00690E54"/>
    <w:rsid w:val="00691194"/>
    <w:rsid w:val="006914BA"/>
    <w:rsid w:val="006924C8"/>
    <w:rsid w:val="00693C72"/>
    <w:rsid w:val="00693F29"/>
    <w:rsid w:val="006940FE"/>
    <w:rsid w:val="006941FE"/>
    <w:rsid w:val="00695419"/>
    <w:rsid w:val="00695AEE"/>
    <w:rsid w:val="00695E3D"/>
    <w:rsid w:val="006962D1"/>
    <w:rsid w:val="00696AE9"/>
    <w:rsid w:val="00697037"/>
    <w:rsid w:val="00697065"/>
    <w:rsid w:val="00697290"/>
    <w:rsid w:val="00697FCD"/>
    <w:rsid w:val="006A030C"/>
    <w:rsid w:val="006A15F4"/>
    <w:rsid w:val="006A235F"/>
    <w:rsid w:val="006A2652"/>
    <w:rsid w:val="006A2B4F"/>
    <w:rsid w:val="006A2ED7"/>
    <w:rsid w:val="006A42F0"/>
    <w:rsid w:val="006A4655"/>
    <w:rsid w:val="006A4BD1"/>
    <w:rsid w:val="006A4C9B"/>
    <w:rsid w:val="006A5623"/>
    <w:rsid w:val="006A5803"/>
    <w:rsid w:val="006A63CE"/>
    <w:rsid w:val="006A66FE"/>
    <w:rsid w:val="006A75ED"/>
    <w:rsid w:val="006A7667"/>
    <w:rsid w:val="006B02B6"/>
    <w:rsid w:val="006B0D98"/>
    <w:rsid w:val="006B0E70"/>
    <w:rsid w:val="006B1AD1"/>
    <w:rsid w:val="006B1E88"/>
    <w:rsid w:val="006B2A93"/>
    <w:rsid w:val="006B2B3C"/>
    <w:rsid w:val="006B2EA0"/>
    <w:rsid w:val="006B2FBB"/>
    <w:rsid w:val="006B3173"/>
    <w:rsid w:val="006B38E5"/>
    <w:rsid w:val="006B3B99"/>
    <w:rsid w:val="006B5C1B"/>
    <w:rsid w:val="006B5F4D"/>
    <w:rsid w:val="006B679A"/>
    <w:rsid w:val="006B6B20"/>
    <w:rsid w:val="006B754A"/>
    <w:rsid w:val="006B7577"/>
    <w:rsid w:val="006B77C6"/>
    <w:rsid w:val="006B77FF"/>
    <w:rsid w:val="006C175B"/>
    <w:rsid w:val="006C1D81"/>
    <w:rsid w:val="006C2372"/>
    <w:rsid w:val="006C292D"/>
    <w:rsid w:val="006C2BC2"/>
    <w:rsid w:val="006C2CD4"/>
    <w:rsid w:val="006C337E"/>
    <w:rsid w:val="006C36F4"/>
    <w:rsid w:val="006C3FE6"/>
    <w:rsid w:val="006C4346"/>
    <w:rsid w:val="006C49A1"/>
    <w:rsid w:val="006C4F77"/>
    <w:rsid w:val="006C51AE"/>
    <w:rsid w:val="006C548A"/>
    <w:rsid w:val="006C574C"/>
    <w:rsid w:val="006C57E6"/>
    <w:rsid w:val="006C5D28"/>
    <w:rsid w:val="006C5E96"/>
    <w:rsid w:val="006C5EE1"/>
    <w:rsid w:val="006C5F32"/>
    <w:rsid w:val="006C6177"/>
    <w:rsid w:val="006C646D"/>
    <w:rsid w:val="006C6484"/>
    <w:rsid w:val="006C697F"/>
    <w:rsid w:val="006C7038"/>
    <w:rsid w:val="006C797E"/>
    <w:rsid w:val="006C7A53"/>
    <w:rsid w:val="006D0707"/>
    <w:rsid w:val="006D0EF9"/>
    <w:rsid w:val="006D0FE8"/>
    <w:rsid w:val="006D1232"/>
    <w:rsid w:val="006D19B2"/>
    <w:rsid w:val="006D2165"/>
    <w:rsid w:val="006D236D"/>
    <w:rsid w:val="006D2DD2"/>
    <w:rsid w:val="006D32E3"/>
    <w:rsid w:val="006D3614"/>
    <w:rsid w:val="006D3C73"/>
    <w:rsid w:val="006D497E"/>
    <w:rsid w:val="006D4A33"/>
    <w:rsid w:val="006D51AF"/>
    <w:rsid w:val="006D6944"/>
    <w:rsid w:val="006D6EC2"/>
    <w:rsid w:val="006D7CE1"/>
    <w:rsid w:val="006E02A3"/>
    <w:rsid w:val="006E069B"/>
    <w:rsid w:val="006E0971"/>
    <w:rsid w:val="006E10BA"/>
    <w:rsid w:val="006E1523"/>
    <w:rsid w:val="006E1DEB"/>
    <w:rsid w:val="006E2906"/>
    <w:rsid w:val="006E2A6A"/>
    <w:rsid w:val="006E374D"/>
    <w:rsid w:val="006E4E70"/>
    <w:rsid w:val="006E5DD6"/>
    <w:rsid w:val="006E5DF2"/>
    <w:rsid w:val="006E6251"/>
    <w:rsid w:val="006E62C0"/>
    <w:rsid w:val="006E70C8"/>
    <w:rsid w:val="006E73EF"/>
    <w:rsid w:val="006E741A"/>
    <w:rsid w:val="006E74BF"/>
    <w:rsid w:val="006E7E7F"/>
    <w:rsid w:val="006E7EFF"/>
    <w:rsid w:val="006F02E3"/>
    <w:rsid w:val="006F13C5"/>
    <w:rsid w:val="006F1BA1"/>
    <w:rsid w:val="006F1FFE"/>
    <w:rsid w:val="006F205A"/>
    <w:rsid w:val="006F2CC3"/>
    <w:rsid w:val="006F2F15"/>
    <w:rsid w:val="006F3340"/>
    <w:rsid w:val="006F3667"/>
    <w:rsid w:val="006F3945"/>
    <w:rsid w:val="006F3EB2"/>
    <w:rsid w:val="006F48BB"/>
    <w:rsid w:val="006F566B"/>
    <w:rsid w:val="006F5AA1"/>
    <w:rsid w:val="006F5ED7"/>
    <w:rsid w:val="006F5F64"/>
    <w:rsid w:val="006F6F5B"/>
    <w:rsid w:val="006F72A1"/>
    <w:rsid w:val="006F74FC"/>
    <w:rsid w:val="006F7E23"/>
    <w:rsid w:val="00700228"/>
    <w:rsid w:val="0070058C"/>
    <w:rsid w:val="00701C3A"/>
    <w:rsid w:val="00702265"/>
    <w:rsid w:val="007032A8"/>
    <w:rsid w:val="00703D68"/>
    <w:rsid w:val="00703DE4"/>
    <w:rsid w:val="00704083"/>
    <w:rsid w:val="00704AA5"/>
    <w:rsid w:val="0070521F"/>
    <w:rsid w:val="00705B68"/>
    <w:rsid w:val="00705BEC"/>
    <w:rsid w:val="0070614C"/>
    <w:rsid w:val="0070669D"/>
    <w:rsid w:val="00706F15"/>
    <w:rsid w:val="007079F8"/>
    <w:rsid w:val="00707EC5"/>
    <w:rsid w:val="007105C7"/>
    <w:rsid w:val="00711CD5"/>
    <w:rsid w:val="00711D72"/>
    <w:rsid w:val="0071203E"/>
    <w:rsid w:val="00713F3E"/>
    <w:rsid w:val="00714379"/>
    <w:rsid w:val="00714594"/>
    <w:rsid w:val="00714B9D"/>
    <w:rsid w:val="00714D4D"/>
    <w:rsid w:val="0071505C"/>
    <w:rsid w:val="00716AC8"/>
    <w:rsid w:val="00716E56"/>
    <w:rsid w:val="00717D71"/>
    <w:rsid w:val="00720376"/>
    <w:rsid w:val="007205D1"/>
    <w:rsid w:val="007206F3"/>
    <w:rsid w:val="00720A0F"/>
    <w:rsid w:val="007212E2"/>
    <w:rsid w:val="00721D6E"/>
    <w:rsid w:val="007223DC"/>
    <w:rsid w:val="007229AA"/>
    <w:rsid w:val="00723B26"/>
    <w:rsid w:val="00723CB5"/>
    <w:rsid w:val="00724384"/>
    <w:rsid w:val="00724AC4"/>
    <w:rsid w:val="00724C10"/>
    <w:rsid w:val="007258A8"/>
    <w:rsid w:val="007259DA"/>
    <w:rsid w:val="00725AD2"/>
    <w:rsid w:val="00725FD1"/>
    <w:rsid w:val="00726857"/>
    <w:rsid w:val="00726DC4"/>
    <w:rsid w:val="0072720B"/>
    <w:rsid w:val="007273EC"/>
    <w:rsid w:val="00727EE5"/>
    <w:rsid w:val="00730278"/>
    <w:rsid w:val="00731743"/>
    <w:rsid w:val="00731D8F"/>
    <w:rsid w:val="00732991"/>
    <w:rsid w:val="00732E58"/>
    <w:rsid w:val="007336AF"/>
    <w:rsid w:val="00733753"/>
    <w:rsid w:val="007342D3"/>
    <w:rsid w:val="007343A8"/>
    <w:rsid w:val="00735217"/>
    <w:rsid w:val="00735B3D"/>
    <w:rsid w:val="00735DC6"/>
    <w:rsid w:val="00737C5C"/>
    <w:rsid w:val="00737EA8"/>
    <w:rsid w:val="0074087B"/>
    <w:rsid w:val="007409FA"/>
    <w:rsid w:val="0074101C"/>
    <w:rsid w:val="00741288"/>
    <w:rsid w:val="0074131B"/>
    <w:rsid w:val="00741D77"/>
    <w:rsid w:val="00742B42"/>
    <w:rsid w:val="0074555B"/>
    <w:rsid w:val="00745AF2"/>
    <w:rsid w:val="0074610A"/>
    <w:rsid w:val="007462CC"/>
    <w:rsid w:val="00746304"/>
    <w:rsid w:val="00746596"/>
    <w:rsid w:val="00747B64"/>
    <w:rsid w:val="00747DC6"/>
    <w:rsid w:val="00747FA3"/>
    <w:rsid w:val="0075050C"/>
    <w:rsid w:val="00751567"/>
    <w:rsid w:val="00751715"/>
    <w:rsid w:val="00751DEE"/>
    <w:rsid w:val="007533F4"/>
    <w:rsid w:val="007536BB"/>
    <w:rsid w:val="007539A7"/>
    <w:rsid w:val="007544D3"/>
    <w:rsid w:val="00754DDA"/>
    <w:rsid w:val="00755ED1"/>
    <w:rsid w:val="00756063"/>
    <w:rsid w:val="0075612F"/>
    <w:rsid w:val="00756FB6"/>
    <w:rsid w:val="0075743A"/>
    <w:rsid w:val="0075790B"/>
    <w:rsid w:val="00757DEF"/>
    <w:rsid w:val="00760029"/>
    <w:rsid w:val="007602F2"/>
    <w:rsid w:val="007604BB"/>
    <w:rsid w:val="00760631"/>
    <w:rsid w:val="0076093D"/>
    <w:rsid w:val="00760FDD"/>
    <w:rsid w:val="00761001"/>
    <w:rsid w:val="007617B3"/>
    <w:rsid w:val="0076192F"/>
    <w:rsid w:val="0076217D"/>
    <w:rsid w:val="00762241"/>
    <w:rsid w:val="007622B1"/>
    <w:rsid w:val="0076248C"/>
    <w:rsid w:val="007628C5"/>
    <w:rsid w:val="00762F3D"/>
    <w:rsid w:val="007636AC"/>
    <w:rsid w:val="00763936"/>
    <w:rsid w:val="0076402B"/>
    <w:rsid w:val="00764121"/>
    <w:rsid w:val="007647E6"/>
    <w:rsid w:val="00764B08"/>
    <w:rsid w:val="00764EC4"/>
    <w:rsid w:val="00764ED6"/>
    <w:rsid w:val="007657D9"/>
    <w:rsid w:val="00765E14"/>
    <w:rsid w:val="00766114"/>
    <w:rsid w:val="007663BE"/>
    <w:rsid w:val="0076659E"/>
    <w:rsid w:val="0076727F"/>
    <w:rsid w:val="0076779B"/>
    <w:rsid w:val="00767CF1"/>
    <w:rsid w:val="0077036F"/>
    <w:rsid w:val="007707BA"/>
    <w:rsid w:val="00770879"/>
    <w:rsid w:val="00770C71"/>
    <w:rsid w:val="00770C9F"/>
    <w:rsid w:val="00770D69"/>
    <w:rsid w:val="00771251"/>
    <w:rsid w:val="007713C5"/>
    <w:rsid w:val="00771741"/>
    <w:rsid w:val="00772B2E"/>
    <w:rsid w:val="00772BFF"/>
    <w:rsid w:val="00772CEA"/>
    <w:rsid w:val="00772D08"/>
    <w:rsid w:val="00772FCF"/>
    <w:rsid w:val="0077328F"/>
    <w:rsid w:val="00773BB4"/>
    <w:rsid w:val="00773D64"/>
    <w:rsid w:val="00774950"/>
    <w:rsid w:val="00774E9B"/>
    <w:rsid w:val="007760F0"/>
    <w:rsid w:val="00776297"/>
    <w:rsid w:val="00776632"/>
    <w:rsid w:val="00776733"/>
    <w:rsid w:val="007767AB"/>
    <w:rsid w:val="007767F0"/>
    <w:rsid w:val="00776E74"/>
    <w:rsid w:val="007771B6"/>
    <w:rsid w:val="00777D18"/>
    <w:rsid w:val="00780388"/>
    <w:rsid w:val="00780792"/>
    <w:rsid w:val="00780CDF"/>
    <w:rsid w:val="00780DDB"/>
    <w:rsid w:val="00782579"/>
    <w:rsid w:val="007826CB"/>
    <w:rsid w:val="00782C5D"/>
    <w:rsid w:val="00782D39"/>
    <w:rsid w:val="007834C7"/>
    <w:rsid w:val="00783D02"/>
    <w:rsid w:val="00783EC5"/>
    <w:rsid w:val="007841EB"/>
    <w:rsid w:val="0078468C"/>
    <w:rsid w:val="007846C0"/>
    <w:rsid w:val="00784B41"/>
    <w:rsid w:val="00784E9A"/>
    <w:rsid w:val="00785070"/>
    <w:rsid w:val="00785232"/>
    <w:rsid w:val="007856E4"/>
    <w:rsid w:val="00785CD7"/>
    <w:rsid w:val="00785D3D"/>
    <w:rsid w:val="0078648C"/>
    <w:rsid w:val="0078714F"/>
    <w:rsid w:val="00787439"/>
    <w:rsid w:val="00787838"/>
    <w:rsid w:val="00787909"/>
    <w:rsid w:val="0079018F"/>
    <w:rsid w:val="007902E4"/>
    <w:rsid w:val="00790A8E"/>
    <w:rsid w:val="00790D93"/>
    <w:rsid w:val="00791115"/>
    <w:rsid w:val="0079195B"/>
    <w:rsid w:val="00791BE4"/>
    <w:rsid w:val="00792437"/>
    <w:rsid w:val="00792640"/>
    <w:rsid w:val="00792DDA"/>
    <w:rsid w:val="00793758"/>
    <w:rsid w:val="00793AB0"/>
    <w:rsid w:val="00793BAB"/>
    <w:rsid w:val="00793C44"/>
    <w:rsid w:val="00793FAB"/>
    <w:rsid w:val="00794E40"/>
    <w:rsid w:val="007A0104"/>
    <w:rsid w:val="007A15FE"/>
    <w:rsid w:val="007A19C3"/>
    <w:rsid w:val="007A1FEF"/>
    <w:rsid w:val="007A2127"/>
    <w:rsid w:val="007A21EB"/>
    <w:rsid w:val="007A24FE"/>
    <w:rsid w:val="007A2C87"/>
    <w:rsid w:val="007A3040"/>
    <w:rsid w:val="007A4244"/>
    <w:rsid w:val="007A43E2"/>
    <w:rsid w:val="007A45C9"/>
    <w:rsid w:val="007A46A6"/>
    <w:rsid w:val="007A57A0"/>
    <w:rsid w:val="007A5DC4"/>
    <w:rsid w:val="007A6459"/>
    <w:rsid w:val="007A6513"/>
    <w:rsid w:val="007A74AD"/>
    <w:rsid w:val="007A7C34"/>
    <w:rsid w:val="007A7DED"/>
    <w:rsid w:val="007B0111"/>
    <w:rsid w:val="007B10DD"/>
    <w:rsid w:val="007B13EF"/>
    <w:rsid w:val="007B1A93"/>
    <w:rsid w:val="007B20E3"/>
    <w:rsid w:val="007B293D"/>
    <w:rsid w:val="007B2B49"/>
    <w:rsid w:val="007B2B57"/>
    <w:rsid w:val="007B2D3F"/>
    <w:rsid w:val="007B3BE3"/>
    <w:rsid w:val="007B3F62"/>
    <w:rsid w:val="007B49CF"/>
    <w:rsid w:val="007B5CDA"/>
    <w:rsid w:val="007B64DB"/>
    <w:rsid w:val="007B66E6"/>
    <w:rsid w:val="007B6A16"/>
    <w:rsid w:val="007B773A"/>
    <w:rsid w:val="007B7CBE"/>
    <w:rsid w:val="007B7D96"/>
    <w:rsid w:val="007B7DBC"/>
    <w:rsid w:val="007C0586"/>
    <w:rsid w:val="007C083D"/>
    <w:rsid w:val="007C1406"/>
    <w:rsid w:val="007C1DCD"/>
    <w:rsid w:val="007C264D"/>
    <w:rsid w:val="007C2DA2"/>
    <w:rsid w:val="007C36C9"/>
    <w:rsid w:val="007C4555"/>
    <w:rsid w:val="007C4558"/>
    <w:rsid w:val="007C494A"/>
    <w:rsid w:val="007C4AEF"/>
    <w:rsid w:val="007C515D"/>
    <w:rsid w:val="007C5D59"/>
    <w:rsid w:val="007C658B"/>
    <w:rsid w:val="007C6856"/>
    <w:rsid w:val="007C68B6"/>
    <w:rsid w:val="007C740C"/>
    <w:rsid w:val="007C7B7F"/>
    <w:rsid w:val="007C7F8C"/>
    <w:rsid w:val="007D0925"/>
    <w:rsid w:val="007D0E5D"/>
    <w:rsid w:val="007D16E1"/>
    <w:rsid w:val="007D1B8D"/>
    <w:rsid w:val="007D1BD8"/>
    <w:rsid w:val="007D1C86"/>
    <w:rsid w:val="007D2004"/>
    <w:rsid w:val="007D23A9"/>
    <w:rsid w:val="007D2A98"/>
    <w:rsid w:val="007D2B35"/>
    <w:rsid w:val="007D2F02"/>
    <w:rsid w:val="007D306D"/>
    <w:rsid w:val="007D4C2F"/>
    <w:rsid w:val="007D4F90"/>
    <w:rsid w:val="007D51BA"/>
    <w:rsid w:val="007D56ED"/>
    <w:rsid w:val="007D5867"/>
    <w:rsid w:val="007D5F0F"/>
    <w:rsid w:val="007D5F27"/>
    <w:rsid w:val="007D614D"/>
    <w:rsid w:val="007D6401"/>
    <w:rsid w:val="007D68A0"/>
    <w:rsid w:val="007D6BE6"/>
    <w:rsid w:val="007D6C30"/>
    <w:rsid w:val="007D77AF"/>
    <w:rsid w:val="007D79A4"/>
    <w:rsid w:val="007E0164"/>
    <w:rsid w:val="007E01E4"/>
    <w:rsid w:val="007E04AC"/>
    <w:rsid w:val="007E0663"/>
    <w:rsid w:val="007E0A36"/>
    <w:rsid w:val="007E0D9F"/>
    <w:rsid w:val="007E0DD3"/>
    <w:rsid w:val="007E0F4E"/>
    <w:rsid w:val="007E148B"/>
    <w:rsid w:val="007E14D1"/>
    <w:rsid w:val="007E18AF"/>
    <w:rsid w:val="007E3EFC"/>
    <w:rsid w:val="007E4541"/>
    <w:rsid w:val="007E477C"/>
    <w:rsid w:val="007E4A1E"/>
    <w:rsid w:val="007E4A97"/>
    <w:rsid w:val="007E4CD5"/>
    <w:rsid w:val="007E4E46"/>
    <w:rsid w:val="007E53D9"/>
    <w:rsid w:val="007E5431"/>
    <w:rsid w:val="007E6738"/>
    <w:rsid w:val="007E6DE9"/>
    <w:rsid w:val="007E7557"/>
    <w:rsid w:val="007E7718"/>
    <w:rsid w:val="007F0535"/>
    <w:rsid w:val="007F0A1C"/>
    <w:rsid w:val="007F0BC8"/>
    <w:rsid w:val="007F1020"/>
    <w:rsid w:val="007F16A1"/>
    <w:rsid w:val="007F17AB"/>
    <w:rsid w:val="007F24C4"/>
    <w:rsid w:val="007F295A"/>
    <w:rsid w:val="007F2A11"/>
    <w:rsid w:val="007F33AD"/>
    <w:rsid w:val="007F400E"/>
    <w:rsid w:val="007F4442"/>
    <w:rsid w:val="007F484F"/>
    <w:rsid w:val="007F57EB"/>
    <w:rsid w:val="007F6BE7"/>
    <w:rsid w:val="007F7107"/>
    <w:rsid w:val="007F7C54"/>
    <w:rsid w:val="007F7D32"/>
    <w:rsid w:val="008008C1"/>
    <w:rsid w:val="00800C1F"/>
    <w:rsid w:val="00800C64"/>
    <w:rsid w:val="00800D4C"/>
    <w:rsid w:val="00801395"/>
    <w:rsid w:val="00801596"/>
    <w:rsid w:val="00801721"/>
    <w:rsid w:val="00802088"/>
    <w:rsid w:val="00802341"/>
    <w:rsid w:val="00802905"/>
    <w:rsid w:val="00802EFA"/>
    <w:rsid w:val="00803A76"/>
    <w:rsid w:val="00803C75"/>
    <w:rsid w:val="008045FF"/>
    <w:rsid w:val="008048D6"/>
    <w:rsid w:val="00804A6E"/>
    <w:rsid w:val="00806A6B"/>
    <w:rsid w:val="00806D39"/>
    <w:rsid w:val="00807082"/>
    <w:rsid w:val="00807C99"/>
    <w:rsid w:val="00810107"/>
    <w:rsid w:val="0081030F"/>
    <w:rsid w:val="008113ED"/>
    <w:rsid w:val="00811948"/>
    <w:rsid w:val="00811B6F"/>
    <w:rsid w:val="00811DEF"/>
    <w:rsid w:val="00811F68"/>
    <w:rsid w:val="008124D7"/>
    <w:rsid w:val="00812BAD"/>
    <w:rsid w:val="00812CC1"/>
    <w:rsid w:val="00812F59"/>
    <w:rsid w:val="00813223"/>
    <w:rsid w:val="00813263"/>
    <w:rsid w:val="008142DF"/>
    <w:rsid w:val="00814774"/>
    <w:rsid w:val="00814E42"/>
    <w:rsid w:val="00815AA3"/>
    <w:rsid w:val="00815B7D"/>
    <w:rsid w:val="00815BB4"/>
    <w:rsid w:val="008160F7"/>
    <w:rsid w:val="0081653D"/>
    <w:rsid w:val="008168A6"/>
    <w:rsid w:val="00816A20"/>
    <w:rsid w:val="00816C12"/>
    <w:rsid w:val="008174BD"/>
    <w:rsid w:val="00817EB6"/>
    <w:rsid w:val="0082005F"/>
    <w:rsid w:val="0082087D"/>
    <w:rsid w:val="0082119D"/>
    <w:rsid w:val="00822392"/>
    <w:rsid w:val="008224A3"/>
    <w:rsid w:val="008228FB"/>
    <w:rsid w:val="00822950"/>
    <w:rsid w:val="00823BEA"/>
    <w:rsid w:val="00823FB3"/>
    <w:rsid w:val="00823FF8"/>
    <w:rsid w:val="00824AAA"/>
    <w:rsid w:val="00824B7D"/>
    <w:rsid w:val="008252DF"/>
    <w:rsid w:val="0082567A"/>
    <w:rsid w:val="008258DF"/>
    <w:rsid w:val="00825D51"/>
    <w:rsid w:val="00825E60"/>
    <w:rsid w:val="00825E7C"/>
    <w:rsid w:val="00825FBC"/>
    <w:rsid w:val="00826AC1"/>
    <w:rsid w:val="00826BA6"/>
    <w:rsid w:val="00826EA7"/>
    <w:rsid w:val="008273B5"/>
    <w:rsid w:val="00827A71"/>
    <w:rsid w:val="00827B7A"/>
    <w:rsid w:val="00827DE5"/>
    <w:rsid w:val="00830511"/>
    <w:rsid w:val="008335A9"/>
    <w:rsid w:val="008339DC"/>
    <w:rsid w:val="00833EF0"/>
    <w:rsid w:val="0083414B"/>
    <w:rsid w:val="00834715"/>
    <w:rsid w:val="0083562B"/>
    <w:rsid w:val="00835771"/>
    <w:rsid w:val="00835C78"/>
    <w:rsid w:val="00835F43"/>
    <w:rsid w:val="008365CB"/>
    <w:rsid w:val="008365F2"/>
    <w:rsid w:val="00836824"/>
    <w:rsid w:val="00836DDE"/>
    <w:rsid w:val="00836F27"/>
    <w:rsid w:val="0083758C"/>
    <w:rsid w:val="00837700"/>
    <w:rsid w:val="0083786D"/>
    <w:rsid w:val="008378F7"/>
    <w:rsid w:val="00837DF8"/>
    <w:rsid w:val="00837FC9"/>
    <w:rsid w:val="0084047F"/>
    <w:rsid w:val="0084089D"/>
    <w:rsid w:val="00840BD8"/>
    <w:rsid w:val="00841F01"/>
    <w:rsid w:val="008422C7"/>
    <w:rsid w:val="00842451"/>
    <w:rsid w:val="0084245A"/>
    <w:rsid w:val="008425E5"/>
    <w:rsid w:val="00842933"/>
    <w:rsid w:val="00842C63"/>
    <w:rsid w:val="00842E32"/>
    <w:rsid w:val="00843B3F"/>
    <w:rsid w:val="00844175"/>
    <w:rsid w:val="00844364"/>
    <w:rsid w:val="0084442B"/>
    <w:rsid w:val="008448AC"/>
    <w:rsid w:val="00844F31"/>
    <w:rsid w:val="00845442"/>
    <w:rsid w:val="00845BC9"/>
    <w:rsid w:val="00846839"/>
    <w:rsid w:val="00846994"/>
    <w:rsid w:val="008470E5"/>
    <w:rsid w:val="00847B59"/>
    <w:rsid w:val="00847C6C"/>
    <w:rsid w:val="00847E72"/>
    <w:rsid w:val="008505C8"/>
    <w:rsid w:val="00851E10"/>
    <w:rsid w:val="0085348E"/>
    <w:rsid w:val="00853B4B"/>
    <w:rsid w:val="008543E2"/>
    <w:rsid w:val="008551A2"/>
    <w:rsid w:val="008554B0"/>
    <w:rsid w:val="0085567B"/>
    <w:rsid w:val="008558DC"/>
    <w:rsid w:val="00856800"/>
    <w:rsid w:val="00857086"/>
    <w:rsid w:val="0085746D"/>
    <w:rsid w:val="00857A8D"/>
    <w:rsid w:val="0086082C"/>
    <w:rsid w:val="00860BA4"/>
    <w:rsid w:val="0086120C"/>
    <w:rsid w:val="008613A6"/>
    <w:rsid w:val="008617C8"/>
    <w:rsid w:val="0086203E"/>
    <w:rsid w:val="008623C3"/>
    <w:rsid w:val="00864A9A"/>
    <w:rsid w:val="00864ADC"/>
    <w:rsid w:val="0086548D"/>
    <w:rsid w:val="00865A90"/>
    <w:rsid w:val="00865B8F"/>
    <w:rsid w:val="00867FFE"/>
    <w:rsid w:val="0087037A"/>
    <w:rsid w:val="00870434"/>
    <w:rsid w:val="00870C9D"/>
    <w:rsid w:val="0087126B"/>
    <w:rsid w:val="00871C53"/>
    <w:rsid w:val="008720EA"/>
    <w:rsid w:val="008724DC"/>
    <w:rsid w:val="008728B5"/>
    <w:rsid w:val="00872AD8"/>
    <w:rsid w:val="008732B5"/>
    <w:rsid w:val="00873538"/>
    <w:rsid w:val="00873C75"/>
    <w:rsid w:val="00873F64"/>
    <w:rsid w:val="008742BF"/>
    <w:rsid w:val="00874A3E"/>
    <w:rsid w:val="00874D99"/>
    <w:rsid w:val="00875054"/>
    <w:rsid w:val="0087539E"/>
    <w:rsid w:val="008754F5"/>
    <w:rsid w:val="00875D94"/>
    <w:rsid w:val="00875EC0"/>
    <w:rsid w:val="00876285"/>
    <w:rsid w:val="00876D9C"/>
    <w:rsid w:val="00877375"/>
    <w:rsid w:val="00877A9C"/>
    <w:rsid w:val="00877B7E"/>
    <w:rsid w:val="00877C9D"/>
    <w:rsid w:val="00880153"/>
    <w:rsid w:val="008804C8"/>
    <w:rsid w:val="00880968"/>
    <w:rsid w:val="00880F97"/>
    <w:rsid w:val="0088133A"/>
    <w:rsid w:val="008818A8"/>
    <w:rsid w:val="00881A69"/>
    <w:rsid w:val="00881D75"/>
    <w:rsid w:val="00882560"/>
    <w:rsid w:val="008826A3"/>
    <w:rsid w:val="00882960"/>
    <w:rsid w:val="00882D5C"/>
    <w:rsid w:val="0088388E"/>
    <w:rsid w:val="00884084"/>
    <w:rsid w:val="008842FE"/>
    <w:rsid w:val="008843AD"/>
    <w:rsid w:val="008843B8"/>
    <w:rsid w:val="00884ACA"/>
    <w:rsid w:val="00884B7E"/>
    <w:rsid w:val="00885151"/>
    <w:rsid w:val="00885927"/>
    <w:rsid w:val="00885BCA"/>
    <w:rsid w:val="00885C6C"/>
    <w:rsid w:val="00885FA0"/>
    <w:rsid w:val="00886081"/>
    <w:rsid w:val="00886928"/>
    <w:rsid w:val="00887956"/>
    <w:rsid w:val="00887BD0"/>
    <w:rsid w:val="00887D56"/>
    <w:rsid w:val="00890935"/>
    <w:rsid w:val="00891325"/>
    <w:rsid w:val="00891CF0"/>
    <w:rsid w:val="008920F4"/>
    <w:rsid w:val="008921E5"/>
    <w:rsid w:val="00892211"/>
    <w:rsid w:val="008926F7"/>
    <w:rsid w:val="0089285E"/>
    <w:rsid w:val="00893A03"/>
    <w:rsid w:val="00893D29"/>
    <w:rsid w:val="00893FF4"/>
    <w:rsid w:val="008941DC"/>
    <w:rsid w:val="0089436C"/>
    <w:rsid w:val="00895026"/>
    <w:rsid w:val="00895CE8"/>
    <w:rsid w:val="00895D44"/>
    <w:rsid w:val="00896F88"/>
    <w:rsid w:val="008978D3"/>
    <w:rsid w:val="008979C4"/>
    <w:rsid w:val="00897EE8"/>
    <w:rsid w:val="008A0043"/>
    <w:rsid w:val="008A045B"/>
    <w:rsid w:val="008A0DB3"/>
    <w:rsid w:val="008A12DC"/>
    <w:rsid w:val="008A1CE6"/>
    <w:rsid w:val="008A3451"/>
    <w:rsid w:val="008A4CFF"/>
    <w:rsid w:val="008A5603"/>
    <w:rsid w:val="008A5657"/>
    <w:rsid w:val="008A6929"/>
    <w:rsid w:val="008A6EDD"/>
    <w:rsid w:val="008A7647"/>
    <w:rsid w:val="008A7B99"/>
    <w:rsid w:val="008A7D91"/>
    <w:rsid w:val="008B07EC"/>
    <w:rsid w:val="008B0A23"/>
    <w:rsid w:val="008B1023"/>
    <w:rsid w:val="008B1104"/>
    <w:rsid w:val="008B13C5"/>
    <w:rsid w:val="008B2345"/>
    <w:rsid w:val="008B2ABA"/>
    <w:rsid w:val="008B2BC1"/>
    <w:rsid w:val="008B34F0"/>
    <w:rsid w:val="008B3E20"/>
    <w:rsid w:val="008B3EC6"/>
    <w:rsid w:val="008B439F"/>
    <w:rsid w:val="008B5B9A"/>
    <w:rsid w:val="008B5DE0"/>
    <w:rsid w:val="008B5E88"/>
    <w:rsid w:val="008B6E2C"/>
    <w:rsid w:val="008B70F7"/>
    <w:rsid w:val="008B7339"/>
    <w:rsid w:val="008B77F7"/>
    <w:rsid w:val="008B7B72"/>
    <w:rsid w:val="008C00CE"/>
    <w:rsid w:val="008C0C75"/>
    <w:rsid w:val="008C0F41"/>
    <w:rsid w:val="008C1259"/>
    <w:rsid w:val="008C1568"/>
    <w:rsid w:val="008C1E2D"/>
    <w:rsid w:val="008C1F52"/>
    <w:rsid w:val="008C2376"/>
    <w:rsid w:val="008C286D"/>
    <w:rsid w:val="008C339B"/>
    <w:rsid w:val="008C3AC5"/>
    <w:rsid w:val="008C46DD"/>
    <w:rsid w:val="008C53F4"/>
    <w:rsid w:val="008C571E"/>
    <w:rsid w:val="008C57AC"/>
    <w:rsid w:val="008C63F6"/>
    <w:rsid w:val="008C699E"/>
    <w:rsid w:val="008C6E68"/>
    <w:rsid w:val="008C703B"/>
    <w:rsid w:val="008C74E6"/>
    <w:rsid w:val="008C7EFD"/>
    <w:rsid w:val="008D07A7"/>
    <w:rsid w:val="008D09A2"/>
    <w:rsid w:val="008D0BDC"/>
    <w:rsid w:val="008D1231"/>
    <w:rsid w:val="008D1A3C"/>
    <w:rsid w:val="008D1DBA"/>
    <w:rsid w:val="008D2CE1"/>
    <w:rsid w:val="008D33FA"/>
    <w:rsid w:val="008D365C"/>
    <w:rsid w:val="008D3BC8"/>
    <w:rsid w:val="008D3C31"/>
    <w:rsid w:val="008D437C"/>
    <w:rsid w:val="008D47B8"/>
    <w:rsid w:val="008D48C7"/>
    <w:rsid w:val="008D4B46"/>
    <w:rsid w:val="008D4E62"/>
    <w:rsid w:val="008D5037"/>
    <w:rsid w:val="008D5477"/>
    <w:rsid w:val="008D661B"/>
    <w:rsid w:val="008D6C80"/>
    <w:rsid w:val="008D6E4D"/>
    <w:rsid w:val="008D6FDD"/>
    <w:rsid w:val="008D755F"/>
    <w:rsid w:val="008D79F0"/>
    <w:rsid w:val="008E01C2"/>
    <w:rsid w:val="008E0B3A"/>
    <w:rsid w:val="008E0E87"/>
    <w:rsid w:val="008E1203"/>
    <w:rsid w:val="008E1633"/>
    <w:rsid w:val="008E1A26"/>
    <w:rsid w:val="008E1CB3"/>
    <w:rsid w:val="008E1D10"/>
    <w:rsid w:val="008E24DC"/>
    <w:rsid w:val="008E2C48"/>
    <w:rsid w:val="008E2D25"/>
    <w:rsid w:val="008E378D"/>
    <w:rsid w:val="008E3858"/>
    <w:rsid w:val="008E3E50"/>
    <w:rsid w:val="008E41F5"/>
    <w:rsid w:val="008E4205"/>
    <w:rsid w:val="008E4261"/>
    <w:rsid w:val="008E4796"/>
    <w:rsid w:val="008E4BD5"/>
    <w:rsid w:val="008E5514"/>
    <w:rsid w:val="008E5A02"/>
    <w:rsid w:val="008E5E9E"/>
    <w:rsid w:val="008E60AB"/>
    <w:rsid w:val="008E68AA"/>
    <w:rsid w:val="008E7180"/>
    <w:rsid w:val="008E737B"/>
    <w:rsid w:val="008E7A33"/>
    <w:rsid w:val="008E7DD1"/>
    <w:rsid w:val="008F066B"/>
    <w:rsid w:val="008F1167"/>
    <w:rsid w:val="008F1429"/>
    <w:rsid w:val="008F18CD"/>
    <w:rsid w:val="008F1CFA"/>
    <w:rsid w:val="008F2241"/>
    <w:rsid w:val="008F2705"/>
    <w:rsid w:val="008F2771"/>
    <w:rsid w:val="008F2BA3"/>
    <w:rsid w:val="008F33D1"/>
    <w:rsid w:val="008F342A"/>
    <w:rsid w:val="008F3670"/>
    <w:rsid w:val="008F3A45"/>
    <w:rsid w:val="008F4567"/>
    <w:rsid w:val="008F554B"/>
    <w:rsid w:val="008F59C6"/>
    <w:rsid w:val="008F61E1"/>
    <w:rsid w:val="008F636E"/>
    <w:rsid w:val="008F68EC"/>
    <w:rsid w:val="008F7048"/>
    <w:rsid w:val="008F7AC6"/>
    <w:rsid w:val="008F7AD7"/>
    <w:rsid w:val="00900AE3"/>
    <w:rsid w:val="00901D3C"/>
    <w:rsid w:val="009030BF"/>
    <w:rsid w:val="00903F08"/>
    <w:rsid w:val="0090403C"/>
    <w:rsid w:val="00904209"/>
    <w:rsid w:val="0090494D"/>
    <w:rsid w:val="00904D48"/>
    <w:rsid w:val="00905769"/>
    <w:rsid w:val="00906115"/>
    <w:rsid w:val="00906154"/>
    <w:rsid w:val="00906656"/>
    <w:rsid w:val="00906D43"/>
    <w:rsid w:val="0090754E"/>
    <w:rsid w:val="00907610"/>
    <w:rsid w:val="00907AE8"/>
    <w:rsid w:val="0091032F"/>
    <w:rsid w:val="0091045A"/>
    <w:rsid w:val="009110D6"/>
    <w:rsid w:val="00911211"/>
    <w:rsid w:val="00911AA7"/>
    <w:rsid w:val="00911B6F"/>
    <w:rsid w:val="00911D54"/>
    <w:rsid w:val="00912434"/>
    <w:rsid w:val="00912AA3"/>
    <w:rsid w:val="00913065"/>
    <w:rsid w:val="00914368"/>
    <w:rsid w:val="009148A3"/>
    <w:rsid w:val="00914A98"/>
    <w:rsid w:val="00914B2F"/>
    <w:rsid w:val="009150C1"/>
    <w:rsid w:val="0091595C"/>
    <w:rsid w:val="00915D94"/>
    <w:rsid w:val="00916BF0"/>
    <w:rsid w:val="00917175"/>
    <w:rsid w:val="00917F4F"/>
    <w:rsid w:val="0092047C"/>
    <w:rsid w:val="009206DB"/>
    <w:rsid w:val="009208F6"/>
    <w:rsid w:val="00920979"/>
    <w:rsid w:val="00920A8A"/>
    <w:rsid w:val="00920E03"/>
    <w:rsid w:val="00921366"/>
    <w:rsid w:val="00921734"/>
    <w:rsid w:val="00921854"/>
    <w:rsid w:val="00922459"/>
    <w:rsid w:val="00922A47"/>
    <w:rsid w:val="0092331D"/>
    <w:rsid w:val="00923846"/>
    <w:rsid w:val="009238CB"/>
    <w:rsid w:val="00923D74"/>
    <w:rsid w:val="0092469A"/>
    <w:rsid w:val="009246A8"/>
    <w:rsid w:val="00925ADB"/>
    <w:rsid w:val="00925D7F"/>
    <w:rsid w:val="00925E8A"/>
    <w:rsid w:val="00926415"/>
    <w:rsid w:val="0092686D"/>
    <w:rsid w:val="00927078"/>
    <w:rsid w:val="0092739D"/>
    <w:rsid w:val="009303F7"/>
    <w:rsid w:val="00930FA2"/>
    <w:rsid w:val="00931076"/>
    <w:rsid w:val="009311A3"/>
    <w:rsid w:val="009311D5"/>
    <w:rsid w:val="00931521"/>
    <w:rsid w:val="009318A3"/>
    <w:rsid w:val="00931B2E"/>
    <w:rsid w:val="00931E8E"/>
    <w:rsid w:val="00932114"/>
    <w:rsid w:val="009322CD"/>
    <w:rsid w:val="0093286E"/>
    <w:rsid w:val="00932BA2"/>
    <w:rsid w:val="00932FCB"/>
    <w:rsid w:val="00934115"/>
    <w:rsid w:val="00934533"/>
    <w:rsid w:val="009345D9"/>
    <w:rsid w:val="00934B15"/>
    <w:rsid w:val="00936951"/>
    <w:rsid w:val="00936E83"/>
    <w:rsid w:val="00937A8B"/>
    <w:rsid w:val="00940314"/>
    <w:rsid w:val="00940793"/>
    <w:rsid w:val="00940C87"/>
    <w:rsid w:val="00940CF2"/>
    <w:rsid w:val="00940DBF"/>
    <w:rsid w:val="00941573"/>
    <w:rsid w:val="009418A2"/>
    <w:rsid w:val="0094258E"/>
    <w:rsid w:val="009428E0"/>
    <w:rsid w:val="00942B62"/>
    <w:rsid w:val="00942FEC"/>
    <w:rsid w:val="0094327C"/>
    <w:rsid w:val="00943CF5"/>
    <w:rsid w:val="00944610"/>
    <w:rsid w:val="00945082"/>
    <w:rsid w:val="00945713"/>
    <w:rsid w:val="009459AF"/>
    <w:rsid w:val="00945A8C"/>
    <w:rsid w:val="00945D0F"/>
    <w:rsid w:val="0094606C"/>
    <w:rsid w:val="00946185"/>
    <w:rsid w:val="00946563"/>
    <w:rsid w:val="00946895"/>
    <w:rsid w:val="00946BB9"/>
    <w:rsid w:val="00946BBC"/>
    <w:rsid w:val="00946D40"/>
    <w:rsid w:val="00946EDA"/>
    <w:rsid w:val="00947096"/>
    <w:rsid w:val="009504BA"/>
    <w:rsid w:val="009509FE"/>
    <w:rsid w:val="00950EDC"/>
    <w:rsid w:val="00951C14"/>
    <w:rsid w:val="009520AA"/>
    <w:rsid w:val="0095229C"/>
    <w:rsid w:val="00952AE8"/>
    <w:rsid w:val="00952C78"/>
    <w:rsid w:val="009531A4"/>
    <w:rsid w:val="0095323B"/>
    <w:rsid w:val="00954762"/>
    <w:rsid w:val="00956623"/>
    <w:rsid w:val="00956A0C"/>
    <w:rsid w:val="00956A50"/>
    <w:rsid w:val="00956AAE"/>
    <w:rsid w:val="00956BD9"/>
    <w:rsid w:val="00956E4A"/>
    <w:rsid w:val="00956EBC"/>
    <w:rsid w:val="00956FA8"/>
    <w:rsid w:val="00957008"/>
    <w:rsid w:val="00957083"/>
    <w:rsid w:val="00957BED"/>
    <w:rsid w:val="00960068"/>
    <w:rsid w:val="0096044A"/>
    <w:rsid w:val="00960C3F"/>
    <w:rsid w:val="00961B0E"/>
    <w:rsid w:val="00961C31"/>
    <w:rsid w:val="00961E78"/>
    <w:rsid w:val="00962489"/>
    <w:rsid w:val="00962515"/>
    <w:rsid w:val="009629DD"/>
    <w:rsid w:val="00963776"/>
    <w:rsid w:val="00964845"/>
    <w:rsid w:val="00964FA8"/>
    <w:rsid w:val="009656C9"/>
    <w:rsid w:val="00965845"/>
    <w:rsid w:val="00965A5E"/>
    <w:rsid w:val="00966B89"/>
    <w:rsid w:val="00967D50"/>
    <w:rsid w:val="00967D59"/>
    <w:rsid w:val="009702AD"/>
    <w:rsid w:val="00970AD8"/>
    <w:rsid w:val="00970DE3"/>
    <w:rsid w:val="0097108A"/>
    <w:rsid w:val="009710A6"/>
    <w:rsid w:val="009720F2"/>
    <w:rsid w:val="009721AE"/>
    <w:rsid w:val="00972600"/>
    <w:rsid w:val="009747C0"/>
    <w:rsid w:val="009749A3"/>
    <w:rsid w:val="00974B4F"/>
    <w:rsid w:val="00974DE7"/>
    <w:rsid w:val="00975478"/>
    <w:rsid w:val="009757A0"/>
    <w:rsid w:val="00975C91"/>
    <w:rsid w:val="00975E10"/>
    <w:rsid w:val="00975EAE"/>
    <w:rsid w:val="00976366"/>
    <w:rsid w:val="009764B7"/>
    <w:rsid w:val="009779F3"/>
    <w:rsid w:val="00977E80"/>
    <w:rsid w:val="009805D8"/>
    <w:rsid w:val="009809A2"/>
    <w:rsid w:val="00980B04"/>
    <w:rsid w:val="00981816"/>
    <w:rsid w:val="00981EF1"/>
    <w:rsid w:val="00981F11"/>
    <w:rsid w:val="00982576"/>
    <w:rsid w:val="00982929"/>
    <w:rsid w:val="00982ECD"/>
    <w:rsid w:val="00983556"/>
    <w:rsid w:val="009838E5"/>
    <w:rsid w:val="00983BDD"/>
    <w:rsid w:val="00984927"/>
    <w:rsid w:val="00985DD3"/>
    <w:rsid w:val="00986979"/>
    <w:rsid w:val="00986C9D"/>
    <w:rsid w:val="0098715B"/>
    <w:rsid w:val="0098785A"/>
    <w:rsid w:val="009904F2"/>
    <w:rsid w:val="00990C2C"/>
    <w:rsid w:val="009914F9"/>
    <w:rsid w:val="00991800"/>
    <w:rsid w:val="00991F84"/>
    <w:rsid w:val="00992EDB"/>
    <w:rsid w:val="009930E1"/>
    <w:rsid w:val="009930EA"/>
    <w:rsid w:val="00993221"/>
    <w:rsid w:val="0099324F"/>
    <w:rsid w:val="009934D9"/>
    <w:rsid w:val="00993733"/>
    <w:rsid w:val="00993E87"/>
    <w:rsid w:val="0099456C"/>
    <w:rsid w:val="0099524F"/>
    <w:rsid w:val="009963D4"/>
    <w:rsid w:val="0099679A"/>
    <w:rsid w:val="0099686C"/>
    <w:rsid w:val="009970A2"/>
    <w:rsid w:val="009A03AD"/>
    <w:rsid w:val="009A03FA"/>
    <w:rsid w:val="009A0A54"/>
    <w:rsid w:val="009A0C67"/>
    <w:rsid w:val="009A0E74"/>
    <w:rsid w:val="009A0F5B"/>
    <w:rsid w:val="009A16A8"/>
    <w:rsid w:val="009A21CF"/>
    <w:rsid w:val="009A2CCC"/>
    <w:rsid w:val="009A2FA9"/>
    <w:rsid w:val="009A30B0"/>
    <w:rsid w:val="009A336C"/>
    <w:rsid w:val="009A394E"/>
    <w:rsid w:val="009A4582"/>
    <w:rsid w:val="009A4B86"/>
    <w:rsid w:val="009A517C"/>
    <w:rsid w:val="009A59FD"/>
    <w:rsid w:val="009A691B"/>
    <w:rsid w:val="009A6B7A"/>
    <w:rsid w:val="009A757E"/>
    <w:rsid w:val="009A7F39"/>
    <w:rsid w:val="009B0371"/>
    <w:rsid w:val="009B077A"/>
    <w:rsid w:val="009B1470"/>
    <w:rsid w:val="009B184C"/>
    <w:rsid w:val="009B1F72"/>
    <w:rsid w:val="009B2B4D"/>
    <w:rsid w:val="009B2CF8"/>
    <w:rsid w:val="009B3683"/>
    <w:rsid w:val="009B3DCE"/>
    <w:rsid w:val="009B44E8"/>
    <w:rsid w:val="009B49C3"/>
    <w:rsid w:val="009B4F28"/>
    <w:rsid w:val="009B5E3F"/>
    <w:rsid w:val="009B68EE"/>
    <w:rsid w:val="009B6BA1"/>
    <w:rsid w:val="009B6FEA"/>
    <w:rsid w:val="009B7D4B"/>
    <w:rsid w:val="009C01D2"/>
    <w:rsid w:val="009C0414"/>
    <w:rsid w:val="009C051C"/>
    <w:rsid w:val="009C156C"/>
    <w:rsid w:val="009C1B52"/>
    <w:rsid w:val="009C1F2F"/>
    <w:rsid w:val="009C238B"/>
    <w:rsid w:val="009C26B7"/>
    <w:rsid w:val="009C2B4C"/>
    <w:rsid w:val="009C3A2D"/>
    <w:rsid w:val="009C3BCA"/>
    <w:rsid w:val="009C4162"/>
    <w:rsid w:val="009C43C7"/>
    <w:rsid w:val="009C481E"/>
    <w:rsid w:val="009C4DC0"/>
    <w:rsid w:val="009C4EDD"/>
    <w:rsid w:val="009C5701"/>
    <w:rsid w:val="009C5A1C"/>
    <w:rsid w:val="009C6706"/>
    <w:rsid w:val="009C6C2E"/>
    <w:rsid w:val="009C74AF"/>
    <w:rsid w:val="009C7F0B"/>
    <w:rsid w:val="009D0114"/>
    <w:rsid w:val="009D1584"/>
    <w:rsid w:val="009D193B"/>
    <w:rsid w:val="009D1A47"/>
    <w:rsid w:val="009D23F1"/>
    <w:rsid w:val="009D2844"/>
    <w:rsid w:val="009D2BB5"/>
    <w:rsid w:val="009D32C7"/>
    <w:rsid w:val="009D41BB"/>
    <w:rsid w:val="009D4C17"/>
    <w:rsid w:val="009D4D39"/>
    <w:rsid w:val="009D56E1"/>
    <w:rsid w:val="009D60E7"/>
    <w:rsid w:val="009D657F"/>
    <w:rsid w:val="009D78EC"/>
    <w:rsid w:val="009D7E3E"/>
    <w:rsid w:val="009E06D1"/>
    <w:rsid w:val="009E0807"/>
    <w:rsid w:val="009E0F98"/>
    <w:rsid w:val="009E126A"/>
    <w:rsid w:val="009E153B"/>
    <w:rsid w:val="009E154D"/>
    <w:rsid w:val="009E1844"/>
    <w:rsid w:val="009E27A3"/>
    <w:rsid w:val="009E2B8C"/>
    <w:rsid w:val="009E329D"/>
    <w:rsid w:val="009E3329"/>
    <w:rsid w:val="009E4A91"/>
    <w:rsid w:val="009E58E5"/>
    <w:rsid w:val="009E599C"/>
    <w:rsid w:val="009E64BA"/>
    <w:rsid w:val="009E661B"/>
    <w:rsid w:val="009E6D7F"/>
    <w:rsid w:val="009E72C7"/>
    <w:rsid w:val="009E73A7"/>
    <w:rsid w:val="009E790F"/>
    <w:rsid w:val="009E7A7D"/>
    <w:rsid w:val="009E7B6F"/>
    <w:rsid w:val="009E7D77"/>
    <w:rsid w:val="009F0D1B"/>
    <w:rsid w:val="009F108D"/>
    <w:rsid w:val="009F1922"/>
    <w:rsid w:val="009F2395"/>
    <w:rsid w:val="009F2535"/>
    <w:rsid w:val="009F3050"/>
    <w:rsid w:val="009F31BF"/>
    <w:rsid w:val="009F36DE"/>
    <w:rsid w:val="009F3ABB"/>
    <w:rsid w:val="009F4B6E"/>
    <w:rsid w:val="009F5B34"/>
    <w:rsid w:val="009F5CBB"/>
    <w:rsid w:val="009F65EA"/>
    <w:rsid w:val="009F6646"/>
    <w:rsid w:val="009F6837"/>
    <w:rsid w:val="009F696D"/>
    <w:rsid w:val="009F6B9C"/>
    <w:rsid w:val="009F6BA4"/>
    <w:rsid w:val="009F6BC6"/>
    <w:rsid w:val="009F6F8D"/>
    <w:rsid w:val="00A00454"/>
    <w:rsid w:val="00A0078E"/>
    <w:rsid w:val="00A01088"/>
    <w:rsid w:val="00A0118E"/>
    <w:rsid w:val="00A011BB"/>
    <w:rsid w:val="00A01872"/>
    <w:rsid w:val="00A023E7"/>
    <w:rsid w:val="00A024AF"/>
    <w:rsid w:val="00A02926"/>
    <w:rsid w:val="00A031EB"/>
    <w:rsid w:val="00A03F33"/>
    <w:rsid w:val="00A04618"/>
    <w:rsid w:val="00A04C94"/>
    <w:rsid w:val="00A0580C"/>
    <w:rsid w:val="00A05940"/>
    <w:rsid w:val="00A062D7"/>
    <w:rsid w:val="00A069EC"/>
    <w:rsid w:val="00A06DA5"/>
    <w:rsid w:val="00A06E0B"/>
    <w:rsid w:val="00A0734C"/>
    <w:rsid w:val="00A0740B"/>
    <w:rsid w:val="00A10118"/>
    <w:rsid w:val="00A10846"/>
    <w:rsid w:val="00A10B07"/>
    <w:rsid w:val="00A10C24"/>
    <w:rsid w:val="00A10F90"/>
    <w:rsid w:val="00A1237C"/>
    <w:rsid w:val="00A12B22"/>
    <w:rsid w:val="00A13DED"/>
    <w:rsid w:val="00A14758"/>
    <w:rsid w:val="00A14ADC"/>
    <w:rsid w:val="00A15B02"/>
    <w:rsid w:val="00A1614E"/>
    <w:rsid w:val="00A17321"/>
    <w:rsid w:val="00A17328"/>
    <w:rsid w:val="00A17603"/>
    <w:rsid w:val="00A17AE5"/>
    <w:rsid w:val="00A17BCC"/>
    <w:rsid w:val="00A20618"/>
    <w:rsid w:val="00A20DED"/>
    <w:rsid w:val="00A213B7"/>
    <w:rsid w:val="00A21CD2"/>
    <w:rsid w:val="00A21F4E"/>
    <w:rsid w:val="00A225BC"/>
    <w:rsid w:val="00A22ABA"/>
    <w:rsid w:val="00A22AF7"/>
    <w:rsid w:val="00A231EF"/>
    <w:rsid w:val="00A23A20"/>
    <w:rsid w:val="00A243AB"/>
    <w:rsid w:val="00A248A8"/>
    <w:rsid w:val="00A24E09"/>
    <w:rsid w:val="00A24E44"/>
    <w:rsid w:val="00A25351"/>
    <w:rsid w:val="00A254FF"/>
    <w:rsid w:val="00A256D9"/>
    <w:rsid w:val="00A259B2"/>
    <w:rsid w:val="00A25EAF"/>
    <w:rsid w:val="00A260B9"/>
    <w:rsid w:val="00A2663D"/>
    <w:rsid w:val="00A268B9"/>
    <w:rsid w:val="00A2703A"/>
    <w:rsid w:val="00A27551"/>
    <w:rsid w:val="00A27C7C"/>
    <w:rsid w:val="00A27EA8"/>
    <w:rsid w:val="00A30283"/>
    <w:rsid w:val="00A30F7B"/>
    <w:rsid w:val="00A320B3"/>
    <w:rsid w:val="00A3252C"/>
    <w:rsid w:val="00A32909"/>
    <w:rsid w:val="00A3290F"/>
    <w:rsid w:val="00A33915"/>
    <w:rsid w:val="00A33DFF"/>
    <w:rsid w:val="00A33E57"/>
    <w:rsid w:val="00A34169"/>
    <w:rsid w:val="00A347FC"/>
    <w:rsid w:val="00A349E7"/>
    <w:rsid w:val="00A35115"/>
    <w:rsid w:val="00A35E46"/>
    <w:rsid w:val="00A35FA5"/>
    <w:rsid w:val="00A36B77"/>
    <w:rsid w:val="00A36C9E"/>
    <w:rsid w:val="00A36D9A"/>
    <w:rsid w:val="00A36E8C"/>
    <w:rsid w:val="00A374C4"/>
    <w:rsid w:val="00A37544"/>
    <w:rsid w:val="00A37DBA"/>
    <w:rsid w:val="00A40426"/>
    <w:rsid w:val="00A41982"/>
    <w:rsid w:val="00A41F01"/>
    <w:rsid w:val="00A42395"/>
    <w:rsid w:val="00A42850"/>
    <w:rsid w:val="00A42A31"/>
    <w:rsid w:val="00A42A8A"/>
    <w:rsid w:val="00A43008"/>
    <w:rsid w:val="00A43495"/>
    <w:rsid w:val="00A43D1D"/>
    <w:rsid w:val="00A44B77"/>
    <w:rsid w:val="00A4537D"/>
    <w:rsid w:val="00A454B9"/>
    <w:rsid w:val="00A45766"/>
    <w:rsid w:val="00A47183"/>
    <w:rsid w:val="00A474F9"/>
    <w:rsid w:val="00A47E42"/>
    <w:rsid w:val="00A47EC0"/>
    <w:rsid w:val="00A5027C"/>
    <w:rsid w:val="00A50A7C"/>
    <w:rsid w:val="00A51201"/>
    <w:rsid w:val="00A51BDD"/>
    <w:rsid w:val="00A52041"/>
    <w:rsid w:val="00A521B8"/>
    <w:rsid w:val="00A5305A"/>
    <w:rsid w:val="00A53BAD"/>
    <w:rsid w:val="00A542D4"/>
    <w:rsid w:val="00A544E5"/>
    <w:rsid w:val="00A54E0E"/>
    <w:rsid w:val="00A55301"/>
    <w:rsid w:val="00A55327"/>
    <w:rsid w:val="00A554AB"/>
    <w:rsid w:val="00A55711"/>
    <w:rsid w:val="00A56F13"/>
    <w:rsid w:val="00A57062"/>
    <w:rsid w:val="00A572AB"/>
    <w:rsid w:val="00A57DA9"/>
    <w:rsid w:val="00A60D4C"/>
    <w:rsid w:val="00A61001"/>
    <w:rsid w:val="00A61BFA"/>
    <w:rsid w:val="00A6231D"/>
    <w:rsid w:val="00A627A0"/>
    <w:rsid w:val="00A62910"/>
    <w:rsid w:val="00A630A8"/>
    <w:rsid w:val="00A6331D"/>
    <w:rsid w:val="00A63419"/>
    <w:rsid w:val="00A6349D"/>
    <w:rsid w:val="00A6354B"/>
    <w:rsid w:val="00A63B1D"/>
    <w:rsid w:val="00A64580"/>
    <w:rsid w:val="00A64684"/>
    <w:rsid w:val="00A65693"/>
    <w:rsid w:val="00A65BE9"/>
    <w:rsid w:val="00A65C48"/>
    <w:rsid w:val="00A65F83"/>
    <w:rsid w:val="00A66460"/>
    <w:rsid w:val="00A66F68"/>
    <w:rsid w:val="00A672FE"/>
    <w:rsid w:val="00A6791A"/>
    <w:rsid w:val="00A707B3"/>
    <w:rsid w:val="00A7153C"/>
    <w:rsid w:val="00A71B82"/>
    <w:rsid w:val="00A71FC5"/>
    <w:rsid w:val="00A725B2"/>
    <w:rsid w:val="00A7273F"/>
    <w:rsid w:val="00A727FE"/>
    <w:rsid w:val="00A729B8"/>
    <w:rsid w:val="00A73914"/>
    <w:rsid w:val="00A74D48"/>
    <w:rsid w:val="00A74E8F"/>
    <w:rsid w:val="00A753EA"/>
    <w:rsid w:val="00A76195"/>
    <w:rsid w:val="00A762E2"/>
    <w:rsid w:val="00A766E9"/>
    <w:rsid w:val="00A769CF"/>
    <w:rsid w:val="00A770C2"/>
    <w:rsid w:val="00A77107"/>
    <w:rsid w:val="00A77710"/>
    <w:rsid w:val="00A808D5"/>
    <w:rsid w:val="00A80DB7"/>
    <w:rsid w:val="00A81245"/>
    <w:rsid w:val="00A8249F"/>
    <w:rsid w:val="00A8277B"/>
    <w:rsid w:val="00A82C99"/>
    <w:rsid w:val="00A835CE"/>
    <w:rsid w:val="00A8360D"/>
    <w:rsid w:val="00A83F99"/>
    <w:rsid w:val="00A84C95"/>
    <w:rsid w:val="00A8504E"/>
    <w:rsid w:val="00A858B8"/>
    <w:rsid w:val="00A86387"/>
    <w:rsid w:val="00A86483"/>
    <w:rsid w:val="00A866FD"/>
    <w:rsid w:val="00A86937"/>
    <w:rsid w:val="00A86C09"/>
    <w:rsid w:val="00A86D0A"/>
    <w:rsid w:val="00A86D40"/>
    <w:rsid w:val="00A87652"/>
    <w:rsid w:val="00A87B7A"/>
    <w:rsid w:val="00A87C73"/>
    <w:rsid w:val="00A90213"/>
    <w:rsid w:val="00A90EE3"/>
    <w:rsid w:val="00A91365"/>
    <w:rsid w:val="00A913F6"/>
    <w:rsid w:val="00A915E2"/>
    <w:rsid w:val="00A918AA"/>
    <w:rsid w:val="00A91C5C"/>
    <w:rsid w:val="00A9238E"/>
    <w:rsid w:val="00A9250A"/>
    <w:rsid w:val="00A92B53"/>
    <w:rsid w:val="00A92E07"/>
    <w:rsid w:val="00A93621"/>
    <w:rsid w:val="00A936D5"/>
    <w:rsid w:val="00A945CB"/>
    <w:rsid w:val="00A94FA6"/>
    <w:rsid w:val="00A95290"/>
    <w:rsid w:val="00A952E0"/>
    <w:rsid w:val="00A955A1"/>
    <w:rsid w:val="00A95802"/>
    <w:rsid w:val="00A95ABE"/>
    <w:rsid w:val="00A96A06"/>
    <w:rsid w:val="00A96DB7"/>
    <w:rsid w:val="00A97AD8"/>
    <w:rsid w:val="00A97D4C"/>
    <w:rsid w:val="00AA1452"/>
    <w:rsid w:val="00AA1679"/>
    <w:rsid w:val="00AA18E9"/>
    <w:rsid w:val="00AA1C8C"/>
    <w:rsid w:val="00AA1E5F"/>
    <w:rsid w:val="00AA2351"/>
    <w:rsid w:val="00AA2413"/>
    <w:rsid w:val="00AA28A8"/>
    <w:rsid w:val="00AA309A"/>
    <w:rsid w:val="00AA3EA1"/>
    <w:rsid w:val="00AA40ED"/>
    <w:rsid w:val="00AA42AE"/>
    <w:rsid w:val="00AA49A0"/>
    <w:rsid w:val="00AA577C"/>
    <w:rsid w:val="00AA5D18"/>
    <w:rsid w:val="00AA6710"/>
    <w:rsid w:val="00AA6C25"/>
    <w:rsid w:val="00AB0681"/>
    <w:rsid w:val="00AB20CD"/>
    <w:rsid w:val="00AB2546"/>
    <w:rsid w:val="00AB29FF"/>
    <w:rsid w:val="00AB3AA9"/>
    <w:rsid w:val="00AB4759"/>
    <w:rsid w:val="00AB4914"/>
    <w:rsid w:val="00AB4EC6"/>
    <w:rsid w:val="00AB5382"/>
    <w:rsid w:val="00AB5656"/>
    <w:rsid w:val="00AB638C"/>
    <w:rsid w:val="00AB63A1"/>
    <w:rsid w:val="00AB6A40"/>
    <w:rsid w:val="00AB6C50"/>
    <w:rsid w:val="00AB6E2D"/>
    <w:rsid w:val="00AB72A7"/>
    <w:rsid w:val="00AB7A9B"/>
    <w:rsid w:val="00AC0385"/>
    <w:rsid w:val="00AC0C66"/>
    <w:rsid w:val="00AC1A4B"/>
    <w:rsid w:val="00AC1A83"/>
    <w:rsid w:val="00AC23BE"/>
    <w:rsid w:val="00AC25ED"/>
    <w:rsid w:val="00AC2F2E"/>
    <w:rsid w:val="00AC35AB"/>
    <w:rsid w:val="00AC4D72"/>
    <w:rsid w:val="00AC58FE"/>
    <w:rsid w:val="00AC63D2"/>
    <w:rsid w:val="00AC66C0"/>
    <w:rsid w:val="00AC698B"/>
    <w:rsid w:val="00AC6AC9"/>
    <w:rsid w:val="00AC76CD"/>
    <w:rsid w:val="00AD0277"/>
    <w:rsid w:val="00AD0E96"/>
    <w:rsid w:val="00AD1571"/>
    <w:rsid w:val="00AD1FD2"/>
    <w:rsid w:val="00AD283D"/>
    <w:rsid w:val="00AD2F5F"/>
    <w:rsid w:val="00AD37A2"/>
    <w:rsid w:val="00AD3B53"/>
    <w:rsid w:val="00AD3BA5"/>
    <w:rsid w:val="00AD492A"/>
    <w:rsid w:val="00AD520B"/>
    <w:rsid w:val="00AD5346"/>
    <w:rsid w:val="00AD5559"/>
    <w:rsid w:val="00AD58B1"/>
    <w:rsid w:val="00AD5984"/>
    <w:rsid w:val="00AD5F7A"/>
    <w:rsid w:val="00AD62F1"/>
    <w:rsid w:val="00AD6401"/>
    <w:rsid w:val="00AD64FC"/>
    <w:rsid w:val="00AD6856"/>
    <w:rsid w:val="00AD692D"/>
    <w:rsid w:val="00AD6E73"/>
    <w:rsid w:val="00AD7BD0"/>
    <w:rsid w:val="00AD7D77"/>
    <w:rsid w:val="00AD7D90"/>
    <w:rsid w:val="00AE0564"/>
    <w:rsid w:val="00AE12A2"/>
    <w:rsid w:val="00AE1311"/>
    <w:rsid w:val="00AE17BE"/>
    <w:rsid w:val="00AE19CE"/>
    <w:rsid w:val="00AE1A7E"/>
    <w:rsid w:val="00AE1AB7"/>
    <w:rsid w:val="00AE1E4E"/>
    <w:rsid w:val="00AE2647"/>
    <w:rsid w:val="00AE26EB"/>
    <w:rsid w:val="00AE2D89"/>
    <w:rsid w:val="00AE2EBD"/>
    <w:rsid w:val="00AE42B2"/>
    <w:rsid w:val="00AE50A5"/>
    <w:rsid w:val="00AE55B6"/>
    <w:rsid w:val="00AE6A92"/>
    <w:rsid w:val="00AE6C1F"/>
    <w:rsid w:val="00AE781F"/>
    <w:rsid w:val="00AE79DC"/>
    <w:rsid w:val="00AF0851"/>
    <w:rsid w:val="00AF092E"/>
    <w:rsid w:val="00AF0A67"/>
    <w:rsid w:val="00AF10E8"/>
    <w:rsid w:val="00AF117E"/>
    <w:rsid w:val="00AF11F3"/>
    <w:rsid w:val="00AF194A"/>
    <w:rsid w:val="00AF2116"/>
    <w:rsid w:val="00AF2865"/>
    <w:rsid w:val="00AF2D24"/>
    <w:rsid w:val="00AF30A9"/>
    <w:rsid w:val="00AF3466"/>
    <w:rsid w:val="00AF366D"/>
    <w:rsid w:val="00AF42B0"/>
    <w:rsid w:val="00AF4B89"/>
    <w:rsid w:val="00AF711C"/>
    <w:rsid w:val="00AF7178"/>
    <w:rsid w:val="00AF7883"/>
    <w:rsid w:val="00B004B6"/>
    <w:rsid w:val="00B01366"/>
    <w:rsid w:val="00B02100"/>
    <w:rsid w:val="00B0300D"/>
    <w:rsid w:val="00B03962"/>
    <w:rsid w:val="00B04663"/>
    <w:rsid w:val="00B04737"/>
    <w:rsid w:val="00B0498F"/>
    <w:rsid w:val="00B052DF"/>
    <w:rsid w:val="00B05669"/>
    <w:rsid w:val="00B06D42"/>
    <w:rsid w:val="00B07361"/>
    <w:rsid w:val="00B07644"/>
    <w:rsid w:val="00B10F37"/>
    <w:rsid w:val="00B10FE9"/>
    <w:rsid w:val="00B11E26"/>
    <w:rsid w:val="00B11F7F"/>
    <w:rsid w:val="00B12822"/>
    <w:rsid w:val="00B12ED2"/>
    <w:rsid w:val="00B13591"/>
    <w:rsid w:val="00B138BC"/>
    <w:rsid w:val="00B138D3"/>
    <w:rsid w:val="00B13AD5"/>
    <w:rsid w:val="00B13C88"/>
    <w:rsid w:val="00B13F48"/>
    <w:rsid w:val="00B14D4B"/>
    <w:rsid w:val="00B15153"/>
    <w:rsid w:val="00B159A3"/>
    <w:rsid w:val="00B162FA"/>
    <w:rsid w:val="00B1718D"/>
    <w:rsid w:val="00B174D8"/>
    <w:rsid w:val="00B17513"/>
    <w:rsid w:val="00B17570"/>
    <w:rsid w:val="00B178E7"/>
    <w:rsid w:val="00B17AE9"/>
    <w:rsid w:val="00B2018B"/>
    <w:rsid w:val="00B2035A"/>
    <w:rsid w:val="00B20556"/>
    <w:rsid w:val="00B20960"/>
    <w:rsid w:val="00B20F4E"/>
    <w:rsid w:val="00B216B8"/>
    <w:rsid w:val="00B2177C"/>
    <w:rsid w:val="00B221D8"/>
    <w:rsid w:val="00B22397"/>
    <w:rsid w:val="00B232F4"/>
    <w:rsid w:val="00B2364B"/>
    <w:rsid w:val="00B23934"/>
    <w:rsid w:val="00B23D62"/>
    <w:rsid w:val="00B24020"/>
    <w:rsid w:val="00B249C3"/>
    <w:rsid w:val="00B24C47"/>
    <w:rsid w:val="00B25DD3"/>
    <w:rsid w:val="00B2612D"/>
    <w:rsid w:val="00B26573"/>
    <w:rsid w:val="00B265BD"/>
    <w:rsid w:val="00B26F68"/>
    <w:rsid w:val="00B2723A"/>
    <w:rsid w:val="00B2737F"/>
    <w:rsid w:val="00B273D1"/>
    <w:rsid w:val="00B27576"/>
    <w:rsid w:val="00B275F6"/>
    <w:rsid w:val="00B27A3F"/>
    <w:rsid w:val="00B31C36"/>
    <w:rsid w:val="00B322DD"/>
    <w:rsid w:val="00B32483"/>
    <w:rsid w:val="00B325F0"/>
    <w:rsid w:val="00B32B83"/>
    <w:rsid w:val="00B32C92"/>
    <w:rsid w:val="00B33068"/>
    <w:rsid w:val="00B33A51"/>
    <w:rsid w:val="00B348B1"/>
    <w:rsid w:val="00B34915"/>
    <w:rsid w:val="00B359A2"/>
    <w:rsid w:val="00B35E8D"/>
    <w:rsid w:val="00B374FD"/>
    <w:rsid w:val="00B37E95"/>
    <w:rsid w:val="00B40404"/>
    <w:rsid w:val="00B40ECC"/>
    <w:rsid w:val="00B41140"/>
    <w:rsid w:val="00B4243A"/>
    <w:rsid w:val="00B425A6"/>
    <w:rsid w:val="00B425C3"/>
    <w:rsid w:val="00B42928"/>
    <w:rsid w:val="00B42E26"/>
    <w:rsid w:val="00B440AD"/>
    <w:rsid w:val="00B4440A"/>
    <w:rsid w:val="00B4480A"/>
    <w:rsid w:val="00B4481A"/>
    <w:rsid w:val="00B44B51"/>
    <w:rsid w:val="00B45AE6"/>
    <w:rsid w:val="00B45B56"/>
    <w:rsid w:val="00B46AC8"/>
    <w:rsid w:val="00B4714A"/>
    <w:rsid w:val="00B479BB"/>
    <w:rsid w:val="00B479EB"/>
    <w:rsid w:val="00B47E97"/>
    <w:rsid w:val="00B500A6"/>
    <w:rsid w:val="00B50445"/>
    <w:rsid w:val="00B50CF8"/>
    <w:rsid w:val="00B510F0"/>
    <w:rsid w:val="00B511B4"/>
    <w:rsid w:val="00B512CA"/>
    <w:rsid w:val="00B51342"/>
    <w:rsid w:val="00B514A3"/>
    <w:rsid w:val="00B51C05"/>
    <w:rsid w:val="00B51D60"/>
    <w:rsid w:val="00B51FB0"/>
    <w:rsid w:val="00B53110"/>
    <w:rsid w:val="00B53E7E"/>
    <w:rsid w:val="00B5440D"/>
    <w:rsid w:val="00B54B0D"/>
    <w:rsid w:val="00B54E70"/>
    <w:rsid w:val="00B55AF3"/>
    <w:rsid w:val="00B55F4C"/>
    <w:rsid w:val="00B56258"/>
    <w:rsid w:val="00B56C19"/>
    <w:rsid w:val="00B56D13"/>
    <w:rsid w:val="00B57043"/>
    <w:rsid w:val="00B57AD0"/>
    <w:rsid w:val="00B60132"/>
    <w:rsid w:val="00B605F8"/>
    <w:rsid w:val="00B610A5"/>
    <w:rsid w:val="00B618B3"/>
    <w:rsid w:val="00B62D44"/>
    <w:rsid w:val="00B62D53"/>
    <w:rsid w:val="00B63181"/>
    <w:rsid w:val="00B6342E"/>
    <w:rsid w:val="00B63E4E"/>
    <w:rsid w:val="00B64063"/>
    <w:rsid w:val="00B64582"/>
    <w:rsid w:val="00B64E5D"/>
    <w:rsid w:val="00B65101"/>
    <w:rsid w:val="00B659C5"/>
    <w:rsid w:val="00B66412"/>
    <w:rsid w:val="00B6679B"/>
    <w:rsid w:val="00B66AAF"/>
    <w:rsid w:val="00B66C7C"/>
    <w:rsid w:val="00B66CBC"/>
    <w:rsid w:val="00B66F42"/>
    <w:rsid w:val="00B67081"/>
    <w:rsid w:val="00B67457"/>
    <w:rsid w:val="00B6764B"/>
    <w:rsid w:val="00B679E5"/>
    <w:rsid w:val="00B67A2D"/>
    <w:rsid w:val="00B67AA0"/>
    <w:rsid w:val="00B67C99"/>
    <w:rsid w:val="00B7001F"/>
    <w:rsid w:val="00B70C91"/>
    <w:rsid w:val="00B7113F"/>
    <w:rsid w:val="00B7195D"/>
    <w:rsid w:val="00B722CD"/>
    <w:rsid w:val="00B7243A"/>
    <w:rsid w:val="00B724F5"/>
    <w:rsid w:val="00B7281A"/>
    <w:rsid w:val="00B728C9"/>
    <w:rsid w:val="00B72961"/>
    <w:rsid w:val="00B72A00"/>
    <w:rsid w:val="00B731E4"/>
    <w:rsid w:val="00B73704"/>
    <w:rsid w:val="00B73964"/>
    <w:rsid w:val="00B740D1"/>
    <w:rsid w:val="00B74466"/>
    <w:rsid w:val="00B74C63"/>
    <w:rsid w:val="00B74C77"/>
    <w:rsid w:val="00B752F0"/>
    <w:rsid w:val="00B755B4"/>
    <w:rsid w:val="00B75660"/>
    <w:rsid w:val="00B75B60"/>
    <w:rsid w:val="00B75B7E"/>
    <w:rsid w:val="00B75DEB"/>
    <w:rsid w:val="00B7644A"/>
    <w:rsid w:val="00B76646"/>
    <w:rsid w:val="00B76871"/>
    <w:rsid w:val="00B76C62"/>
    <w:rsid w:val="00B77119"/>
    <w:rsid w:val="00B77CEA"/>
    <w:rsid w:val="00B800C3"/>
    <w:rsid w:val="00B801FA"/>
    <w:rsid w:val="00B80248"/>
    <w:rsid w:val="00B803D4"/>
    <w:rsid w:val="00B80F0C"/>
    <w:rsid w:val="00B819C6"/>
    <w:rsid w:val="00B81C32"/>
    <w:rsid w:val="00B82508"/>
    <w:rsid w:val="00B8252D"/>
    <w:rsid w:val="00B825CE"/>
    <w:rsid w:val="00B8290F"/>
    <w:rsid w:val="00B82D0E"/>
    <w:rsid w:val="00B830B9"/>
    <w:rsid w:val="00B834FF"/>
    <w:rsid w:val="00B83A8B"/>
    <w:rsid w:val="00B84003"/>
    <w:rsid w:val="00B84016"/>
    <w:rsid w:val="00B84A73"/>
    <w:rsid w:val="00B84DEE"/>
    <w:rsid w:val="00B85447"/>
    <w:rsid w:val="00B8570C"/>
    <w:rsid w:val="00B864F9"/>
    <w:rsid w:val="00B865B4"/>
    <w:rsid w:val="00B86F2D"/>
    <w:rsid w:val="00B87204"/>
    <w:rsid w:val="00B87990"/>
    <w:rsid w:val="00B90099"/>
    <w:rsid w:val="00B906FB"/>
    <w:rsid w:val="00B90B84"/>
    <w:rsid w:val="00B90FE7"/>
    <w:rsid w:val="00B91305"/>
    <w:rsid w:val="00B913D7"/>
    <w:rsid w:val="00B91450"/>
    <w:rsid w:val="00B91983"/>
    <w:rsid w:val="00B91CEE"/>
    <w:rsid w:val="00B92404"/>
    <w:rsid w:val="00B9260F"/>
    <w:rsid w:val="00B92A64"/>
    <w:rsid w:val="00B92B82"/>
    <w:rsid w:val="00B93149"/>
    <w:rsid w:val="00B93FD6"/>
    <w:rsid w:val="00B942FA"/>
    <w:rsid w:val="00B950EA"/>
    <w:rsid w:val="00B951EB"/>
    <w:rsid w:val="00B952B2"/>
    <w:rsid w:val="00B952FC"/>
    <w:rsid w:val="00B96205"/>
    <w:rsid w:val="00B96DEE"/>
    <w:rsid w:val="00B96FFB"/>
    <w:rsid w:val="00BA0071"/>
    <w:rsid w:val="00BA047E"/>
    <w:rsid w:val="00BA0909"/>
    <w:rsid w:val="00BA09B1"/>
    <w:rsid w:val="00BA0BD5"/>
    <w:rsid w:val="00BA11AD"/>
    <w:rsid w:val="00BA1393"/>
    <w:rsid w:val="00BA195D"/>
    <w:rsid w:val="00BA21B1"/>
    <w:rsid w:val="00BA29C5"/>
    <w:rsid w:val="00BA2BAF"/>
    <w:rsid w:val="00BA2C26"/>
    <w:rsid w:val="00BA2D61"/>
    <w:rsid w:val="00BA314F"/>
    <w:rsid w:val="00BA41C7"/>
    <w:rsid w:val="00BA45DA"/>
    <w:rsid w:val="00BA45FC"/>
    <w:rsid w:val="00BA4D75"/>
    <w:rsid w:val="00BA5BED"/>
    <w:rsid w:val="00BA6722"/>
    <w:rsid w:val="00BA7111"/>
    <w:rsid w:val="00BA73B6"/>
    <w:rsid w:val="00BA7E27"/>
    <w:rsid w:val="00BB0A2F"/>
    <w:rsid w:val="00BB0E1C"/>
    <w:rsid w:val="00BB1213"/>
    <w:rsid w:val="00BB128F"/>
    <w:rsid w:val="00BB156E"/>
    <w:rsid w:val="00BB1689"/>
    <w:rsid w:val="00BB2603"/>
    <w:rsid w:val="00BB2E0A"/>
    <w:rsid w:val="00BB306B"/>
    <w:rsid w:val="00BB360E"/>
    <w:rsid w:val="00BB3B14"/>
    <w:rsid w:val="00BB3BA4"/>
    <w:rsid w:val="00BB4941"/>
    <w:rsid w:val="00BB4A72"/>
    <w:rsid w:val="00BB4FCD"/>
    <w:rsid w:val="00BB5DB8"/>
    <w:rsid w:val="00BB617E"/>
    <w:rsid w:val="00BB67F2"/>
    <w:rsid w:val="00BB6D04"/>
    <w:rsid w:val="00BB74C9"/>
    <w:rsid w:val="00BB780A"/>
    <w:rsid w:val="00BC04E9"/>
    <w:rsid w:val="00BC13E8"/>
    <w:rsid w:val="00BC19EB"/>
    <w:rsid w:val="00BC2079"/>
    <w:rsid w:val="00BC2257"/>
    <w:rsid w:val="00BC22FB"/>
    <w:rsid w:val="00BC2D24"/>
    <w:rsid w:val="00BC4849"/>
    <w:rsid w:val="00BC507A"/>
    <w:rsid w:val="00BC5F2C"/>
    <w:rsid w:val="00BC62CB"/>
    <w:rsid w:val="00BC65E7"/>
    <w:rsid w:val="00BC6B30"/>
    <w:rsid w:val="00BD0303"/>
    <w:rsid w:val="00BD09CE"/>
    <w:rsid w:val="00BD0A00"/>
    <w:rsid w:val="00BD0A34"/>
    <w:rsid w:val="00BD13EA"/>
    <w:rsid w:val="00BD19DF"/>
    <w:rsid w:val="00BD1D54"/>
    <w:rsid w:val="00BD2206"/>
    <w:rsid w:val="00BD4C5F"/>
    <w:rsid w:val="00BD4D3F"/>
    <w:rsid w:val="00BD55A6"/>
    <w:rsid w:val="00BD6CE8"/>
    <w:rsid w:val="00BD6D2E"/>
    <w:rsid w:val="00BD7A11"/>
    <w:rsid w:val="00BD7C70"/>
    <w:rsid w:val="00BE015A"/>
    <w:rsid w:val="00BE04CA"/>
    <w:rsid w:val="00BE06AC"/>
    <w:rsid w:val="00BE0729"/>
    <w:rsid w:val="00BE0E58"/>
    <w:rsid w:val="00BE1249"/>
    <w:rsid w:val="00BE1AE5"/>
    <w:rsid w:val="00BE1D2E"/>
    <w:rsid w:val="00BE206D"/>
    <w:rsid w:val="00BE23A2"/>
    <w:rsid w:val="00BE32AC"/>
    <w:rsid w:val="00BE3596"/>
    <w:rsid w:val="00BE3808"/>
    <w:rsid w:val="00BE42D5"/>
    <w:rsid w:val="00BE43BC"/>
    <w:rsid w:val="00BE48CE"/>
    <w:rsid w:val="00BE49C9"/>
    <w:rsid w:val="00BE4AC9"/>
    <w:rsid w:val="00BE4C56"/>
    <w:rsid w:val="00BE4DA8"/>
    <w:rsid w:val="00BE534A"/>
    <w:rsid w:val="00BE5580"/>
    <w:rsid w:val="00BE5B96"/>
    <w:rsid w:val="00BE64A0"/>
    <w:rsid w:val="00BE65EF"/>
    <w:rsid w:val="00BE77DE"/>
    <w:rsid w:val="00BE7D13"/>
    <w:rsid w:val="00BF01BC"/>
    <w:rsid w:val="00BF0785"/>
    <w:rsid w:val="00BF0B21"/>
    <w:rsid w:val="00BF1204"/>
    <w:rsid w:val="00BF161D"/>
    <w:rsid w:val="00BF1833"/>
    <w:rsid w:val="00BF1B19"/>
    <w:rsid w:val="00BF2364"/>
    <w:rsid w:val="00BF32D8"/>
    <w:rsid w:val="00BF3823"/>
    <w:rsid w:val="00BF3A5A"/>
    <w:rsid w:val="00BF3C85"/>
    <w:rsid w:val="00BF4596"/>
    <w:rsid w:val="00BF46B8"/>
    <w:rsid w:val="00BF4A09"/>
    <w:rsid w:val="00BF4EA8"/>
    <w:rsid w:val="00BF63A7"/>
    <w:rsid w:val="00BF6676"/>
    <w:rsid w:val="00BF69CD"/>
    <w:rsid w:val="00BF6E69"/>
    <w:rsid w:val="00BF7B19"/>
    <w:rsid w:val="00C01D4E"/>
    <w:rsid w:val="00C0337B"/>
    <w:rsid w:val="00C034D9"/>
    <w:rsid w:val="00C036FD"/>
    <w:rsid w:val="00C03C68"/>
    <w:rsid w:val="00C042DC"/>
    <w:rsid w:val="00C04DDD"/>
    <w:rsid w:val="00C04E3D"/>
    <w:rsid w:val="00C0517B"/>
    <w:rsid w:val="00C051BB"/>
    <w:rsid w:val="00C057DF"/>
    <w:rsid w:val="00C05DF3"/>
    <w:rsid w:val="00C062E9"/>
    <w:rsid w:val="00C06436"/>
    <w:rsid w:val="00C0671F"/>
    <w:rsid w:val="00C0755E"/>
    <w:rsid w:val="00C0777B"/>
    <w:rsid w:val="00C07B64"/>
    <w:rsid w:val="00C07BD0"/>
    <w:rsid w:val="00C07D2D"/>
    <w:rsid w:val="00C1060A"/>
    <w:rsid w:val="00C107E0"/>
    <w:rsid w:val="00C10C06"/>
    <w:rsid w:val="00C1106E"/>
    <w:rsid w:val="00C112FB"/>
    <w:rsid w:val="00C118D7"/>
    <w:rsid w:val="00C11A64"/>
    <w:rsid w:val="00C12385"/>
    <w:rsid w:val="00C132D2"/>
    <w:rsid w:val="00C135B8"/>
    <w:rsid w:val="00C13721"/>
    <w:rsid w:val="00C13938"/>
    <w:rsid w:val="00C13DBE"/>
    <w:rsid w:val="00C14225"/>
    <w:rsid w:val="00C14508"/>
    <w:rsid w:val="00C14FE4"/>
    <w:rsid w:val="00C1562A"/>
    <w:rsid w:val="00C15885"/>
    <w:rsid w:val="00C15D65"/>
    <w:rsid w:val="00C16DD1"/>
    <w:rsid w:val="00C16EE3"/>
    <w:rsid w:val="00C16F0A"/>
    <w:rsid w:val="00C202A4"/>
    <w:rsid w:val="00C20330"/>
    <w:rsid w:val="00C20568"/>
    <w:rsid w:val="00C20CE9"/>
    <w:rsid w:val="00C20CF8"/>
    <w:rsid w:val="00C212FC"/>
    <w:rsid w:val="00C221D5"/>
    <w:rsid w:val="00C227BA"/>
    <w:rsid w:val="00C2284C"/>
    <w:rsid w:val="00C23EF3"/>
    <w:rsid w:val="00C2440F"/>
    <w:rsid w:val="00C2479B"/>
    <w:rsid w:val="00C24A6B"/>
    <w:rsid w:val="00C24E1C"/>
    <w:rsid w:val="00C253A5"/>
    <w:rsid w:val="00C25440"/>
    <w:rsid w:val="00C25C88"/>
    <w:rsid w:val="00C25E35"/>
    <w:rsid w:val="00C26955"/>
    <w:rsid w:val="00C26ECC"/>
    <w:rsid w:val="00C27E2F"/>
    <w:rsid w:val="00C3066D"/>
    <w:rsid w:val="00C30699"/>
    <w:rsid w:val="00C3088D"/>
    <w:rsid w:val="00C30B4C"/>
    <w:rsid w:val="00C30D57"/>
    <w:rsid w:val="00C31145"/>
    <w:rsid w:val="00C31E11"/>
    <w:rsid w:val="00C32032"/>
    <w:rsid w:val="00C3297B"/>
    <w:rsid w:val="00C32DE5"/>
    <w:rsid w:val="00C33088"/>
    <w:rsid w:val="00C33F87"/>
    <w:rsid w:val="00C34E96"/>
    <w:rsid w:val="00C35228"/>
    <w:rsid w:val="00C356A8"/>
    <w:rsid w:val="00C35B43"/>
    <w:rsid w:val="00C3650F"/>
    <w:rsid w:val="00C37159"/>
    <w:rsid w:val="00C372CC"/>
    <w:rsid w:val="00C37447"/>
    <w:rsid w:val="00C40597"/>
    <w:rsid w:val="00C40E96"/>
    <w:rsid w:val="00C439AB"/>
    <w:rsid w:val="00C43BC7"/>
    <w:rsid w:val="00C45009"/>
    <w:rsid w:val="00C450D5"/>
    <w:rsid w:val="00C45356"/>
    <w:rsid w:val="00C45870"/>
    <w:rsid w:val="00C459DF"/>
    <w:rsid w:val="00C460A2"/>
    <w:rsid w:val="00C465B3"/>
    <w:rsid w:val="00C46AEE"/>
    <w:rsid w:val="00C46BCD"/>
    <w:rsid w:val="00C46DE5"/>
    <w:rsid w:val="00C47891"/>
    <w:rsid w:val="00C47A87"/>
    <w:rsid w:val="00C47E00"/>
    <w:rsid w:val="00C47E34"/>
    <w:rsid w:val="00C47F6E"/>
    <w:rsid w:val="00C5074C"/>
    <w:rsid w:val="00C509BB"/>
    <w:rsid w:val="00C50BEB"/>
    <w:rsid w:val="00C50FA7"/>
    <w:rsid w:val="00C51716"/>
    <w:rsid w:val="00C51829"/>
    <w:rsid w:val="00C518BD"/>
    <w:rsid w:val="00C52416"/>
    <w:rsid w:val="00C528CC"/>
    <w:rsid w:val="00C52B74"/>
    <w:rsid w:val="00C53185"/>
    <w:rsid w:val="00C533B1"/>
    <w:rsid w:val="00C53641"/>
    <w:rsid w:val="00C53A70"/>
    <w:rsid w:val="00C543F4"/>
    <w:rsid w:val="00C54BE6"/>
    <w:rsid w:val="00C55B0C"/>
    <w:rsid w:val="00C55B45"/>
    <w:rsid w:val="00C56382"/>
    <w:rsid w:val="00C56836"/>
    <w:rsid w:val="00C579E3"/>
    <w:rsid w:val="00C57A8F"/>
    <w:rsid w:val="00C604DA"/>
    <w:rsid w:val="00C60FDE"/>
    <w:rsid w:val="00C61CE9"/>
    <w:rsid w:val="00C61D9A"/>
    <w:rsid w:val="00C62433"/>
    <w:rsid w:val="00C6291C"/>
    <w:rsid w:val="00C62A53"/>
    <w:rsid w:val="00C6308F"/>
    <w:rsid w:val="00C633CB"/>
    <w:rsid w:val="00C635CD"/>
    <w:rsid w:val="00C63814"/>
    <w:rsid w:val="00C63969"/>
    <w:rsid w:val="00C645A1"/>
    <w:rsid w:val="00C64958"/>
    <w:rsid w:val="00C6531C"/>
    <w:rsid w:val="00C65696"/>
    <w:rsid w:val="00C65D9E"/>
    <w:rsid w:val="00C65EE9"/>
    <w:rsid w:val="00C66485"/>
    <w:rsid w:val="00C664CE"/>
    <w:rsid w:val="00C66A06"/>
    <w:rsid w:val="00C66F4E"/>
    <w:rsid w:val="00C66FC3"/>
    <w:rsid w:val="00C701A7"/>
    <w:rsid w:val="00C70258"/>
    <w:rsid w:val="00C707BB"/>
    <w:rsid w:val="00C707C5"/>
    <w:rsid w:val="00C70CB5"/>
    <w:rsid w:val="00C70DDF"/>
    <w:rsid w:val="00C71ED7"/>
    <w:rsid w:val="00C71F73"/>
    <w:rsid w:val="00C72068"/>
    <w:rsid w:val="00C72448"/>
    <w:rsid w:val="00C72569"/>
    <w:rsid w:val="00C72919"/>
    <w:rsid w:val="00C72CA7"/>
    <w:rsid w:val="00C72CD4"/>
    <w:rsid w:val="00C73228"/>
    <w:rsid w:val="00C73392"/>
    <w:rsid w:val="00C736B7"/>
    <w:rsid w:val="00C73848"/>
    <w:rsid w:val="00C75012"/>
    <w:rsid w:val="00C75205"/>
    <w:rsid w:val="00C75DB7"/>
    <w:rsid w:val="00C76014"/>
    <w:rsid w:val="00C7614D"/>
    <w:rsid w:val="00C7624B"/>
    <w:rsid w:val="00C76BE3"/>
    <w:rsid w:val="00C77999"/>
    <w:rsid w:val="00C802DB"/>
    <w:rsid w:val="00C8031C"/>
    <w:rsid w:val="00C80724"/>
    <w:rsid w:val="00C80A27"/>
    <w:rsid w:val="00C80F42"/>
    <w:rsid w:val="00C81155"/>
    <w:rsid w:val="00C81D4A"/>
    <w:rsid w:val="00C81E23"/>
    <w:rsid w:val="00C82057"/>
    <w:rsid w:val="00C825FF"/>
    <w:rsid w:val="00C82FEE"/>
    <w:rsid w:val="00C8371A"/>
    <w:rsid w:val="00C83CC1"/>
    <w:rsid w:val="00C83EB8"/>
    <w:rsid w:val="00C8404A"/>
    <w:rsid w:val="00C8451D"/>
    <w:rsid w:val="00C8454A"/>
    <w:rsid w:val="00C8465B"/>
    <w:rsid w:val="00C84748"/>
    <w:rsid w:val="00C84F18"/>
    <w:rsid w:val="00C854FE"/>
    <w:rsid w:val="00C85948"/>
    <w:rsid w:val="00C866FA"/>
    <w:rsid w:val="00C87196"/>
    <w:rsid w:val="00C8762C"/>
    <w:rsid w:val="00C876E9"/>
    <w:rsid w:val="00C90456"/>
    <w:rsid w:val="00C9149F"/>
    <w:rsid w:val="00C91C29"/>
    <w:rsid w:val="00C92707"/>
    <w:rsid w:val="00C927DB"/>
    <w:rsid w:val="00C92B18"/>
    <w:rsid w:val="00C92C9B"/>
    <w:rsid w:val="00C9313B"/>
    <w:rsid w:val="00C9396E"/>
    <w:rsid w:val="00C93AFF"/>
    <w:rsid w:val="00C9422E"/>
    <w:rsid w:val="00C94608"/>
    <w:rsid w:val="00C95194"/>
    <w:rsid w:val="00C95268"/>
    <w:rsid w:val="00C954D1"/>
    <w:rsid w:val="00C964A5"/>
    <w:rsid w:val="00C96905"/>
    <w:rsid w:val="00C9790F"/>
    <w:rsid w:val="00CA00F9"/>
    <w:rsid w:val="00CA0684"/>
    <w:rsid w:val="00CA07CB"/>
    <w:rsid w:val="00CA0AAC"/>
    <w:rsid w:val="00CA0E6F"/>
    <w:rsid w:val="00CA17C0"/>
    <w:rsid w:val="00CA23B5"/>
    <w:rsid w:val="00CA26D9"/>
    <w:rsid w:val="00CA28BB"/>
    <w:rsid w:val="00CA2961"/>
    <w:rsid w:val="00CA296E"/>
    <w:rsid w:val="00CA3018"/>
    <w:rsid w:val="00CA30B7"/>
    <w:rsid w:val="00CA32DE"/>
    <w:rsid w:val="00CA399B"/>
    <w:rsid w:val="00CA3E54"/>
    <w:rsid w:val="00CA3ED8"/>
    <w:rsid w:val="00CA4355"/>
    <w:rsid w:val="00CA5237"/>
    <w:rsid w:val="00CA636E"/>
    <w:rsid w:val="00CA63C5"/>
    <w:rsid w:val="00CA6820"/>
    <w:rsid w:val="00CA6AAF"/>
    <w:rsid w:val="00CA6CCD"/>
    <w:rsid w:val="00CA79B4"/>
    <w:rsid w:val="00CB0EC6"/>
    <w:rsid w:val="00CB1037"/>
    <w:rsid w:val="00CB10FA"/>
    <w:rsid w:val="00CB18EF"/>
    <w:rsid w:val="00CB203B"/>
    <w:rsid w:val="00CB2ACE"/>
    <w:rsid w:val="00CB2C4F"/>
    <w:rsid w:val="00CB2D28"/>
    <w:rsid w:val="00CB2D92"/>
    <w:rsid w:val="00CB362D"/>
    <w:rsid w:val="00CB4278"/>
    <w:rsid w:val="00CB50C0"/>
    <w:rsid w:val="00CB50D7"/>
    <w:rsid w:val="00CB656D"/>
    <w:rsid w:val="00CB6842"/>
    <w:rsid w:val="00CB6902"/>
    <w:rsid w:val="00CB7177"/>
    <w:rsid w:val="00CB71C0"/>
    <w:rsid w:val="00CB7B41"/>
    <w:rsid w:val="00CC0C80"/>
    <w:rsid w:val="00CC0F67"/>
    <w:rsid w:val="00CC1998"/>
    <w:rsid w:val="00CC1B23"/>
    <w:rsid w:val="00CC2682"/>
    <w:rsid w:val="00CC2722"/>
    <w:rsid w:val="00CC2A1F"/>
    <w:rsid w:val="00CC2BDB"/>
    <w:rsid w:val="00CC3959"/>
    <w:rsid w:val="00CC482E"/>
    <w:rsid w:val="00CC48B8"/>
    <w:rsid w:val="00CC4946"/>
    <w:rsid w:val="00CC4E0F"/>
    <w:rsid w:val="00CC51E8"/>
    <w:rsid w:val="00CC5F37"/>
    <w:rsid w:val="00CC6180"/>
    <w:rsid w:val="00CC6969"/>
    <w:rsid w:val="00CC7371"/>
    <w:rsid w:val="00CD0593"/>
    <w:rsid w:val="00CD0C6D"/>
    <w:rsid w:val="00CD1F34"/>
    <w:rsid w:val="00CD2FA8"/>
    <w:rsid w:val="00CD32F1"/>
    <w:rsid w:val="00CD43A6"/>
    <w:rsid w:val="00CD5454"/>
    <w:rsid w:val="00CD5B66"/>
    <w:rsid w:val="00CD6337"/>
    <w:rsid w:val="00CD6E68"/>
    <w:rsid w:val="00CD7225"/>
    <w:rsid w:val="00CD7255"/>
    <w:rsid w:val="00CD7F23"/>
    <w:rsid w:val="00CE01D7"/>
    <w:rsid w:val="00CE0B5E"/>
    <w:rsid w:val="00CE1773"/>
    <w:rsid w:val="00CE1AE9"/>
    <w:rsid w:val="00CE2B73"/>
    <w:rsid w:val="00CE3081"/>
    <w:rsid w:val="00CE364B"/>
    <w:rsid w:val="00CE3790"/>
    <w:rsid w:val="00CE3A5C"/>
    <w:rsid w:val="00CE403A"/>
    <w:rsid w:val="00CE4380"/>
    <w:rsid w:val="00CE5174"/>
    <w:rsid w:val="00CE5F92"/>
    <w:rsid w:val="00CE6650"/>
    <w:rsid w:val="00CE755F"/>
    <w:rsid w:val="00CE769E"/>
    <w:rsid w:val="00CE76F1"/>
    <w:rsid w:val="00CE7FFE"/>
    <w:rsid w:val="00CF03BF"/>
    <w:rsid w:val="00CF14B8"/>
    <w:rsid w:val="00CF1820"/>
    <w:rsid w:val="00CF2082"/>
    <w:rsid w:val="00CF214D"/>
    <w:rsid w:val="00CF2D4D"/>
    <w:rsid w:val="00CF3BDB"/>
    <w:rsid w:val="00CF3CA4"/>
    <w:rsid w:val="00CF3EFD"/>
    <w:rsid w:val="00CF41F9"/>
    <w:rsid w:val="00CF4232"/>
    <w:rsid w:val="00CF583D"/>
    <w:rsid w:val="00CF58CD"/>
    <w:rsid w:val="00CF5D13"/>
    <w:rsid w:val="00CF6398"/>
    <w:rsid w:val="00CF7D02"/>
    <w:rsid w:val="00CF7D29"/>
    <w:rsid w:val="00D00616"/>
    <w:rsid w:val="00D00AEB"/>
    <w:rsid w:val="00D01401"/>
    <w:rsid w:val="00D02297"/>
    <w:rsid w:val="00D026D6"/>
    <w:rsid w:val="00D0277E"/>
    <w:rsid w:val="00D02B28"/>
    <w:rsid w:val="00D02C23"/>
    <w:rsid w:val="00D032B4"/>
    <w:rsid w:val="00D04A38"/>
    <w:rsid w:val="00D05312"/>
    <w:rsid w:val="00D055AC"/>
    <w:rsid w:val="00D0564B"/>
    <w:rsid w:val="00D05BE3"/>
    <w:rsid w:val="00D0668B"/>
    <w:rsid w:val="00D06E3B"/>
    <w:rsid w:val="00D07118"/>
    <w:rsid w:val="00D07F83"/>
    <w:rsid w:val="00D11013"/>
    <w:rsid w:val="00D1130D"/>
    <w:rsid w:val="00D11505"/>
    <w:rsid w:val="00D11639"/>
    <w:rsid w:val="00D116EE"/>
    <w:rsid w:val="00D1194A"/>
    <w:rsid w:val="00D120FF"/>
    <w:rsid w:val="00D128C3"/>
    <w:rsid w:val="00D12B56"/>
    <w:rsid w:val="00D1341F"/>
    <w:rsid w:val="00D138D5"/>
    <w:rsid w:val="00D13AD8"/>
    <w:rsid w:val="00D14083"/>
    <w:rsid w:val="00D14F7D"/>
    <w:rsid w:val="00D15CD0"/>
    <w:rsid w:val="00D16875"/>
    <w:rsid w:val="00D16965"/>
    <w:rsid w:val="00D16CC3"/>
    <w:rsid w:val="00D16F3E"/>
    <w:rsid w:val="00D178C7"/>
    <w:rsid w:val="00D21094"/>
    <w:rsid w:val="00D22422"/>
    <w:rsid w:val="00D22D08"/>
    <w:rsid w:val="00D22FD5"/>
    <w:rsid w:val="00D2396B"/>
    <w:rsid w:val="00D24DC0"/>
    <w:rsid w:val="00D25288"/>
    <w:rsid w:val="00D25812"/>
    <w:rsid w:val="00D2617B"/>
    <w:rsid w:val="00D262C0"/>
    <w:rsid w:val="00D26738"/>
    <w:rsid w:val="00D26F80"/>
    <w:rsid w:val="00D270A4"/>
    <w:rsid w:val="00D271E8"/>
    <w:rsid w:val="00D2720A"/>
    <w:rsid w:val="00D27AA2"/>
    <w:rsid w:val="00D27EE7"/>
    <w:rsid w:val="00D30D74"/>
    <w:rsid w:val="00D31154"/>
    <w:rsid w:val="00D31705"/>
    <w:rsid w:val="00D31FE9"/>
    <w:rsid w:val="00D32E25"/>
    <w:rsid w:val="00D33233"/>
    <w:rsid w:val="00D3323A"/>
    <w:rsid w:val="00D338D7"/>
    <w:rsid w:val="00D33E9E"/>
    <w:rsid w:val="00D34942"/>
    <w:rsid w:val="00D34E1B"/>
    <w:rsid w:val="00D35200"/>
    <w:rsid w:val="00D35647"/>
    <w:rsid w:val="00D35D12"/>
    <w:rsid w:val="00D37056"/>
    <w:rsid w:val="00D376BA"/>
    <w:rsid w:val="00D37EC1"/>
    <w:rsid w:val="00D40808"/>
    <w:rsid w:val="00D4194E"/>
    <w:rsid w:val="00D41A86"/>
    <w:rsid w:val="00D41F66"/>
    <w:rsid w:val="00D42677"/>
    <w:rsid w:val="00D42874"/>
    <w:rsid w:val="00D42BB9"/>
    <w:rsid w:val="00D42EDC"/>
    <w:rsid w:val="00D43D70"/>
    <w:rsid w:val="00D44794"/>
    <w:rsid w:val="00D44DFD"/>
    <w:rsid w:val="00D45028"/>
    <w:rsid w:val="00D451F9"/>
    <w:rsid w:val="00D45634"/>
    <w:rsid w:val="00D460F8"/>
    <w:rsid w:val="00D4635C"/>
    <w:rsid w:val="00D466F1"/>
    <w:rsid w:val="00D47157"/>
    <w:rsid w:val="00D50535"/>
    <w:rsid w:val="00D50678"/>
    <w:rsid w:val="00D50B8C"/>
    <w:rsid w:val="00D50FB2"/>
    <w:rsid w:val="00D51116"/>
    <w:rsid w:val="00D52464"/>
    <w:rsid w:val="00D52721"/>
    <w:rsid w:val="00D52999"/>
    <w:rsid w:val="00D52FF6"/>
    <w:rsid w:val="00D532D5"/>
    <w:rsid w:val="00D5387A"/>
    <w:rsid w:val="00D53A77"/>
    <w:rsid w:val="00D54C78"/>
    <w:rsid w:val="00D55295"/>
    <w:rsid w:val="00D5568A"/>
    <w:rsid w:val="00D55A38"/>
    <w:rsid w:val="00D55D74"/>
    <w:rsid w:val="00D56D73"/>
    <w:rsid w:val="00D5766F"/>
    <w:rsid w:val="00D576F0"/>
    <w:rsid w:val="00D60705"/>
    <w:rsid w:val="00D61B49"/>
    <w:rsid w:val="00D61B7B"/>
    <w:rsid w:val="00D63D73"/>
    <w:rsid w:val="00D64452"/>
    <w:rsid w:val="00D646E3"/>
    <w:rsid w:val="00D65364"/>
    <w:rsid w:val="00D65F9E"/>
    <w:rsid w:val="00D663E3"/>
    <w:rsid w:val="00D66705"/>
    <w:rsid w:val="00D66E1E"/>
    <w:rsid w:val="00D67FB3"/>
    <w:rsid w:val="00D703F0"/>
    <w:rsid w:val="00D704AC"/>
    <w:rsid w:val="00D71300"/>
    <w:rsid w:val="00D7163B"/>
    <w:rsid w:val="00D71F41"/>
    <w:rsid w:val="00D72A04"/>
    <w:rsid w:val="00D73D7E"/>
    <w:rsid w:val="00D7488D"/>
    <w:rsid w:val="00D751E7"/>
    <w:rsid w:val="00D75722"/>
    <w:rsid w:val="00D75982"/>
    <w:rsid w:val="00D76FA3"/>
    <w:rsid w:val="00D773D4"/>
    <w:rsid w:val="00D802CA"/>
    <w:rsid w:val="00D8062C"/>
    <w:rsid w:val="00D806A0"/>
    <w:rsid w:val="00D80CF5"/>
    <w:rsid w:val="00D82AA7"/>
    <w:rsid w:val="00D82DF6"/>
    <w:rsid w:val="00D843AB"/>
    <w:rsid w:val="00D848B2"/>
    <w:rsid w:val="00D8500C"/>
    <w:rsid w:val="00D8558A"/>
    <w:rsid w:val="00D8589E"/>
    <w:rsid w:val="00D85A3B"/>
    <w:rsid w:val="00D86168"/>
    <w:rsid w:val="00D86714"/>
    <w:rsid w:val="00D86E90"/>
    <w:rsid w:val="00D87089"/>
    <w:rsid w:val="00D8714E"/>
    <w:rsid w:val="00D8719E"/>
    <w:rsid w:val="00D87235"/>
    <w:rsid w:val="00D87721"/>
    <w:rsid w:val="00D877A6"/>
    <w:rsid w:val="00D913C6"/>
    <w:rsid w:val="00D914A9"/>
    <w:rsid w:val="00D916A3"/>
    <w:rsid w:val="00D9205A"/>
    <w:rsid w:val="00D925D5"/>
    <w:rsid w:val="00D92DC0"/>
    <w:rsid w:val="00D93334"/>
    <w:rsid w:val="00D93B77"/>
    <w:rsid w:val="00D93D6D"/>
    <w:rsid w:val="00D943B1"/>
    <w:rsid w:val="00D9455B"/>
    <w:rsid w:val="00D9455F"/>
    <w:rsid w:val="00D94E45"/>
    <w:rsid w:val="00D957BC"/>
    <w:rsid w:val="00D95C94"/>
    <w:rsid w:val="00D977C4"/>
    <w:rsid w:val="00D97980"/>
    <w:rsid w:val="00D97F10"/>
    <w:rsid w:val="00DA0388"/>
    <w:rsid w:val="00DA0C29"/>
    <w:rsid w:val="00DA0D5F"/>
    <w:rsid w:val="00DA0DBA"/>
    <w:rsid w:val="00DA1907"/>
    <w:rsid w:val="00DA1C83"/>
    <w:rsid w:val="00DA206C"/>
    <w:rsid w:val="00DA241C"/>
    <w:rsid w:val="00DA2E0A"/>
    <w:rsid w:val="00DA3F18"/>
    <w:rsid w:val="00DA4173"/>
    <w:rsid w:val="00DA4530"/>
    <w:rsid w:val="00DA45C1"/>
    <w:rsid w:val="00DA48BC"/>
    <w:rsid w:val="00DA5406"/>
    <w:rsid w:val="00DA54B4"/>
    <w:rsid w:val="00DA56E4"/>
    <w:rsid w:val="00DA57F7"/>
    <w:rsid w:val="00DA5BBA"/>
    <w:rsid w:val="00DA5CBF"/>
    <w:rsid w:val="00DA6031"/>
    <w:rsid w:val="00DA6948"/>
    <w:rsid w:val="00DA6A60"/>
    <w:rsid w:val="00DA748F"/>
    <w:rsid w:val="00DA7586"/>
    <w:rsid w:val="00DA763D"/>
    <w:rsid w:val="00DA7D34"/>
    <w:rsid w:val="00DB00EA"/>
    <w:rsid w:val="00DB0DEB"/>
    <w:rsid w:val="00DB124D"/>
    <w:rsid w:val="00DB2149"/>
    <w:rsid w:val="00DB21A3"/>
    <w:rsid w:val="00DB26D2"/>
    <w:rsid w:val="00DB2C11"/>
    <w:rsid w:val="00DB2E9E"/>
    <w:rsid w:val="00DB584D"/>
    <w:rsid w:val="00DB5AA0"/>
    <w:rsid w:val="00DB65D2"/>
    <w:rsid w:val="00DB67C9"/>
    <w:rsid w:val="00DB77C3"/>
    <w:rsid w:val="00DB78BD"/>
    <w:rsid w:val="00DB7974"/>
    <w:rsid w:val="00DB7BB8"/>
    <w:rsid w:val="00DC0A3B"/>
    <w:rsid w:val="00DC0A5D"/>
    <w:rsid w:val="00DC0ACB"/>
    <w:rsid w:val="00DC0C95"/>
    <w:rsid w:val="00DC0D27"/>
    <w:rsid w:val="00DC0DA6"/>
    <w:rsid w:val="00DC0F1F"/>
    <w:rsid w:val="00DC1944"/>
    <w:rsid w:val="00DC1CE7"/>
    <w:rsid w:val="00DC1DC6"/>
    <w:rsid w:val="00DC1F43"/>
    <w:rsid w:val="00DC23D5"/>
    <w:rsid w:val="00DC2EDA"/>
    <w:rsid w:val="00DC3AF0"/>
    <w:rsid w:val="00DC5078"/>
    <w:rsid w:val="00DC564E"/>
    <w:rsid w:val="00DC5EE5"/>
    <w:rsid w:val="00DC5FB8"/>
    <w:rsid w:val="00DC74F8"/>
    <w:rsid w:val="00DD04CA"/>
    <w:rsid w:val="00DD07FE"/>
    <w:rsid w:val="00DD0805"/>
    <w:rsid w:val="00DD08D6"/>
    <w:rsid w:val="00DD2871"/>
    <w:rsid w:val="00DD33E6"/>
    <w:rsid w:val="00DD4332"/>
    <w:rsid w:val="00DD4A53"/>
    <w:rsid w:val="00DD4BF4"/>
    <w:rsid w:val="00DD58FE"/>
    <w:rsid w:val="00DD5AE1"/>
    <w:rsid w:val="00DD5C23"/>
    <w:rsid w:val="00DD6580"/>
    <w:rsid w:val="00DD7DB2"/>
    <w:rsid w:val="00DD7E0B"/>
    <w:rsid w:val="00DD7E9A"/>
    <w:rsid w:val="00DE0C37"/>
    <w:rsid w:val="00DE0CCF"/>
    <w:rsid w:val="00DE125F"/>
    <w:rsid w:val="00DE1D16"/>
    <w:rsid w:val="00DE1D4F"/>
    <w:rsid w:val="00DE1E01"/>
    <w:rsid w:val="00DE31C1"/>
    <w:rsid w:val="00DE33E8"/>
    <w:rsid w:val="00DE353F"/>
    <w:rsid w:val="00DE4455"/>
    <w:rsid w:val="00DE44DB"/>
    <w:rsid w:val="00DE4A2E"/>
    <w:rsid w:val="00DE4D82"/>
    <w:rsid w:val="00DE4D9F"/>
    <w:rsid w:val="00DE542D"/>
    <w:rsid w:val="00DE5C5D"/>
    <w:rsid w:val="00DE60FB"/>
    <w:rsid w:val="00DE626F"/>
    <w:rsid w:val="00DE6918"/>
    <w:rsid w:val="00DE7531"/>
    <w:rsid w:val="00DE77BE"/>
    <w:rsid w:val="00DF0423"/>
    <w:rsid w:val="00DF0679"/>
    <w:rsid w:val="00DF084E"/>
    <w:rsid w:val="00DF09FD"/>
    <w:rsid w:val="00DF1053"/>
    <w:rsid w:val="00DF2776"/>
    <w:rsid w:val="00DF2E4B"/>
    <w:rsid w:val="00DF35F7"/>
    <w:rsid w:val="00DF3A30"/>
    <w:rsid w:val="00DF3BEC"/>
    <w:rsid w:val="00DF4F2B"/>
    <w:rsid w:val="00DF597C"/>
    <w:rsid w:val="00DF5B80"/>
    <w:rsid w:val="00DF5BF2"/>
    <w:rsid w:val="00DF6103"/>
    <w:rsid w:val="00DF629D"/>
    <w:rsid w:val="00DF62D3"/>
    <w:rsid w:val="00DF71C1"/>
    <w:rsid w:val="00DF728F"/>
    <w:rsid w:val="00DF7643"/>
    <w:rsid w:val="00DF791B"/>
    <w:rsid w:val="00DF7988"/>
    <w:rsid w:val="00E0213E"/>
    <w:rsid w:val="00E0216C"/>
    <w:rsid w:val="00E02877"/>
    <w:rsid w:val="00E029B6"/>
    <w:rsid w:val="00E03906"/>
    <w:rsid w:val="00E03B67"/>
    <w:rsid w:val="00E03B9D"/>
    <w:rsid w:val="00E03E4E"/>
    <w:rsid w:val="00E04259"/>
    <w:rsid w:val="00E044EE"/>
    <w:rsid w:val="00E0471D"/>
    <w:rsid w:val="00E04DFD"/>
    <w:rsid w:val="00E05C0E"/>
    <w:rsid w:val="00E05D86"/>
    <w:rsid w:val="00E07082"/>
    <w:rsid w:val="00E0724E"/>
    <w:rsid w:val="00E07A17"/>
    <w:rsid w:val="00E07AF0"/>
    <w:rsid w:val="00E112C1"/>
    <w:rsid w:val="00E1193E"/>
    <w:rsid w:val="00E11F1C"/>
    <w:rsid w:val="00E12C11"/>
    <w:rsid w:val="00E132E7"/>
    <w:rsid w:val="00E1365E"/>
    <w:rsid w:val="00E13FE8"/>
    <w:rsid w:val="00E140C3"/>
    <w:rsid w:val="00E154E3"/>
    <w:rsid w:val="00E15E57"/>
    <w:rsid w:val="00E164CC"/>
    <w:rsid w:val="00E166CD"/>
    <w:rsid w:val="00E174D3"/>
    <w:rsid w:val="00E17AF8"/>
    <w:rsid w:val="00E17C72"/>
    <w:rsid w:val="00E17F6F"/>
    <w:rsid w:val="00E17FA3"/>
    <w:rsid w:val="00E2008F"/>
    <w:rsid w:val="00E2031F"/>
    <w:rsid w:val="00E20405"/>
    <w:rsid w:val="00E20551"/>
    <w:rsid w:val="00E21752"/>
    <w:rsid w:val="00E21AE5"/>
    <w:rsid w:val="00E21C8D"/>
    <w:rsid w:val="00E21FC6"/>
    <w:rsid w:val="00E22021"/>
    <w:rsid w:val="00E22818"/>
    <w:rsid w:val="00E26A83"/>
    <w:rsid w:val="00E26EE8"/>
    <w:rsid w:val="00E2717E"/>
    <w:rsid w:val="00E275F8"/>
    <w:rsid w:val="00E30644"/>
    <w:rsid w:val="00E306A2"/>
    <w:rsid w:val="00E30846"/>
    <w:rsid w:val="00E30997"/>
    <w:rsid w:val="00E30FEE"/>
    <w:rsid w:val="00E30FEF"/>
    <w:rsid w:val="00E31143"/>
    <w:rsid w:val="00E311A1"/>
    <w:rsid w:val="00E311D0"/>
    <w:rsid w:val="00E3137B"/>
    <w:rsid w:val="00E3155A"/>
    <w:rsid w:val="00E32050"/>
    <w:rsid w:val="00E32F76"/>
    <w:rsid w:val="00E33523"/>
    <w:rsid w:val="00E345F3"/>
    <w:rsid w:val="00E34AF7"/>
    <w:rsid w:val="00E34DEE"/>
    <w:rsid w:val="00E351FE"/>
    <w:rsid w:val="00E364C2"/>
    <w:rsid w:val="00E366D6"/>
    <w:rsid w:val="00E36D05"/>
    <w:rsid w:val="00E378E0"/>
    <w:rsid w:val="00E37A37"/>
    <w:rsid w:val="00E37B92"/>
    <w:rsid w:val="00E37F11"/>
    <w:rsid w:val="00E40958"/>
    <w:rsid w:val="00E41676"/>
    <w:rsid w:val="00E41D03"/>
    <w:rsid w:val="00E41F72"/>
    <w:rsid w:val="00E42345"/>
    <w:rsid w:val="00E431A9"/>
    <w:rsid w:val="00E43448"/>
    <w:rsid w:val="00E43CC8"/>
    <w:rsid w:val="00E43F17"/>
    <w:rsid w:val="00E44269"/>
    <w:rsid w:val="00E445F5"/>
    <w:rsid w:val="00E44677"/>
    <w:rsid w:val="00E44DA8"/>
    <w:rsid w:val="00E45338"/>
    <w:rsid w:val="00E455CC"/>
    <w:rsid w:val="00E45DEF"/>
    <w:rsid w:val="00E45E61"/>
    <w:rsid w:val="00E466A8"/>
    <w:rsid w:val="00E466ED"/>
    <w:rsid w:val="00E46739"/>
    <w:rsid w:val="00E46BF7"/>
    <w:rsid w:val="00E46EC7"/>
    <w:rsid w:val="00E478AA"/>
    <w:rsid w:val="00E5024B"/>
    <w:rsid w:val="00E50257"/>
    <w:rsid w:val="00E50651"/>
    <w:rsid w:val="00E508C6"/>
    <w:rsid w:val="00E50DBD"/>
    <w:rsid w:val="00E51127"/>
    <w:rsid w:val="00E5131D"/>
    <w:rsid w:val="00E513CD"/>
    <w:rsid w:val="00E51433"/>
    <w:rsid w:val="00E5150E"/>
    <w:rsid w:val="00E51AA9"/>
    <w:rsid w:val="00E528D9"/>
    <w:rsid w:val="00E5295F"/>
    <w:rsid w:val="00E52D99"/>
    <w:rsid w:val="00E53284"/>
    <w:rsid w:val="00E53735"/>
    <w:rsid w:val="00E541A8"/>
    <w:rsid w:val="00E544FE"/>
    <w:rsid w:val="00E54BB6"/>
    <w:rsid w:val="00E55213"/>
    <w:rsid w:val="00E5530D"/>
    <w:rsid w:val="00E55448"/>
    <w:rsid w:val="00E55D47"/>
    <w:rsid w:val="00E565F5"/>
    <w:rsid w:val="00E56F16"/>
    <w:rsid w:val="00E5775E"/>
    <w:rsid w:val="00E57CBB"/>
    <w:rsid w:val="00E608D0"/>
    <w:rsid w:val="00E608E4"/>
    <w:rsid w:val="00E6123A"/>
    <w:rsid w:val="00E614FB"/>
    <w:rsid w:val="00E61C22"/>
    <w:rsid w:val="00E62439"/>
    <w:rsid w:val="00E63818"/>
    <w:rsid w:val="00E638C4"/>
    <w:rsid w:val="00E63A0C"/>
    <w:rsid w:val="00E64316"/>
    <w:rsid w:val="00E660ED"/>
    <w:rsid w:val="00E661A0"/>
    <w:rsid w:val="00E663AB"/>
    <w:rsid w:val="00E669E2"/>
    <w:rsid w:val="00E70943"/>
    <w:rsid w:val="00E70CEA"/>
    <w:rsid w:val="00E71D50"/>
    <w:rsid w:val="00E71DB5"/>
    <w:rsid w:val="00E722ED"/>
    <w:rsid w:val="00E72462"/>
    <w:rsid w:val="00E72790"/>
    <w:rsid w:val="00E72B84"/>
    <w:rsid w:val="00E73388"/>
    <w:rsid w:val="00E73761"/>
    <w:rsid w:val="00E73D96"/>
    <w:rsid w:val="00E73F56"/>
    <w:rsid w:val="00E73FDB"/>
    <w:rsid w:val="00E7468A"/>
    <w:rsid w:val="00E751D1"/>
    <w:rsid w:val="00E75368"/>
    <w:rsid w:val="00E756F1"/>
    <w:rsid w:val="00E7593B"/>
    <w:rsid w:val="00E75A9C"/>
    <w:rsid w:val="00E75DA5"/>
    <w:rsid w:val="00E76135"/>
    <w:rsid w:val="00E76FE6"/>
    <w:rsid w:val="00E77003"/>
    <w:rsid w:val="00E77C88"/>
    <w:rsid w:val="00E8001F"/>
    <w:rsid w:val="00E8014B"/>
    <w:rsid w:val="00E80744"/>
    <w:rsid w:val="00E8293D"/>
    <w:rsid w:val="00E82F4F"/>
    <w:rsid w:val="00E843A9"/>
    <w:rsid w:val="00E847D3"/>
    <w:rsid w:val="00E860C5"/>
    <w:rsid w:val="00E86301"/>
    <w:rsid w:val="00E864B0"/>
    <w:rsid w:val="00E8653E"/>
    <w:rsid w:val="00E86887"/>
    <w:rsid w:val="00E86AAE"/>
    <w:rsid w:val="00E86E9F"/>
    <w:rsid w:val="00E86FF9"/>
    <w:rsid w:val="00E87040"/>
    <w:rsid w:val="00E87C2D"/>
    <w:rsid w:val="00E90557"/>
    <w:rsid w:val="00E90F07"/>
    <w:rsid w:val="00E91135"/>
    <w:rsid w:val="00E9176D"/>
    <w:rsid w:val="00E91BC8"/>
    <w:rsid w:val="00E93730"/>
    <w:rsid w:val="00E94967"/>
    <w:rsid w:val="00E94A72"/>
    <w:rsid w:val="00E95F85"/>
    <w:rsid w:val="00E968AD"/>
    <w:rsid w:val="00E96AC6"/>
    <w:rsid w:val="00E97122"/>
    <w:rsid w:val="00E9758C"/>
    <w:rsid w:val="00E97B69"/>
    <w:rsid w:val="00EA0102"/>
    <w:rsid w:val="00EA03F7"/>
    <w:rsid w:val="00EA0929"/>
    <w:rsid w:val="00EA09A5"/>
    <w:rsid w:val="00EA0CC4"/>
    <w:rsid w:val="00EA0CE5"/>
    <w:rsid w:val="00EA0DB4"/>
    <w:rsid w:val="00EA2140"/>
    <w:rsid w:val="00EA2674"/>
    <w:rsid w:val="00EA27B5"/>
    <w:rsid w:val="00EA2933"/>
    <w:rsid w:val="00EA3162"/>
    <w:rsid w:val="00EA320E"/>
    <w:rsid w:val="00EA3448"/>
    <w:rsid w:val="00EA37C7"/>
    <w:rsid w:val="00EA3F6A"/>
    <w:rsid w:val="00EA46FB"/>
    <w:rsid w:val="00EA557D"/>
    <w:rsid w:val="00EA5A6A"/>
    <w:rsid w:val="00EA61CB"/>
    <w:rsid w:val="00EA63BE"/>
    <w:rsid w:val="00EA682F"/>
    <w:rsid w:val="00EA6A42"/>
    <w:rsid w:val="00EA7428"/>
    <w:rsid w:val="00EA7658"/>
    <w:rsid w:val="00EA78F4"/>
    <w:rsid w:val="00EA797C"/>
    <w:rsid w:val="00EA79B6"/>
    <w:rsid w:val="00EB08A7"/>
    <w:rsid w:val="00EB187D"/>
    <w:rsid w:val="00EB18A7"/>
    <w:rsid w:val="00EB1ADE"/>
    <w:rsid w:val="00EB1C2F"/>
    <w:rsid w:val="00EB1D05"/>
    <w:rsid w:val="00EB290D"/>
    <w:rsid w:val="00EB2966"/>
    <w:rsid w:val="00EB2EDE"/>
    <w:rsid w:val="00EB309B"/>
    <w:rsid w:val="00EB388E"/>
    <w:rsid w:val="00EB3C95"/>
    <w:rsid w:val="00EB3F27"/>
    <w:rsid w:val="00EB47CF"/>
    <w:rsid w:val="00EB492D"/>
    <w:rsid w:val="00EB4E2D"/>
    <w:rsid w:val="00EB4F1A"/>
    <w:rsid w:val="00EB52D3"/>
    <w:rsid w:val="00EB5A36"/>
    <w:rsid w:val="00EB5D81"/>
    <w:rsid w:val="00EB5EA1"/>
    <w:rsid w:val="00EB5FCC"/>
    <w:rsid w:val="00EB62DD"/>
    <w:rsid w:val="00EB6686"/>
    <w:rsid w:val="00EB70E6"/>
    <w:rsid w:val="00EB710C"/>
    <w:rsid w:val="00EB7B0F"/>
    <w:rsid w:val="00EC0076"/>
    <w:rsid w:val="00EC0426"/>
    <w:rsid w:val="00EC0804"/>
    <w:rsid w:val="00EC0825"/>
    <w:rsid w:val="00EC083B"/>
    <w:rsid w:val="00EC1186"/>
    <w:rsid w:val="00EC15B4"/>
    <w:rsid w:val="00EC212A"/>
    <w:rsid w:val="00EC2844"/>
    <w:rsid w:val="00EC2C21"/>
    <w:rsid w:val="00EC3A79"/>
    <w:rsid w:val="00EC3F39"/>
    <w:rsid w:val="00EC3F4B"/>
    <w:rsid w:val="00EC43F2"/>
    <w:rsid w:val="00EC46F4"/>
    <w:rsid w:val="00EC4B12"/>
    <w:rsid w:val="00EC4D7B"/>
    <w:rsid w:val="00EC4E0D"/>
    <w:rsid w:val="00EC5500"/>
    <w:rsid w:val="00EC597C"/>
    <w:rsid w:val="00EC5F31"/>
    <w:rsid w:val="00EC6ACA"/>
    <w:rsid w:val="00EC7708"/>
    <w:rsid w:val="00EC7CF3"/>
    <w:rsid w:val="00EC7E40"/>
    <w:rsid w:val="00ED00E9"/>
    <w:rsid w:val="00ED02EF"/>
    <w:rsid w:val="00ED02FF"/>
    <w:rsid w:val="00ED13E8"/>
    <w:rsid w:val="00ED18F8"/>
    <w:rsid w:val="00ED1B1B"/>
    <w:rsid w:val="00ED26AF"/>
    <w:rsid w:val="00ED2B23"/>
    <w:rsid w:val="00ED2B68"/>
    <w:rsid w:val="00ED354C"/>
    <w:rsid w:val="00ED3708"/>
    <w:rsid w:val="00ED3D64"/>
    <w:rsid w:val="00ED40A4"/>
    <w:rsid w:val="00ED40F7"/>
    <w:rsid w:val="00ED4271"/>
    <w:rsid w:val="00ED44A0"/>
    <w:rsid w:val="00ED4E66"/>
    <w:rsid w:val="00ED7019"/>
    <w:rsid w:val="00ED721D"/>
    <w:rsid w:val="00ED7ED8"/>
    <w:rsid w:val="00EE00AE"/>
    <w:rsid w:val="00EE02AA"/>
    <w:rsid w:val="00EE0D7A"/>
    <w:rsid w:val="00EE1771"/>
    <w:rsid w:val="00EE17BA"/>
    <w:rsid w:val="00EE2930"/>
    <w:rsid w:val="00EE298C"/>
    <w:rsid w:val="00EE2C74"/>
    <w:rsid w:val="00EE3170"/>
    <w:rsid w:val="00EE33FE"/>
    <w:rsid w:val="00EE3FBF"/>
    <w:rsid w:val="00EE51D4"/>
    <w:rsid w:val="00EE65CB"/>
    <w:rsid w:val="00EE7319"/>
    <w:rsid w:val="00EE781C"/>
    <w:rsid w:val="00EE7DF5"/>
    <w:rsid w:val="00EF01B4"/>
    <w:rsid w:val="00EF02B0"/>
    <w:rsid w:val="00EF05AD"/>
    <w:rsid w:val="00EF071E"/>
    <w:rsid w:val="00EF0C93"/>
    <w:rsid w:val="00EF0D79"/>
    <w:rsid w:val="00EF140A"/>
    <w:rsid w:val="00EF1768"/>
    <w:rsid w:val="00EF2045"/>
    <w:rsid w:val="00EF2217"/>
    <w:rsid w:val="00EF2C8B"/>
    <w:rsid w:val="00EF2FE2"/>
    <w:rsid w:val="00EF32B0"/>
    <w:rsid w:val="00EF53C7"/>
    <w:rsid w:val="00EF5E56"/>
    <w:rsid w:val="00EF6C6C"/>
    <w:rsid w:val="00EF7550"/>
    <w:rsid w:val="00EF7AEC"/>
    <w:rsid w:val="00F00000"/>
    <w:rsid w:val="00F0047D"/>
    <w:rsid w:val="00F00891"/>
    <w:rsid w:val="00F00F89"/>
    <w:rsid w:val="00F018F0"/>
    <w:rsid w:val="00F01BD2"/>
    <w:rsid w:val="00F026B8"/>
    <w:rsid w:val="00F0294A"/>
    <w:rsid w:val="00F03391"/>
    <w:rsid w:val="00F03543"/>
    <w:rsid w:val="00F03623"/>
    <w:rsid w:val="00F03D63"/>
    <w:rsid w:val="00F03EDB"/>
    <w:rsid w:val="00F0464B"/>
    <w:rsid w:val="00F04D8B"/>
    <w:rsid w:val="00F0514A"/>
    <w:rsid w:val="00F056FC"/>
    <w:rsid w:val="00F05A2D"/>
    <w:rsid w:val="00F05D46"/>
    <w:rsid w:val="00F06057"/>
    <w:rsid w:val="00F063B0"/>
    <w:rsid w:val="00F06892"/>
    <w:rsid w:val="00F06C6D"/>
    <w:rsid w:val="00F07A1D"/>
    <w:rsid w:val="00F10476"/>
    <w:rsid w:val="00F10A45"/>
    <w:rsid w:val="00F1182D"/>
    <w:rsid w:val="00F11929"/>
    <w:rsid w:val="00F11D76"/>
    <w:rsid w:val="00F11E97"/>
    <w:rsid w:val="00F12181"/>
    <w:rsid w:val="00F1247B"/>
    <w:rsid w:val="00F12734"/>
    <w:rsid w:val="00F12FA9"/>
    <w:rsid w:val="00F130CA"/>
    <w:rsid w:val="00F130CC"/>
    <w:rsid w:val="00F135D8"/>
    <w:rsid w:val="00F137DF"/>
    <w:rsid w:val="00F138BE"/>
    <w:rsid w:val="00F13A20"/>
    <w:rsid w:val="00F13EC5"/>
    <w:rsid w:val="00F14135"/>
    <w:rsid w:val="00F14829"/>
    <w:rsid w:val="00F1493B"/>
    <w:rsid w:val="00F14B05"/>
    <w:rsid w:val="00F14C1D"/>
    <w:rsid w:val="00F14C28"/>
    <w:rsid w:val="00F168D6"/>
    <w:rsid w:val="00F16993"/>
    <w:rsid w:val="00F169C8"/>
    <w:rsid w:val="00F16C6E"/>
    <w:rsid w:val="00F17082"/>
    <w:rsid w:val="00F171A4"/>
    <w:rsid w:val="00F17240"/>
    <w:rsid w:val="00F1789B"/>
    <w:rsid w:val="00F17B51"/>
    <w:rsid w:val="00F2058C"/>
    <w:rsid w:val="00F20C1A"/>
    <w:rsid w:val="00F21355"/>
    <w:rsid w:val="00F219EE"/>
    <w:rsid w:val="00F21B1E"/>
    <w:rsid w:val="00F22986"/>
    <w:rsid w:val="00F23505"/>
    <w:rsid w:val="00F237DA"/>
    <w:rsid w:val="00F23AAB"/>
    <w:rsid w:val="00F23DCB"/>
    <w:rsid w:val="00F24219"/>
    <w:rsid w:val="00F24A76"/>
    <w:rsid w:val="00F24B8B"/>
    <w:rsid w:val="00F24D2F"/>
    <w:rsid w:val="00F2593F"/>
    <w:rsid w:val="00F25FEB"/>
    <w:rsid w:val="00F27193"/>
    <w:rsid w:val="00F304FC"/>
    <w:rsid w:val="00F30874"/>
    <w:rsid w:val="00F3093E"/>
    <w:rsid w:val="00F30E7B"/>
    <w:rsid w:val="00F30EA3"/>
    <w:rsid w:val="00F31299"/>
    <w:rsid w:val="00F314D1"/>
    <w:rsid w:val="00F3199B"/>
    <w:rsid w:val="00F32B90"/>
    <w:rsid w:val="00F32D08"/>
    <w:rsid w:val="00F32F8A"/>
    <w:rsid w:val="00F33073"/>
    <w:rsid w:val="00F33A96"/>
    <w:rsid w:val="00F33AD6"/>
    <w:rsid w:val="00F33CBA"/>
    <w:rsid w:val="00F34010"/>
    <w:rsid w:val="00F343AE"/>
    <w:rsid w:val="00F3474B"/>
    <w:rsid w:val="00F34958"/>
    <w:rsid w:val="00F3534A"/>
    <w:rsid w:val="00F35789"/>
    <w:rsid w:val="00F36877"/>
    <w:rsid w:val="00F36BCE"/>
    <w:rsid w:val="00F36E9E"/>
    <w:rsid w:val="00F375A3"/>
    <w:rsid w:val="00F3792F"/>
    <w:rsid w:val="00F37D85"/>
    <w:rsid w:val="00F406FC"/>
    <w:rsid w:val="00F409F4"/>
    <w:rsid w:val="00F40D81"/>
    <w:rsid w:val="00F411A0"/>
    <w:rsid w:val="00F4121A"/>
    <w:rsid w:val="00F41731"/>
    <w:rsid w:val="00F41FB2"/>
    <w:rsid w:val="00F42743"/>
    <w:rsid w:val="00F42CE4"/>
    <w:rsid w:val="00F43074"/>
    <w:rsid w:val="00F436EB"/>
    <w:rsid w:val="00F4381F"/>
    <w:rsid w:val="00F43A10"/>
    <w:rsid w:val="00F442E4"/>
    <w:rsid w:val="00F45FEA"/>
    <w:rsid w:val="00F46064"/>
    <w:rsid w:val="00F469A5"/>
    <w:rsid w:val="00F4749D"/>
    <w:rsid w:val="00F47B5A"/>
    <w:rsid w:val="00F47DBC"/>
    <w:rsid w:val="00F50AB1"/>
    <w:rsid w:val="00F51609"/>
    <w:rsid w:val="00F517B9"/>
    <w:rsid w:val="00F52234"/>
    <w:rsid w:val="00F52423"/>
    <w:rsid w:val="00F52842"/>
    <w:rsid w:val="00F52EB0"/>
    <w:rsid w:val="00F536D9"/>
    <w:rsid w:val="00F53E51"/>
    <w:rsid w:val="00F54A4C"/>
    <w:rsid w:val="00F54F3B"/>
    <w:rsid w:val="00F55292"/>
    <w:rsid w:val="00F557EE"/>
    <w:rsid w:val="00F566B7"/>
    <w:rsid w:val="00F569EB"/>
    <w:rsid w:val="00F56B06"/>
    <w:rsid w:val="00F56CC0"/>
    <w:rsid w:val="00F60521"/>
    <w:rsid w:val="00F60A36"/>
    <w:rsid w:val="00F63D8B"/>
    <w:rsid w:val="00F64D64"/>
    <w:rsid w:val="00F66344"/>
    <w:rsid w:val="00F664E6"/>
    <w:rsid w:val="00F66B9B"/>
    <w:rsid w:val="00F67173"/>
    <w:rsid w:val="00F67655"/>
    <w:rsid w:val="00F67E1C"/>
    <w:rsid w:val="00F704A3"/>
    <w:rsid w:val="00F7106D"/>
    <w:rsid w:val="00F71203"/>
    <w:rsid w:val="00F719C3"/>
    <w:rsid w:val="00F71C50"/>
    <w:rsid w:val="00F71D0F"/>
    <w:rsid w:val="00F73295"/>
    <w:rsid w:val="00F73FF7"/>
    <w:rsid w:val="00F741DF"/>
    <w:rsid w:val="00F74376"/>
    <w:rsid w:val="00F7451B"/>
    <w:rsid w:val="00F75286"/>
    <w:rsid w:val="00F756B1"/>
    <w:rsid w:val="00F764FD"/>
    <w:rsid w:val="00F76564"/>
    <w:rsid w:val="00F774CF"/>
    <w:rsid w:val="00F81006"/>
    <w:rsid w:val="00F81B33"/>
    <w:rsid w:val="00F81BA3"/>
    <w:rsid w:val="00F82488"/>
    <w:rsid w:val="00F82692"/>
    <w:rsid w:val="00F8318A"/>
    <w:rsid w:val="00F8354D"/>
    <w:rsid w:val="00F83842"/>
    <w:rsid w:val="00F841EB"/>
    <w:rsid w:val="00F84C96"/>
    <w:rsid w:val="00F84D37"/>
    <w:rsid w:val="00F84D9C"/>
    <w:rsid w:val="00F850A1"/>
    <w:rsid w:val="00F85181"/>
    <w:rsid w:val="00F852C0"/>
    <w:rsid w:val="00F85325"/>
    <w:rsid w:val="00F85689"/>
    <w:rsid w:val="00F8584E"/>
    <w:rsid w:val="00F85E15"/>
    <w:rsid w:val="00F865AA"/>
    <w:rsid w:val="00F86E21"/>
    <w:rsid w:val="00F8706D"/>
    <w:rsid w:val="00F8763A"/>
    <w:rsid w:val="00F876D9"/>
    <w:rsid w:val="00F87927"/>
    <w:rsid w:val="00F87C32"/>
    <w:rsid w:val="00F87D78"/>
    <w:rsid w:val="00F90261"/>
    <w:rsid w:val="00F90497"/>
    <w:rsid w:val="00F9186F"/>
    <w:rsid w:val="00F918DD"/>
    <w:rsid w:val="00F91DD5"/>
    <w:rsid w:val="00F92335"/>
    <w:rsid w:val="00F92D83"/>
    <w:rsid w:val="00F936A2"/>
    <w:rsid w:val="00F93A86"/>
    <w:rsid w:val="00F93C43"/>
    <w:rsid w:val="00F94C7F"/>
    <w:rsid w:val="00F9541E"/>
    <w:rsid w:val="00F960F1"/>
    <w:rsid w:val="00F962CE"/>
    <w:rsid w:val="00F962DB"/>
    <w:rsid w:val="00F963BD"/>
    <w:rsid w:val="00F96772"/>
    <w:rsid w:val="00F96A14"/>
    <w:rsid w:val="00FA0DDA"/>
    <w:rsid w:val="00FA13C9"/>
    <w:rsid w:val="00FA1B24"/>
    <w:rsid w:val="00FA254E"/>
    <w:rsid w:val="00FA2643"/>
    <w:rsid w:val="00FA2F5C"/>
    <w:rsid w:val="00FA3CE8"/>
    <w:rsid w:val="00FA3D4D"/>
    <w:rsid w:val="00FA49EB"/>
    <w:rsid w:val="00FA4E51"/>
    <w:rsid w:val="00FA502D"/>
    <w:rsid w:val="00FA5222"/>
    <w:rsid w:val="00FA5933"/>
    <w:rsid w:val="00FA59FE"/>
    <w:rsid w:val="00FA63C3"/>
    <w:rsid w:val="00FA6886"/>
    <w:rsid w:val="00FA68A1"/>
    <w:rsid w:val="00FA7288"/>
    <w:rsid w:val="00FB0995"/>
    <w:rsid w:val="00FB0C6E"/>
    <w:rsid w:val="00FB1C0E"/>
    <w:rsid w:val="00FB20DB"/>
    <w:rsid w:val="00FB2135"/>
    <w:rsid w:val="00FB2BB5"/>
    <w:rsid w:val="00FB2ECC"/>
    <w:rsid w:val="00FB31C0"/>
    <w:rsid w:val="00FB414D"/>
    <w:rsid w:val="00FB5434"/>
    <w:rsid w:val="00FB5E65"/>
    <w:rsid w:val="00FB6266"/>
    <w:rsid w:val="00FB68CD"/>
    <w:rsid w:val="00FB6B31"/>
    <w:rsid w:val="00FB78CF"/>
    <w:rsid w:val="00FB7C48"/>
    <w:rsid w:val="00FC1361"/>
    <w:rsid w:val="00FC14DC"/>
    <w:rsid w:val="00FC36F4"/>
    <w:rsid w:val="00FC4D7A"/>
    <w:rsid w:val="00FC574A"/>
    <w:rsid w:val="00FC590D"/>
    <w:rsid w:val="00FC59A1"/>
    <w:rsid w:val="00FC61D7"/>
    <w:rsid w:val="00FC61E5"/>
    <w:rsid w:val="00FC63DB"/>
    <w:rsid w:val="00FC6A9E"/>
    <w:rsid w:val="00FC6AED"/>
    <w:rsid w:val="00FC7507"/>
    <w:rsid w:val="00FC77D8"/>
    <w:rsid w:val="00FC7F54"/>
    <w:rsid w:val="00FD020E"/>
    <w:rsid w:val="00FD1309"/>
    <w:rsid w:val="00FD1395"/>
    <w:rsid w:val="00FD200A"/>
    <w:rsid w:val="00FD22B1"/>
    <w:rsid w:val="00FD2BB3"/>
    <w:rsid w:val="00FD3122"/>
    <w:rsid w:val="00FD32E9"/>
    <w:rsid w:val="00FD3926"/>
    <w:rsid w:val="00FD3BFD"/>
    <w:rsid w:val="00FD3C0A"/>
    <w:rsid w:val="00FD49BA"/>
    <w:rsid w:val="00FD4FAC"/>
    <w:rsid w:val="00FD4FB8"/>
    <w:rsid w:val="00FD667B"/>
    <w:rsid w:val="00FD6B18"/>
    <w:rsid w:val="00FE0B4C"/>
    <w:rsid w:val="00FE0F69"/>
    <w:rsid w:val="00FE1257"/>
    <w:rsid w:val="00FE135E"/>
    <w:rsid w:val="00FE197D"/>
    <w:rsid w:val="00FE2205"/>
    <w:rsid w:val="00FE241B"/>
    <w:rsid w:val="00FE2572"/>
    <w:rsid w:val="00FE2619"/>
    <w:rsid w:val="00FE2C69"/>
    <w:rsid w:val="00FE40BD"/>
    <w:rsid w:val="00FE42ED"/>
    <w:rsid w:val="00FE478E"/>
    <w:rsid w:val="00FE5397"/>
    <w:rsid w:val="00FE55D8"/>
    <w:rsid w:val="00FE5710"/>
    <w:rsid w:val="00FE5835"/>
    <w:rsid w:val="00FE5CCB"/>
    <w:rsid w:val="00FE5D3D"/>
    <w:rsid w:val="00FE647A"/>
    <w:rsid w:val="00FE7359"/>
    <w:rsid w:val="00FE74C7"/>
    <w:rsid w:val="00FE7C02"/>
    <w:rsid w:val="00FF04EB"/>
    <w:rsid w:val="00FF054F"/>
    <w:rsid w:val="00FF06AE"/>
    <w:rsid w:val="00FF0EDF"/>
    <w:rsid w:val="00FF1267"/>
    <w:rsid w:val="00FF1645"/>
    <w:rsid w:val="00FF1991"/>
    <w:rsid w:val="00FF23BC"/>
    <w:rsid w:val="00FF2A78"/>
    <w:rsid w:val="00FF302D"/>
    <w:rsid w:val="00FF36FA"/>
    <w:rsid w:val="00FF3D14"/>
    <w:rsid w:val="00FF3EB6"/>
    <w:rsid w:val="00FF468B"/>
    <w:rsid w:val="00FF572C"/>
    <w:rsid w:val="00FF5C2A"/>
    <w:rsid w:val="00FF61C6"/>
    <w:rsid w:val="00FF646C"/>
    <w:rsid w:val="00FF6E19"/>
    <w:rsid w:val="00FF6F45"/>
    <w:rsid w:val="00FF73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E4CD5"/>
    <w:rPr>
      <w:sz w:val="26"/>
      <w:szCs w:val="24"/>
    </w:rPr>
  </w:style>
  <w:style w:type="paragraph" w:styleId="Heading1">
    <w:name w:val="heading 1"/>
    <w:basedOn w:val="BodyText"/>
    <w:next w:val="BodyText"/>
    <w:rsid w:val="007E4CD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E4CD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E4CD5"/>
    <w:pPr>
      <w:spacing w:before="560" w:line="320" w:lineRule="exact"/>
      <w:ind w:left="0" w:firstLine="0"/>
      <w:outlineLvl w:val="2"/>
    </w:pPr>
    <w:rPr>
      <w:sz w:val="26"/>
    </w:rPr>
  </w:style>
  <w:style w:type="paragraph" w:styleId="Heading4">
    <w:name w:val="heading 4"/>
    <w:basedOn w:val="Heading3"/>
    <w:next w:val="BodyText"/>
    <w:link w:val="Heading4Char"/>
    <w:qFormat/>
    <w:rsid w:val="007E4CD5"/>
    <w:pPr>
      <w:spacing w:before="480"/>
      <w:outlineLvl w:val="3"/>
    </w:pPr>
    <w:rPr>
      <w:b w:val="0"/>
      <w:i/>
      <w:sz w:val="24"/>
    </w:rPr>
  </w:style>
  <w:style w:type="paragraph" w:styleId="Heading5">
    <w:name w:val="heading 5"/>
    <w:basedOn w:val="Heading4"/>
    <w:next w:val="BodyText"/>
    <w:qFormat/>
    <w:rsid w:val="007E4CD5"/>
    <w:pPr>
      <w:outlineLvl w:val="4"/>
    </w:pPr>
    <w:rPr>
      <w:rFonts w:ascii="Times New Roman" w:hAnsi="Times New Roman"/>
      <w:sz w:val="26"/>
    </w:rPr>
  </w:style>
  <w:style w:type="paragraph" w:styleId="Heading6">
    <w:name w:val="heading 6"/>
    <w:basedOn w:val="BodyText"/>
    <w:next w:val="BodyText"/>
    <w:rsid w:val="007E4CD5"/>
    <w:pPr>
      <w:spacing w:after="60"/>
      <w:jc w:val="left"/>
      <w:outlineLvl w:val="5"/>
    </w:pPr>
    <w:rPr>
      <w:i/>
      <w:sz w:val="22"/>
    </w:rPr>
  </w:style>
  <w:style w:type="paragraph" w:styleId="Heading7">
    <w:name w:val="heading 7"/>
    <w:basedOn w:val="BodyText"/>
    <w:next w:val="BodyText"/>
    <w:rsid w:val="007E4CD5"/>
    <w:pPr>
      <w:spacing w:after="60" w:line="240" w:lineRule="auto"/>
      <w:jc w:val="left"/>
      <w:outlineLvl w:val="6"/>
    </w:pPr>
    <w:rPr>
      <w:rFonts w:ascii="Arial" w:hAnsi="Arial"/>
      <w:sz w:val="20"/>
    </w:rPr>
  </w:style>
  <w:style w:type="paragraph" w:styleId="Heading8">
    <w:name w:val="heading 8"/>
    <w:basedOn w:val="BodyText"/>
    <w:next w:val="BodyText"/>
    <w:rsid w:val="007E4CD5"/>
    <w:pPr>
      <w:spacing w:after="60" w:line="240" w:lineRule="auto"/>
      <w:jc w:val="left"/>
      <w:outlineLvl w:val="7"/>
    </w:pPr>
    <w:rPr>
      <w:rFonts w:ascii="Arial" w:hAnsi="Arial"/>
      <w:i/>
      <w:sz w:val="20"/>
    </w:rPr>
  </w:style>
  <w:style w:type="paragraph" w:styleId="Heading9">
    <w:name w:val="heading 9"/>
    <w:basedOn w:val="BodyText"/>
    <w:next w:val="BodyText"/>
    <w:rsid w:val="007E4CD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E4C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CD5"/>
  </w:style>
  <w:style w:type="paragraph" w:styleId="BodyText">
    <w:name w:val="Body Text"/>
    <w:aliases w:val="Body Text1,new legislation style,new legislation style1,new legislation style Ch"/>
    <w:link w:val="BodyTextChar"/>
    <w:qFormat/>
    <w:rsid w:val="007E4CD5"/>
    <w:pPr>
      <w:spacing w:before="240" w:line="320" w:lineRule="atLeast"/>
      <w:jc w:val="both"/>
    </w:pPr>
    <w:rPr>
      <w:sz w:val="26"/>
    </w:rPr>
  </w:style>
  <w:style w:type="paragraph" w:styleId="Footer">
    <w:name w:val="footer"/>
    <w:basedOn w:val="BodyText"/>
    <w:semiHidden/>
    <w:rsid w:val="007E4CD5"/>
    <w:pPr>
      <w:spacing w:before="80" w:line="200" w:lineRule="exact"/>
      <w:ind w:right="6"/>
      <w:jc w:val="left"/>
    </w:pPr>
    <w:rPr>
      <w:caps/>
      <w:spacing w:val="-4"/>
      <w:sz w:val="16"/>
    </w:rPr>
  </w:style>
  <w:style w:type="paragraph" w:customStyle="1" w:styleId="FooterEnd">
    <w:name w:val="Footer End"/>
    <w:basedOn w:val="Footer"/>
    <w:rsid w:val="007E4CD5"/>
    <w:pPr>
      <w:spacing w:before="0" w:line="20" w:lineRule="exact"/>
    </w:pPr>
  </w:style>
  <w:style w:type="paragraph" w:styleId="Header">
    <w:name w:val="header"/>
    <w:basedOn w:val="BodyText"/>
    <w:rsid w:val="007E4CD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E4CD5"/>
    <w:pPr>
      <w:spacing w:line="20" w:lineRule="exact"/>
    </w:pPr>
    <w:rPr>
      <w:sz w:val="16"/>
    </w:rPr>
  </w:style>
  <w:style w:type="paragraph" w:customStyle="1" w:styleId="HeaderEven">
    <w:name w:val="Header Even"/>
    <w:basedOn w:val="Header"/>
    <w:semiHidden/>
    <w:rsid w:val="007E4CD5"/>
  </w:style>
  <w:style w:type="paragraph" w:customStyle="1" w:styleId="HeaderOdd">
    <w:name w:val="Header Odd"/>
    <w:basedOn w:val="Header"/>
    <w:semiHidden/>
    <w:rsid w:val="007E4CD5"/>
  </w:style>
  <w:style w:type="character" w:styleId="PageNumber">
    <w:name w:val="page number"/>
    <w:basedOn w:val="DefaultParagraphFont"/>
    <w:rsid w:val="007E4CD5"/>
    <w:rPr>
      <w:rFonts w:ascii="Arial" w:hAnsi="Arial"/>
      <w:b/>
      <w:sz w:val="16"/>
    </w:rPr>
  </w:style>
  <w:style w:type="paragraph" w:customStyle="1" w:styleId="Abbreviation">
    <w:name w:val="Abbreviation"/>
    <w:basedOn w:val="BodyText"/>
    <w:rsid w:val="007E4CD5"/>
    <w:pPr>
      <w:spacing w:before="120"/>
      <w:ind w:left="2381" w:hanging="2381"/>
      <w:jc w:val="left"/>
    </w:pPr>
  </w:style>
  <w:style w:type="paragraph" w:customStyle="1" w:styleId="Box">
    <w:name w:val="Box"/>
    <w:basedOn w:val="BodyText"/>
    <w:qFormat/>
    <w:rsid w:val="007E4CD5"/>
    <w:pPr>
      <w:keepNext/>
      <w:spacing w:before="120" w:line="280" w:lineRule="atLeast"/>
    </w:pPr>
    <w:rPr>
      <w:rFonts w:ascii="Arial" w:hAnsi="Arial"/>
      <w:sz w:val="22"/>
    </w:rPr>
  </w:style>
  <w:style w:type="paragraph" w:customStyle="1" w:styleId="BoxContinued">
    <w:name w:val="Box Continued"/>
    <w:basedOn w:val="BodyText"/>
    <w:next w:val="BodyText"/>
    <w:semiHidden/>
    <w:rsid w:val="007E4CD5"/>
    <w:pPr>
      <w:spacing w:before="180" w:line="220" w:lineRule="exact"/>
      <w:jc w:val="right"/>
    </w:pPr>
    <w:rPr>
      <w:rFonts w:ascii="Arial" w:hAnsi="Arial"/>
      <w:sz w:val="18"/>
    </w:rPr>
  </w:style>
  <w:style w:type="paragraph" w:customStyle="1" w:styleId="BoxHeading1">
    <w:name w:val="Box Heading 1"/>
    <w:basedOn w:val="BodyText"/>
    <w:next w:val="Box"/>
    <w:rsid w:val="007E4CD5"/>
    <w:pPr>
      <w:keepNext/>
      <w:spacing w:before="200" w:line="280" w:lineRule="atLeast"/>
    </w:pPr>
    <w:rPr>
      <w:rFonts w:ascii="Arial" w:hAnsi="Arial"/>
      <w:b/>
      <w:sz w:val="22"/>
    </w:rPr>
  </w:style>
  <w:style w:type="paragraph" w:customStyle="1" w:styleId="BoxHeading2">
    <w:name w:val="Box Heading 2"/>
    <w:basedOn w:val="BoxHeading1"/>
    <w:next w:val="Normal"/>
    <w:rsid w:val="007E4CD5"/>
    <w:rPr>
      <w:b w:val="0"/>
      <w:i/>
    </w:rPr>
  </w:style>
  <w:style w:type="paragraph" w:customStyle="1" w:styleId="BoxListBullet">
    <w:name w:val="Box List Bullet"/>
    <w:basedOn w:val="BodyText"/>
    <w:rsid w:val="007E4CD5"/>
    <w:pPr>
      <w:keepNext/>
      <w:numPr>
        <w:numId w:val="1"/>
      </w:numPr>
      <w:spacing w:before="60" w:line="280" w:lineRule="atLeast"/>
    </w:pPr>
    <w:rPr>
      <w:rFonts w:ascii="Arial" w:hAnsi="Arial"/>
      <w:sz w:val="22"/>
    </w:rPr>
  </w:style>
  <w:style w:type="paragraph" w:customStyle="1" w:styleId="BoxListBullet2">
    <w:name w:val="Box List Bullet 2"/>
    <w:basedOn w:val="BodyText"/>
    <w:rsid w:val="007E4CD5"/>
    <w:pPr>
      <w:keepNext/>
      <w:numPr>
        <w:numId w:val="16"/>
      </w:numPr>
      <w:spacing w:before="60" w:line="280" w:lineRule="atLeast"/>
    </w:pPr>
    <w:rPr>
      <w:rFonts w:ascii="Arial" w:hAnsi="Arial"/>
      <w:sz w:val="22"/>
    </w:rPr>
  </w:style>
  <w:style w:type="paragraph" w:customStyle="1" w:styleId="BoxListNumber">
    <w:name w:val="Box List Number"/>
    <w:basedOn w:val="BodyText"/>
    <w:rsid w:val="007E4CD5"/>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7E4CD5"/>
    <w:pPr>
      <w:numPr>
        <w:ilvl w:val="1"/>
      </w:numPr>
    </w:pPr>
  </w:style>
  <w:style w:type="paragraph" w:customStyle="1" w:styleId="BoxQuote">
    <w:name w:val="Box Quote"/>
    <w:basedOn w:val="BodyText"/>
    <w:next w:val="Box"/>
    <w:rsid w:val="007E4CD5"/>
    <w:pPr>
      <w:keepNext/>
      <w:spacing w:before="60" w:line="260" w:lineRule="exact"/>
      <w:ind w:left="284"/>
    </w:pPr>
    <w:rPr>
      <w:rFonts w:ascii="Arial" w:hAnsi="Arial"/>
      <w:sz w:val="20"/>
    </w:rPr>
  </w:style>
  <w:style w:type="paragraph" w:customStyle="1" w:styleId="Note">
    <w:name w:val="Note"/>
    <w:basedOn w:val="BodyText"/>
    <w:next w:val="BodyText"/>
    <w:link w:val="NoteChar"/>
    <w:rsid w:val="007E4CD5"/>
    <w:pPr>
      <w:keepLines/>
      <w:spacing w:before="80" w:line="220" w:lineRule="exact"/>
    </w:pPr>
    <w:rPr>
      <w:rFonts w:ascii="Arial" w:hAnsi="Arial"/>
      <w:sz w:val="18"/>
    </w:rPr>
  </w:style>
  <w:style w:type="paragraph" w:customStyle="1" w:styleId="Source">
    <w:name w:val="Source"/>
    <w:basedOn w:val="Note"/>
    <w:next w:val="BodyText"/>
    <w:rsid w:val="007E4CD5"/>
    <w:pPr>
      <w:spacing w:after="120"/>
    </w:pPr>
  </w:style>
  <w:style w:type="paragraph" w:customStyle="1" w:styleId="BoxSource">
    <w:name w:val="Box Source"/>
    <w:basedOn w:val="Source"/>
    <w:next w:val="BodyText"/>
    <w:rsid w:val="007E4CD5"/>
    <w:pPr>
      <w:spacing w:before="180" w:after="0"/>
    </w:pPr>
  </w:style>
  <w:style w:type="paragraph" w:customStyle="1" w:styleId="BoxSpaceAbove">
    <w:name w:val="Box Space Above"/>
    <w:basedOn w:val="BodyText"/>
    <w:rsid w:val="007E4CD5"/>
    <w:pPr>
      <w:keepNext/>
      <w:spacing w:before="360" w:line="80" w:lineRule="exact"/>
      <w:jc w:val="left"/>
    </w:pPr>
  </w:style>
  <w:style w:type="paragraph" w:styleId="Caption">
    <w:name w:val="caption"/>
    <w:basedOn w:val="Normal"/>
    <w:next w:val="BodyText"/>
    <w:rsid w:val="007E4CD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E4CD5"/>
    <w:pPr>
      <w:spacing w:before="120" w:after="0"/>
      <w:ind w:left="1304" w:hanging="1304"/>
    </w:pPr>
    <w:rPr>
      <w:sz w:val="24"/>
    </w:rPr>
  </w:style>
  <w:style w:type="paragraph" w:customStyle="1" w:styleId="BoxSubtitle">
    <w:name w:val="Box Subtitle"/>
    <w:basedOn w:val="BoxTitle"/>
    <w:next w:val="Normal"/>
    <w:rsid w:val="007E4CD5"/>
    <w:pPr>
      <w:spacing w:after="80" w:line="200" w:lineRule="exact"/>
      <w:ind w:firstLine="0"/>
    </w:pPr>
    <w:rPr>
      <w:b w:val="0"/>
      <w:sz w:val="20"/>
    </w:rPr>
  </w:style>
  <w:style w:type="paragraph" w:customStyle="1" w:styleId="Chapter">
    <w:name w:val="Chapter"/>
    <w:basedOn w:val="Heading1"/>
    <w:next w:val="BodyText"/>
    <w:semiHidden/>
    <w:rsid w:val="007E4CD5"/>
    <w:pPr>
      <w:ind w:left="0" w:firstLine="0"/>
      <w:outlineLvl w:val="9"/>
    </w:pPr>
  </w:style>
  <w:style w:type="paragraph" w:customStyle="1" w:styleId="ChapterSummary">
    <w:name w:val="Chapter Summary"/>
    <w:basedOn w:val="BodyText"/>
    <w:rsid w:val="007E4CD5"/>
    <w:pPr>
      <w:ind w:left="907"/>
    </w:pPr>
    <w:rPr>
      <w:rFonts w:ascii="Arial" w:hAnsi="Arial"/>
      <w:b/>
      <w:sz w:val="22"/>
    </w:rPr>
  </w:style>
  <w:style w:type="character" w:styleId="CommentReference">
    <w:name w:val="annotation reference"/>
    <w:basedOn w:val="DefaultParagraphFont"/>
    <w:semiHidden/>
    <w:rsid w:val="007E4CD5"/>
    <w:rPr>
      <w:b/>
      <w:vanish/>
      <w:color w:val="FF00FF"/>
      <w:sz w:val="20"/>
    </w:rPr>
  </w:style>
  <w:style w:type="paragraph" w:styleId="CommentText">
    <w:name w:val="annotation text"/>
    <w:basedOn w:val="Normal"/>
    <w:link w:val="CommentTextChar"/>
    <w:semiHidden/>
    <w:rsid w:val="007E4CD5"/>
    <w:pPr>
      <w:spacing w:before="120" w:line="240" w:lineRule="atLeast"/>
      <w:ind w:left="567" w:hanging="567"/>
    </w:pPr>
    <w:rPr>
      <w:sz w:val="20"/>
    </w:rPr>
  </w:style>
  <w:style w:type="paragraph" w:customStyle="1" w:styleId="Continued">
    <w:name w:val="Continued"/>
    <w:basedOn w:val="BoxContinued"/>
    <w:next w:val="BodyText"/>
    <w:rsid w:val="007E4CD5"/>
  </w:style>
  <w:style w:type="character" w:customStyle="1" w:styleId="DocumentInfo">
    <w:name w:val="Document Info"/>
    <w:basedOn w:val="DefaultParagraphFont"/>
    <w:semiHidden/>
    <w:rsid w:val="007E4CD5"/>
    <w:rPr>
      <w:rFonts w:ascii="Arial" w:hAnsi="Arial"/>
      <w:sz w:val="14"/>
    </w:rPr>
  </w:style>
  <w:style w:type="character" w:customStyle="1" w:styleId="DraftingNote">
    <w:name w:val="Drafting Note"/>
    <w:basedOn w:val="DefaultParagraphFont"/>
    <w:rsid w:val="007E4CD5"/>
    <w:rPr>
      <w:b/>
      <w:color w:val="FF0000"/>
      <w:sz w:val="24"/>
      <w:u w:val="dotted"/>
    </w:rPr>
  </w:style>
  <w:style w:type="paragraph" w:customStyle="1" w:styleId="Figure">
    <w:name w:val="Figure"/>
    <w:basedOn w:val="BodyText"/>
    <w:rsid w:val="007E4CD5"/>
    <w:pPr>
      <w:keepNext/>
      <w:spacing w:before="120" w:after="120" w:line="240" w:lineRule="atLeast"/>
      <w:jc w:val="center"/>
    </w:pPr>
  </w:style>
  <w:style w:type="paragraph" w:customStyle="1" w:styleId="FigureTitle">
    <w:name w:val="Figure Title"/>
    <w:basedOn w:val="Caption"/>
    <w:next w:val="Subtitle"/>
    <w:rsid w:val="007E4CD5"/>
    <w:rPr>
      <w:sz w:val="24"/>
    </w:rPr>
  </w:style>
  <w:style w:type="paragraph" w:styleId="Subtitle">
    <w:name w:val="Subtitle"/>
    <w:basedOn w:val="Caption"/>
    <w:link w:val="SubtitleChar"/>
    <w:rsid w:val="007E4CD5"/>
    <w:pPr>
      <w:spacing w:before="0" w:line="200" w:lineRule="exact"/>
      <w:ind w:firstLine="0"/>
    </w:pPr>
    <w:rPr>
      <w:b w:val="0"/>
      <w:sz w:val="20"/>
    </w:rPr>
  </w:style>
  <w:style w:type="paragraph" w:customStyle="1" w:styleId="Finding">
    <w:name w:val="Finding"/>
    <w:basedOn w:val="BodyText"/>
    <w:rsid w:val="007E4CD5"/>
    <w:pPr>
      <w:keepLines/>
      <w:spacing w:before="180"/>
    </w:pPr>
    <w:rPr>
      <w:i/>
    </w:rPr>
  </w:style>
  <w:style w:type="paragraph" w:customStyle="1" w:styleId="FindingBullet">
    <w:name w:val="Finding Bullet"/>
    <w:basedOn w:val="Finding"/>
    <w:rsid w:val="007E4CD5"/>
    <w:pPr>
      <w:numPr>
        <w:numId w:val="2"/>
      </w:numPr>
      <w:spacing w:before="80"/>
    </w:pPr>
  </w:style>
  <w:style w:type="paragraph" w:customStyle="1" w:styleId="FindingNoTitle">
    <w:name w:val="Finding NoTitle"/>
    <w:basedOn w:val="Finding"/>
    <w:semiHidden/>
    <w:rsid w:val="007E4CD5"/>
    <w:pPr>
      <w:spacing w:before="240"/>
    </w:pPr>
  </w:style>
  <w:style w:type="paragraph" w:customStyle="1" w:styleId="RecTitle">
    <w:name w:val="Rec Title"/>
    <w:basedOn w:val="BodyText"/>
    <w:next w:val="Normal"/>
    <w:rsid w:val="007E4CD5"/>
    <w:pPr>
      <w:keepNext/>
      <w:keepLines/>
    </w:pPr>
    <w:rPr>
      <w:caps/>
      <w:sz w:val="20"/>
    </w:rPr>
  </w:style>
  <w:style w:type="paragraph" w:customStyle="1" w:styleId="FindingTitle">
    <w:name w:val="Finding Title"/>
    <w:basedOn w:val="RecTitle"/>
    <w:next w:val="Finding"/>
    <w:rsid w:val="007E4CD5"/>
    <w:pPr>
      <w:framePr w:wrap="notBeside" w:hAnchor="text"/>
    </w:pPr>
  </w:style>
  <w:style w:type="character" w:styleId="FootnoteReference">
    <w:name w:val="footnote reference"/>
    <w:basedOn w:val="DefaultParagraphFont"/>
    <w:semiHidden/>
    <w:rsid w:val="007E4CD5"/>
    <w:rPr>
      <w:rFonts w:ascii="Times New Roman" w:hAnsi="Times New Roman"/>
      <w:position w:val="6"/>
      <w:sz w:val="22"/>
      <w:vertAlign w:val="baseline"/>
    </w:rPr>
  </w:style>
  <w:style w:type="paragraph" w:styleId="FootnoteText">
    <w:name w:val="footnote text"/>
    <w:basedOn w:val="BodyText"/>
    <w:link w:val="FootnoteTextChar"/>
    <w:rsid w:val="007E4C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E4CD5"/>
    <w:pPr>
      <w:spacing w:before="360" w:after="120"/>
    </w:pPr>
    <w:rPr>
      <w:rFonts w:ascii="Arial" w:hAnsi="Arial"/>
      <w:sz w:val="24"/>
    </w:rPr>
  </w:style>
  <w:style w:type="paragraph" w:customStyle="1" w:styleId="Jurisdictioncommentsbodytext">
    <w:name w:val="Jurisdiction comments body text"/>
    <w:rsid w:val="007E4CD5"/>
    <w:pPr>
      <w:spacing w:after="140"/>
      <w:jc w:val="both"/>
    </w:pPr>
    <w:rPr>
      <w:rFonts w:ascii="Arial" w:hAnsi="Arial"/>
      <w:sz w:val="24"/>
      <w:lang w:eastAsia="en-US"/>
    </w:rPr>
  </w:style>
  <w:style w:type="paragraph" w:customStyle="1" w:styleId="Jurisdictioncommentsheading">
    <w:name w:val="Jurisdiction comments heading"/>
    <w:rsid w:val="007E4CD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E4CD5"/>
    <w:pPr>
      <w:numPr>
        <w:numId w:val="3"/>
      </w:numPr>
      <w:spacing w:after="140"/>
      <w:jc w:val="both"/>
    </w:pPr>
    <w:rPr>
      <w:rFonts w:ascii="Arial" w:hAnsi="Arial"/>
      <w:sz w:val="24"/>
      <w:lang w:eastAsia="en-US"/>
    </w:rPr>
  </w:style>
  <w:style w:type="paragraph" w:styleId="ListBullet">
    <w:name w:val="List Bullet"/>
    <w:basedOn w:val="BodyText"/>
    <w:rsid w:val="007E4CD5"/>
    <w:pPr>
      <w:numPr>
        <w:numId w:val="4"/>
      </w:numPr>
      <w:spacing w:before="120"/>
    </w:pPr>
  </w:style>
  <w:style w:type="paragraph" w:styleId="ListBullet2">
    <w:name w:val="List Bullet 2"/>
    <w:basedOn w:val="BodyText"/>
    <w:rsid w:val="007E4CD5"/>
    <w:pPr>
      <w:numPr>
        <w:numId w:val="5"/>
      </w:numPr>
      <w:spacing w:before="120"/>
    </w:pPr>
  </w:style>
  <w:style w:type="paragraph" w:styleId="ListBullet3">
    <w:name w:val="List Bullet 3"/>
    <w:basedOn w:val="BodyText"/>
    <w:rsid w:val="007E4CD5"/>
    <w:pPr>
      <w:numPr>
        <w:numId w:val="6"/>
      </w:numPr>
      <w:spacing w:before="120"/>
    </w:pPr>
  </w:style>
  <w:style w:type="paragraph" w:styleId="ListNumber">
    <w:name w:val="List Number"/>
    <w:basedOn w:val="BodyText"/>
    <w:rsid w:val="007E4CD5"/>
    <w:pPr>
      <w:numPr>
        <w:numId w:val="11"/>
      </w:numPr>
      <w:spacing w:before="120"/>
    </w:pPr>
  </w:style>
  <w:style w:type="paragraph" w:styleId="ListNumber2">
    <w:name w:val="List Number 2"/>
    <w:basedOn w:val="ListNumber"/>
    <w:rsid w:val="007E4CD5"/>
    <w:pPr>
      <w:numPr>
        <w:ilvl w:val="1"/>
      </w:numPr>
    </w:pPr>
  </w:style>
  <w:style w:type="paragraph" w:styleId="ListNumber3">
    <w:name w:val="List Number 3"/>
    <w:basedOn w:val="ListNumber2"/>
    <w:rsid w:val="007E4CD5"/>
    <w:pPr>
      <w:numPr>
        <w:ilvl w:val="2"/>
      </w:numPr>
    </w:pPr>
  </w:style>
  <w:style w:type="character" w:customStyle="1" w:styleId="NoteLabel">
    <w:name w:val="Note Label"/>
    <w:basedOn w:val="DefaultParagraphFont"/>
    <w:rsid w:val="007E4CD5"/>
    <w:rPr>
      <w:rFonts w:ascii="Arial" w:hAnsi="Arial"/>
      <w:b/>
      <w:position w:val="6"/>
      <w:sz w:val="18"/>
    </w:rPr>
  </w:style>
  <w:style w:type="paragraph" w:customStyle="1" w:styleId="PartDivider">
    <w:name w:val="Part Divider"/>
    <w:basedOn w:val="BodyText"/>
    <w:next w:val="BodyText"/>
    <w:semiHidden/>
    <w:rsid w:val="007E4CD5"/>
    <w:pPr>
      <w:spacing w:before="0" w:line="40" w:lineRule="exact"/>
      <w:jc w:val="right"/>
    </w:pPr>
    <w:rPr>
      <w:smallCaps/>
      <w:sz w:val="16"/>
    </w:rPr>
  </w:style>
  <w:style w:type="paragraph" w:customStyle="1" w:styleId="PartNumber">
    <w:name w:val="Part Number"/>
    <w:basedOn w:val="BodyText"/>
    <w:next w:val="BodyText"/>
    <w:semiHidden/>
    <w:rsid w:val="007E4CD5"/>
    <w:pPr>
      <w:spacing w:before="4000" w:line="320" w:lineRule="exact"/>
      <w:ind w:left="6634"/>
      <w:jc w:val="right"/>
    </w:pPr>
    <w:rPr>
      <w:smallCaps/>
      <w:spacing w:val="60"/>
      <w:sz w:val="32"/>
    </w:rPr>
  </w:style>
  <w:style w:type="paragraph" w:customStyle="1" w:styleId="PartTitle">
    <w:name w:val="Part Title"/>
    <w:basedOn w:val="BodyText"/>
    <w:semiHidden/>
    <w:rsid w:val="007E4CD5"/>
    <w:pPr>
      <w:spacing w:before="160" w:after="1360" w:line="520" w:lineRule="exact"/>
      <w:ind w:right="2381"/>
      <w:jc w:val="right"/>
    </w:pPr>
    <w:rPr>
      <w:smallCaps/>
      <w:sz w:val="52"/>
    </w:rPr>
  </w:style>
  <w:style w:type="paragraph" w:styleId="Quote">
    <w:name w:val="Quote"/>
    <w:basedOn w:val="BodyText"/>
    <w:next w:val="BodyText"/>
    <w:qFormat/>
    <w:rsid w:val="007E4CD5"/>
    <w:pPr>
      <w:spacing w:before="120" w:line="280" w:lineRule="exact"/>
      <w:ind w:left="340"/>
    </w:pPr>
    <w:rPr>
      <w:sz w:val="24"/>
    </w:rPr>
  </w:style>
  <w:style w:type="paragraph" w:customStyle="1" w:styleId="QuoteBullet">
    <w:name w:val="Quote Bullet"/>
    <w:basedOn w:val="Quote"/>
    <w:rsid w:val="007E4CD5"/>
    <w:pPr>
      <w:numPr>
        <w:numId w:val="7"/>
      </w:numPr>
    </w:pPr>
  </w:style>
  <w:style w:type="paragraph" w:customStyle="1" w:styleId="Rec">
    <w:name w:val="Rec"/>
    <w:basedOn w:val="BodyText"/>
    <w:rsid w:val="007E4CD5"/>
    <w:pPr>
      <w:keepLines/>
      <w:spacing w:before="180"/>
    </w:pPr>
    <w:rPr>
      <w:b/>
      <w:i/>
    </w:rPr>
  </w:style>
  <w:style w:type="paragraph" w:customStyle="1" w:styleId="RecBullet">
    <w:name w:val="Rec Bullet"/>
    <w:basedOn w:val="Rec"/>
    <w:rsid w:val="007E4CD5"/>
    <w:pPr>
      <w:numPr>
        <w:numId w:val="8"/>
      </w:numPr>
      <w:spacing w:before="80"/>
    </w:pPr>
  </w:style>
  <w:style w:type="paragraph" w:customStyle="1" w:styleId="RecB">
    <w:name w:val="RecB"/>
    <w:basedOn w:val="Normal"/>
    <w:semiHidden/>
    <w:rsid w:val="007E4CD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7E4CD5"/>
    <w:pPr>
      <w:numPr>
        <w:numId w:val="13"/>
      </w:numPr>
      <w:spacing w:before="80"/>
    </w:pPr>
  </w:style>
  <w:style w:type="paragraph" w:customStyle="1" w:styleId="RecBNoTitle">
    <w:name w:val="RecB NoTitle"/>
    <w:basedOn w:val="RecB"/>
    <w:semiHidden/>
    <w:rsid w:val="007E4CD5"/>
    <w:pPr>
      <w:spacing w:before="240"/>
    </w:pPr>
  </w:style>
  <w:style w:type="paragraph" w:customStyle="1" w:styleId="Reference">
    <w:name w:val="Reference"/>
    <w:basedOn w:val="BodyText"/>
    <w:rsid w:val="007E4CD5"/>
    <w:pPr>
      <w:spacing w:before="120"/>
      <w:ind w:left="340" w:hanging="340"/>
    </w:pPr>
  </w:style>
  <w:style w:type="paragraph" w:customStyle="1" w:styleId="SequenceInfo">
    <w:name w:val="Sequence Info"/>
    <w:basedOn w:val="BodyText"/>
    <w:semiHidden/>
    <w:rsid w:val="007E4CD5"/>
    <w:rPr>
      <w:vanish/>
      <w:sz w:val="16"/>
    </w:rPr>
  </w:style>
  <w:style w:type="paragraph" w:customStyle="1" w:styleId="SideNote">
    <w:name w:val="Side Note"/>
    <w:basedOn w:val="BodyText"/>
    <w:next w:val="BodyText"/>
    <w:semiHidden/>
    <w:rsid w:val="007E4CD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E4CD5"/>
    <w:pPr>
      <w:framePr w:wrap="around"/>
      <w:numPr>
        <w:numId w:val="9"/>
      </w:numPr>
      <w:tabs>
        <w:tab w:val="left" w:pos="227"/>
      </w:tabs>
    </w:pPr>
  </w:style>
  <w:style w:type="paragraph" w:customStyle="1" w:styleId="SideNoteGraphic">
    <w:name w:val="Side Note Graphic"/>
    <w:basedOn w:val="SideNote"/>
    <w:next w:val="BodyText"/>
    <w:semiHidden/>
    <w:rsid w:val="007E4CD5"/>
    <w:pPr>
      <w:framePr w:wrap="around"/>
    </w:pPr>
  </w:style>
  <w:style w:type="paragraph" w:customStyle="1" w:styleId="TableBodyText">
    <w:name w:val="Table Body Text"/>
    <w:basedOn w:val="BodyText"/>
    <w:rsid w:val="007E4CD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E4CD5"/>
    <w:pPr>
      <w:numPr>
        <w:numId w:val="10"/>
      </w:numPr>
      <w:jc w:val="left"/>
    </w:pPr>
  </w:style>
  <w:style w:type="paragraph" w:customStyle="1" w:styleId="TableColumnHeading">
    <w:name w:val="Table Column Heading"/>
    <w:basedOn w:val="TableBodyText"/>
    <w:rsid w:val="007E4CD5"/>
    <w:pPr>
      <w:spacing w:before="80" w:after="80"/>
    </w:pPr>
    <w:rPr>
      <w:i/>
    </w:rPr>
  </w:style>
  <w:style w:type="paragraph" w:styleId="TOC2">
    <w:name w:val="toc 2"/>
    <w:basedOn w:val="BodyText"/>
    <w:semiHidden/>
    <w:rsid w:val="007E4CD5"/>
    <w:pPr>
      <w:tabs>
        <w:tab w:val="right" w:pos="8789"/>
      </w:tabs>
      <w:ind w:left="510" w:right="851" w:hanging="510"/>
      <w:jc w:val="left"/>
    </w:pPr>
    <w:rPr>
      <w:b/>
    </w:rPr>
  </w:style>
  <w:style w:type="paragraph" w:styleId="TOC3">
    <w:name w:val="toc 3"/>
    <w:basedOn w:val="TOC2"/>
    <w:semiHidden/>
    <w:rsid w:val="007E4CD5"/>
    <w:pPr>
      <w:spacing w:before="60"/>
      <w:ind w:left="1190" w:hanging="680"/>
    </w:pPr>
    <w:rPr>
      <w:b w:val="0"/>
    </w:rPr>
  </w:style>
  <w:style w:type="paragraph" w:styleId="TableofFigures">
    <w:name w:val="table of figures"/>
    <w:basedOn w:val="TOC3"/>
    <w:next w:val="BodyText"/>
    <w:semiHidden/>
    <w:rsid w:val="007E4CD5"/>
    <w:pPr>
      <w:ind w:left="737" w:hanging="737"/>
    </w:pPr>
  </w:style>
  <w:style w:type="paragraph" w:customStyle="1" w:styleId="TableTitle">
    <w:name w:val="Table Title"/>
    <w:basedOn w:val="Caption"/>
    <w:next w:val="Subtitle"/>
    <w:rsid w:val="007E4CD5"/>
    <w:rPr>
      <w:sz w:val="24"/>
    </w:rPr>
  </w:style>
  <w:style w:type="paragraph" w:customStyle="1" w:styleId="TableUnitsRow">
    <w:name w:val="Table Units Row"/>
    <w:basedOn w:val="TableBodyText"/>
    <w:rsid w:val="007E4CD5"/>
    <w:pPr>
      <w:spacing w:before="80" w:after="80"/>
    </w:pPr>
  </w:style>
  <w:style w:type="paragraph" w:styleId="TOC1">
    <w:name w:val="toc 1"/>
    <w:basedOn w:val="Normal"/>
    <w:next w:val="TOC2"/>
    <w:semiHidden/>
    <w:rsid w:val="007E4CD5"/>
    <w:pPr>
      <w:tabs>
        <w:tab w:val="right" w:pos="8789"/>
      </w:tabs>
      <w:spacing w:before="480" w:after="60" w:line="320" w:lineRule="exact"/>
      <w:ind w:left="1191" w:right="851" w:hanging="1191"/>
    </w:pPr>
    <w:rPr>
      <w:b/>
      <w:caps/>
    </w:rPr>
  </w:style>
  <w:style w:type="paragraph" w:styleId="TOC4">
    <w:name w:val="toc 4"/>
    <w:basedOn w:val="TOC3"/>
    <w:semiHidden/>
    <w:rsid w:val="007E4CD5"/>
    <w:pPr>
      <w:ind w:left="1191" w:firstLine="0"/>
    </w:pPr>
  </w:style>
  <w:style w:type="paragraph" w:customStyle="1" w:styleId="RecBBullet2">
    <w:name w:val="RecB Bullet 2"/>
    <w:basedOn w:val="ListBullet2"/>
    <w:semiHidden/>
    <w:rsid w:val="007E4CD5"/>
    <w:pPr>
      <w:pBdr>
        <w:left w:val="single" w:sz="24" w:space="29" w:color="C0C0C0"/>
      </w:pBdr>
    </w:pPr>
    <w:rPr>
      <w:b/>
      <w:i/>
    </w:rPr>
  </w:style>
  <w:style w:type="paragraph" w:styleId="BalloonText">
    <w:name w:val="Balloon Text"/>
    <w:basedOn w:val="Normal"/>
    <w:link w:val="BalloonTextChar"/>
    <w:rsid w:val="007E4CD5"/>
    <w:rPr>
      <w:rFonts w:ascii="Tahoma" w:hAnsi="Tahoma" w:cs="Tahoma"/>
      <w:sz w:val="16"/>
      <w:szCs w:val="16"/>
    </w:rPr>
  </w:style>
  <w:style w:type="character" w:customStyle="1" w:styleId="BalloonTextChar">
    <w:name w:val="Balloon Text Char"/>
    <w:basedOn w:val="DefaultParagraphFont"/>
    <w:link w:val="BalloonText"/>
    <w:rsid w:val="007E4CD5"/>
    <w:rPr>
      <w:rFonts w:ascii="Tahoma" w:hAnsi="Tahoma" w:cs="Tahoma"/>
      <w:sz w:val="16"/>
      <w:szCs w:val="16"/>
    </w:rPr>
  </w:style>
  <w:style w:type="character" w:customStyle="1" w:styleId="SubtitleChar">
    <w:name w:val="Subtitle Char"/>
    <w:basedOn w:val="DefaultParagraphFont"/>
    <w:link w:val="Subtitle"/>
    <w:rsid w:val="007E4CD5"/>
    <w:rPr>
      <w:rFonts w:ascii="Arial" w:hAnsi="Arial"/>
      <w:szCs w:val="24"/>
    </w:rPr>
  </w:style>
  <w:style w:type="paragraph" w:customStyle="1" w:styleId="BoxListBullet3">
    <w:name w:val="Box List Bullet 3"/>
    <w:basedOn w:val="ListBullet3"/>
    <w:rsid w:val="007E4CD5"/>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E4CD5"/>
    <w:rPr>
      <w:i/>
      <w:iCs/>
    </w:rPr>
  </w:style>
  <w:style w:type="paragraph" w:customStyle="1" w:styleId="BoxQuoteBullet">
    <w:name w:val="Box Quote Bullet"/>
    <w:basedOn w:val="BoxQuote"/>
    <w:next w:val="Box"/>
    <w:rsid w:val="007E4CD5"/>
    <w:pPr>
      <w:numPr>
        <w:numId w:val="14"/>
      </w:numPr>
      <w:ind w:left="568" w:hanging="284"/>
    </w:pPr>
  </w:style>
  <w:style w:type="paragraph" w:customStyle="1" w:styleId="InformationRequestBullet">
    <w:name w:val="Information Request Bullet"/>
    <w:basedOn w:val="ListBullet"/>
    <w:next w:val="BodyText"/>
    <w:rsid w:val="007E4CD5"/>
    <w:pPr>
      <w:numPr>
        <w:numId w:val="15"/>
      </w:numPr>
      <w:ind w:left="340" w:hanging="340"/>
    </w:pPr>
    <w:rPr>
      <w:rFonts w:ascii="Arial" w:hAnsi="Arial"/>
      <w:i/>
      <w:sz w:val="24"/>
    </w:rPr>
  </w:style>
  <w:style w:type="paragraph" w:customStyle="1" w:styleId="BoxSpaceBelow">
    <w:name w:val="Box Space Below"/>
    <w:basedOn w:val="Box"/>
    <w:rsid w:val="007E4CD5"/>
    <w:pPr>
      <w:keepNext w:val="0"/>
      <w:spacing w:before="60" w:after="60" w:line="80" w:lineRule="exact"/>
    </w:pPr>
    <w:rPr>
      <w:sz w:val="14"/>
    </w:rPr>
  </w:style>
  <w:style w:type="paragraph" w:customStyle="1" w:styleId="Tim">
    <w:name w:val="Tim"/>
    <w:basedOn w:val="Normal"/>
    <w:rsid w:val="00404F34"/>
    <w:pPr>
      <w:jc w:val="both"/>
    </w:pPr>
  </w:style>
  <w:style w:type="character" w:customStyle="1" w:styleId="Heading4Char">
    <w:name w:val="Heading 4 Char"/>
    <w:basedOn w:val="DefaultParagraphFont"/>
    <w:link w:val="Heading4"/>
    <w:rsid w:val="00DB65D2"/>
    <w:rPr>
      <w:rFonts w:ascii="Arial" w:hAnsi="Arial"/>
      <w:i/>
      <w:sz w:val="24"/>
    </w:rPr>
  </w:style>
  <w:style w:type="character" w:customStyle="1" w:styleId="BodyTextChar">
    <w:name w:val="Body Text Char"/>
    <w:aliases w:val="Body Text1 Char,new legislation style Char,new legislation style1 Char,new legislation style Ch Char"/>
    <w:basedOn w:val="DefaultParagraphFont"/>
    <w:link w:val="BodyText"/>
    <w:rsid w:val="00DB65D2"/>
    <w:rPr>
      <w:sz w:val="26"/>
    </w:rPr>
  </w:style>
  <w:style w:type="paragraph" w:styleId="NormalWeb">
    <w:name w:val="Normal (Web)"/>
    <w:basedOn w:val="Normal"/>
    <w:uiPriority w:val="99"/>
    <w:unhideWhenUsed/>
    <w:rsid w:val="00D27AA2"/>
    <w:pPr>
      <w:spacing w:before="100" w:beforeAutospacing="1" w:after="100" w:afterAutospacing="1"/>
    </w:pPr>
    <w:rPr>
      <w:sz w:val="24"/>
    </w:rPr>
  </w:style>
  <w:style w:type="paragraph" w:customStyle="1" w:styleId="Default">
    <w:name w:val="Default"/>
    <w:rsid w:val="00F876D9"/>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E27A3"/>
    <w:pPr>
      <w:spacing w:before="0" w:after="200" w:line="240" w:lineRule="auto"/>
      <w:ind w:left="0" w:firstLine="0"/>
    </w:pPr>
    <w:rPr>
      <w:rFonts w:asciiTheme="minorHAnsi" w:eastAsiaTheme="minorHAnsi" w:hAnsiTheme="minorHAnsi" w:cstheme="minorBidi"/>
      <w:b/>
      <w:bCs/>
      <w:szCs w:val="20"/>
      <w:lang w:eastAsia="en-US"/>
    </w:rPr>
  </w:style>
  <w:style w:type="character" w:customStyle="1" w:styleId="CommentTextChar">
    <w:name w:val="Comment Text Char"/>
    <w:basedOn w:val="DefaultParagraphFont"/>
    <w:link w:val="CommentText"/>
    <w:semiHidden/>
    <w:rsid w:val="009E27A3"/>
    <w:rPr>
      <w:szCs w:val="24"/>
    </w:rPr>
  </w:style>
  <w:style w:type="character" w:customStyle="1" w:styleId="CommentSubjectChar">
    <w:name w:val="Comment Subject Char"/>
    <w:basedOn w:val="CommentTextChar"/>
    <w:link w:val="CommentSubject"/>
    <w:rsid w:val="009E27A3"/>
    <w:rPr>
      <w:rFonts w:asciiTheme="minorHAnsi" w:eastAsiaTheme="minorHAnsi" w:hAnsiTheme="minorHAnsi" w:cstheme="minorBidi"/>
      <w:b/>
      <w:bCs/>
      <w:szCs w:val="24"/>
      <w:lang w:eastAsia="en-US"/>
    </w:rPr>
  </w:style>
  <w:style w:type="character" w:customStyle="1" w:styleId="Heading2Char">
    <w:name w:val="Heading 2 Char"/>
    <w:basedOn w:val="DefaultParagraphFont"/>
    <w:link w:val="Heading2"/>
    <w:rsid w:val="00851E10"/>
    <w:rPr>
      <w:rFonts w:ascii="Arial" w:hAnsi="Arial"/>
      <w:b/>
      <w:sz w:val="32"/>
    </w:rPr>
  </w:style>
  <w:style w:type="paragraph" w:customStyle="1" w:styleId="Body">
    <w:name w:val="Body"/>
    <w:basedOn w:val="BodyText"/>
    <w:rsid w:val="00851E10"/>
    <w:pPr>
      <w:spacing w:before="0" w:after="120" w:line="276" w:lineRule="auto"/>
      <w:jc w:val="left"/>
    </w:pPr>
    <w:rPr>
      <w:rFonts w:asciiTheme="minorHAnsi" w:eastAsiaTheme="minorHAnsi" w:hAnsiTheme="minorHAnsi" w:cstheme="minorBidi"/>
      <w:sz w:val="22"/>
      <w:szCs w:val="22"/>
    </w:rPr>
  </w:style>
  <w:style w:type="character" w:customStyle="1" w:styleId="FootnoteTextChar">
    <w:name w:val="Footnote Text Char"/>
    <w:basedOn w:val="DefaultParagraphFont"/>
    <w:link w:val="FootnoteText"/>
    <w:rsid w:val="00851E10"/>
    <w:rPr>
      <w:sz w:val="22"/>
    </w:rPr>
  </w:style>
  <w:style w:type="paragraph" w:customStyle="1" w:styleId="Pa21">
    <w:name w:val="Pa21"/>
    <w:basedOn w:val="Normal"/>
    <w:next w:val="Normal"/>
    <w:uiPriority w:val="99"/>
    <w:rsid w:val="00851E10"/>
    <w:pPr>
      <w:autoSpaceDE w:val="0"/>
      <w:autoSpaceDN w:val="0"/>
      <w:adjustRightInd w:val="0"/>
      <w:spacing w:line="201" w:lineRule="atLeast"/>
    </w:pPr>
    <w:rPr>
      <w:rFonts w:ascii="FFDIN" w:hAnsi="FFDIN"/>
      <w:sz w:val="24"/>
    </w:rPr>
  </w:style>
  <w:style w:type="paragraph" w:customStyle="1" w:styleId="Pa28">
    <w:name w:val="Pa28"/>
    <w:basedOn w:val="Normal"/>
    <w:next w:val="Normal"/>
    <w:uiPriority w:val="99"/>
    <w:rsid w:val="00851E10"/>
    <w:pPr>
      <w:autoSpaceDE w:val="0"/>
      <w:autoSpaceDN w:val="0"/>
      <w:adjustRightInd w:val="0"/>
      <w:spacing w:line="161" w:lineRule="atLeast"/>
    </w:pPr>
    <w:rPr>
      <w:rFonts w:ascii="FFDIN" w:hAnsi="FFDIN"/>
      <w:sz w:val="24"/>
    </w:rPr>
  </w:style>
  <w:style w:type="paragraph" w:customStyle="1" w:styleId="Pa26">
    <w:name w:val="Pa26"/>
    <w:basedOn w:val="Normal"/>
    <w:next w:val="Normal"/>
    <w:uiPriority w:val="99"/>
    <w:rsid w:val="00851E10"/>
    <w:pPr>
      <w:autoSpaceDE w:val="0"/>
      <w:autoSpaceDN w:val="0"/>
      <w:adjustRightInd w:val="0"/>
      <w:spacing w:line="161" w:lineRule="atLeast"/>
    </w:pPr>
    <w:rPr>
      <w:rFonts w:ascii="FFDIN" w:hAnsi="FFDIN"/>
      <w:sz w:val="24"/>
    </w:rPr>
  </w:style>
  <w:style w:type="paragraph" w:customStyle="1" w:styleId="Pa1">
    <w:name w:val="Pa1"/>
    <w:basedOn w:val="Default"/>
    <w:next w:val="Default"/>
    <w:uiPriority w:val="99"/>
    <w:rsid w:val="00877B7E"/>
    <w:pPr>
      <w:spacing w:line="181" w:lineRule="atLeast"/>
    </w:pPr>
    <w:rPr>
      <w:rFonts w:ascii="FFDIN" w:hAnsi="FFDIN" w:cs="Times New Roman"/>
      <w:color w:val="auto"/>
    </w:rPr>
  </w:style>
  <w:style w:type="paragraph" w:styleId="ListParagraph">
    <w:name w:val="List Paragraph"/>
    <w:basedOn w:val="Normal"/>
    <w:uiPriority w:val="34"/>
    <w:qFormat/>
    <w:rsid w:val="001E12D7"/>
    <w:pPr>
      <w:ind w:left="720"/>
    </w:pPr>
    <w:rPr>
      <w:rFonts w:ascii="Calibri" w:hAnsi="Calibri"/>
    </w:rPr>
  </w:style>
  <w:style w:type="paragraph" w:styleId="EndnoteText">
    <w:name w:val="endnote text"/>
    <w:basedOn w:val="Normal"/>
    <w:link w:val="EndnoteTextChar"/>
    <w:rsid w:val="0024371C"/>
    <w:rPr>
      <w:sz w:val="20"/>
      <w:szCs w:val="20"/>
    </w:rPr>
  </w:style>
  <w:style w:type="character" w:customStyle="1" w:styleId="EndnoteTextChar">
    <w:name w:val="Endnote Text Char"/>
    <w:basedOn w:val="DefaultParagraphFont"/>
    <w:link w:val="EndnoteText"/>
    <w:rsid w:val="0024371C"/>
    <w:rPr>
      <w:rFonts w:asciiTheme="minorHAnsi" w:eastAsiaTheme="minorHAnsi" w:hAnsiTheme="minorHAnsi" w:cstheme="minorBidi"/>
      <w:lang w:eastAsia="en-US"/>
    </w:rPr>
  </w:style>
  <w:style w:type="character" w:styleId="EndnoteReference">
    <w:name w:val="endnote reference"/>
    <w:basedOn w:val="DefaultParagraphFont"/>
    <w:rsid w:val="0024371C"/>
    <w:rPr>
      <w:vertAlign w:val="superscript"/>
    </w:rPr>
  </w:style>
  <w:style w:type="character" w:styleId="Hyperlink">
    <w:name w:val="Hyperlink"/>
    <w:basedOn w:val="DefaultParagraphFont"/>
    <w:rsid w:val="00A35E46"/>
    <w:rPr>
      <w:color w:val="0000FF" w:themeColor="hyperlink"/>
      <w:u w:val="single"/>
    </w:rPr>
  </w:style>
  <w:style w:type="character" w:styleId="FollowedHyperlink">
    <w:name w:val="FollowedHyperlink"/>
    <w:basedOn w:val="DefaultParagraphFont"/>
    <w:rsid w:val="00E466ED"/>
    <w:rPr>
      <w:color w:val="800080" w:themeColor="followedHyperlink"/>
      <w:u w:val="single"/>
    </w:rPr>
  </w:style>
  <w:style w:type="character" w:customStyle="1" w:styleId="NoteChar">
    <w:name w:val="Note Char"/>
    <w:basedOn w:val="BodyTextChar"/>
    <w:link w:val="Note"/>
    <w:rsid w:val="00321E44"/>
    <w:rPr>
      <w:rFonts w:ascii="Arial" w:hAnsi="Arial"/>
      <w:sz w:val="18"/>
    </w:rPr>
  </w:style>
  <w:style w:type="paragraph" w:customStyle="1" w:styleId="BoxSpace">
    <w:name w:val="Box Space"/>
    <w:basedOn w:val="BodyText"/>
    <w:rsid w:val="00B67A2D"/>
    <w:pPr>
      <w:keepNext/>
      <w:spacing w:before="360" w:line="80" w:lineRule="exact"/>
      <w:jc w:val="left"/>
    </w:pPr>
  </w:style>
  <w:style w:type="paragraph" w:customStyle="1" w:styleId="ms-rteelement-p">
    <w:name w:val="ms-rteelement-p"/>
    <w:basedOn w:val="Normal"/>
    <w:rsid w:val="00DE6918"/>
    <w:pPr>
      <w:spacing w:after="150" w:line="360" w:lineRule="atLeast"/>
    </w:pPr>
    <w:rPr>
      <w:color w:val="686868"/>
      <w:sz w:val="24"/>
    </w:rPr>
  </w:style>
  <w:style w:type="character" w:styleId="Strong">
    <w:name w:val="Strong"/>
    <w:basedOn w:val="DefaultParagraphFont"/>
    <w:uiPriority w:val="22"/>
    <w:qFormat/>
    <w:rsid w:val="00414E4D"/>
    <w:rPr>
      <w:b/>
      <w:bCs/>
    </w:rPr>
  </w:style>
  <w:style w:type="paragraph" w:styleId="Revision">
    <w:name w:val="Revision"/>
    <w:hidden/>
    <w:uiPriority w:val="99"/>
    <w:semiHidden/>
    <w:rsid w:val="003D16C7"/>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E4CD5"/>
    <w:rPr>
      <w:sz w:val="26"/>
      <w:szCs w:val="24"/>
    </w:rPr>
  </w:style>
  <w:style w:type="paragraph" w:styleId="Heading1">
    <w:name w:val="heading 1"/>
    <w:basedOn w:val="BodyText"/>
    <w:next w:val="BodyText"/>
    <w:rsid w:val="007E4CD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E4CD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E4CD5"/>
    <w:pPr>
      <w:spacing w:before="560" w:line="320" w:lineRule="exact"/>
      <w:ind w:left="0" w:firstLine="0"/>
      <w:outlineLvl w:val="2"/>
    </w:pPr>
    <w:rPr>
      <w:sz w:val="26"/>
    </w:rPr>
  </w:style>
  <w:style w:type="paragraph" w:styleId="Heading4">
    <w:name w:val="heading 4"/>
    <w:basedOn w:val="Heading3"/>
    <w:next w:val="BodyText"/>
    <w:link w:val="Heading4Char"/>
    <w:qFormat/>
    <w:rsid w:val="007E4CD5"/>
    <w:pPr>
      <w:spacing w:before="480"/>
      <w:outlineLvl w:val="3"/>
    </w:pPr>
    <w:rPr>
      <w:b w:val="0"/>
      <w:i/>
      <w:sz w:val="24"/>
    </w:rPr>
  </w:style>
  <w:style w:type="paragraph" w:styleId="Heading5">
    <w:name w:val="heading 5"/>
    <w:basedOn w:val="Heading4"/>
    <w:next w:val="BodyText"/>
    <w:qFormat/>
    <w:rsid w:val="007E4CD5"/>
    <w:pPr>
      <w:outlineLvl w:val="4"/>
    </w:pPr>
    <w:rPr>
      <w:rFonts w:ascii="Times New Roman" w:hAnsi="Times New Roman"/>
      <w:sz w:val="26"/>
    </w:rPr>
  </w:style>
  <w:style w:type="paragraph" w:styleId="Heading6">
    <w:name w:val="heading 6"/>
    <w:basedOn w:val="BodyText"/>
    <w:next w:val="BodyText"/>
    <w:rsid w:val="007E4CD5"/>
    <w:pPr>
      <w:spacing w:after="60"/>
      <w:jc w:val="left"/>
      <w:outlineLvl w:val="5"/>
    </w:pPr>
    <w:rPr>
      <w:i/>
      <w:sz w:val="22"/>
    </w:rPr>
  </w:style>
  <w:style w:type="paragraph" w:styleId="Heading7">
    <w:name w:val="heading 7"/>
    <w:basedOn w:val="BodyText"/>
    <w:next w:val="BodyText"/>
    <w:rsid w:val="007E4CD5"/>
    <w:pPr>
      <w:spacing w:after="60" w:line="240" w:lineRule="auto"/>
      <w:jc w:val="left"/>
      <w:outlineLvl w:val="6"/>
    </w:pPr>
    <w:rPr>
      <w:rFonts w:ascii="Arial" w:hAnsi="Arial"/>
      <w:sz w:val="20"/>
    </w:rPr>
  </w:style>
  <w:style w:type="paragraph" w:styleId="Heading8">
    <w:name w:val="heading 8"/>
    <w:basedOn w:val="BodyText"/>
    <w:next w:val="BodyText"/>
    <w:rsid w:val="007E4CD5"/>
    <w:pPr>
      <w:spacing w:after="60" w:line="240" w:lineRule="auto"/>
      <w:jc w:val="left"/>
      <w:outlineLvl w:val="7"/>
    </w:pPr>
    <w:rPr>
      <w:rFonts w:ascii="Arial" w:hAnsi="Arial"/>
      <w:i/>
      <w:sz w:val="20"/>
    </w:rPr>
  </w:style>
  <w:style w:type="paragraph" w:styleId="Heading9">
    <w:name w:val="heading 9"/>
    <w:basedOn w:val="BodyText"/>
    <w:next w:val="BodyText"/>
    <w:rsid w:val="007E4CD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E4C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CD5"/>
  </w:style>
  <w:style w:type="paragraph" w:styleId="BodyText">
    <w:name w:val="Body Text"/>
    <w:aliases w:val="Body Text1,new legislation style,new legislation style1,new legislation style Ch"/>
    <w:link w:val="BodyTextChar"/>
    <w:qFormat/>
    <w:rsid w:val="007E4CD5"/>
    <w:pPr>
      <w:spacing w:before="240" w:line="320" w:lineRule="atLeast"/>
      <w:jc w:val="both"/>
    </w:pPr>
    <w:rPr>
      <w:sz w:val="26"/>
    </w:rPr>
  </w:style>
  <w:style w:type="paragraph" w:styleId="Footer">
    <w:name w:val="footer"/>
    <w:basedOn w:val="BodyText"/>
    <w:semiHidden/>
    <w:rsid w:val="007E4CD5"/>
    <w:pPr>
      <w:spacing w:before="80" w:line="200" w:lineRule="exact"/>
      <w:ind w:right="6"/>
      <w:jc w:val="left"/>
    </w:pPr>
    <w:rPr>
      <w:caps/>
      <w:spacing w:val="-4"/>
      <w:sz w:val="16"/>
    </w:rPr>
  </w:style>
  <w:style w:type="paragraph" w:customStyle="1" w:styleId="FooterEnd">
    <w:name w:val="Footer End"/>
    <w:basedOn w:val="Footer"/>
    <w:rsid w:val="007E4CD5"/>
    <w:pPr>
      <w:spacing w:before="0" w:line="20" w:lineRule="exact"/>
    </w:pPr>
  </w:style>
  <w:style w:type="paragraph" w:styleId="Header">
    <w:name w:val="header"/>
    <w:basedOn w:val="BodyText"/>
    <w:rsid w:val="007E4CD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E4CD5"/>
    <w:pPr>
      <w:spacing w:line="20" w:lineRule="exact"/>
    </w:pPr>
    <w:rPr>
      <w:sz w:val="16"/>
    </w:rPr>
  </w:style>
  <w:style w:type="paragraph" w:customStyle="1" w:styleId="HeaderEven">
    <w:name w:val="Header Even"/>
    <w:basedOn w:val="Header"/>
    <w:semiHidden/>
    <w:rsid w:val="007E4CD5"/>
  </w:style>
  <w:style w:type="paragraph" w:customStyle="1" w:styleId="HeaderOdd">
    <w:name w:val="Header Odd"/>
    <w:basedOn w:val="Header"/>
    <w:semiHidden/>
    <w:rsid w:val="007E4CD5"/>
  </w:style>
  <w:style w:type="character" w:styleId="PageNumber">
    <w:name w:val="page number"/>
    <w:basedOn w:val="DefaultParagraphFont"/>
    <w:rsid w:val="007E4CD5"/>
    <w:rPr>
      <w:rFonts w:ascii="Arial" w:hAnsi="Arial"/>
      <w:b/>
      <w:sz w:val="16"/>
    </w:rPr>
  </w:style>
  <w:style w:type="paragraph" w:customStyle="1" w:styleId="Abbreviation">
    <w:name w:val="Abbreviation"/>
    <w:basedOn w:val="BodyText"/>
    <w:rsid w:val="007E4CD5"/>
    <w:pPr>
      <w:spacing w:before="120"/>
      <w:ind w:left="2381" w:hanging="2381"/>
      <w:jc w:val="left"/>
    </w:pPr>
  </w:style>
  <w:style w:type="paragraph" w:customStyle="1" w:styleId="Box">
    <w:name w:val="Box"/>
    <w:basedOn w:val="BodyText"/>
    <w:qFormat/>
    <w:rsid w:val="007E4CD5"/>
    <w:pPr>
      <w:keepNext/>
      <w:spacing w:before="120" w:line="280" w:lineRule="atLeast"/>
    </w:pPr>
    <w:rPr>
      <w:rFonts w:ascii="Arial" w:hAnsi="Arial"/>
      <w:sz w:val="22"/>
    </w:rPr>
  </w:style>
  <w:style w:type="paragraph" w:customStyle="1" w:styleId="BoxContinued">
    <w:name w:val="Box Continued"/>
    <w:basedOn w:val="BodyText"/>
    <w:next w:val="BodyText"/>
    <w:semiHidden/>
    <w:rsid w:val="007E4CD5"/>
    <w:pPr>
      <w:spacing w:before="180" w:line="220" w:lineRule="exact"/>
      <w:jc w:val="right"/>
    </w:pPr>
    <w:rPr>
      <w:rFonts w:ascii="Arial" w:hAnsi="Arial"/>
      <w:sz w:val="18"/>
    </w:rPr>
  </w:style>
  <w:style w:type="paragraph" w:customStyle="1" w:styleId="BoxHeading1">
    <w:name w:val="Box Heading 1"/>
    <w:basedOn w:val="BodyText"/>
    <w:next w:val="Box"/>
    <w:rsid w:val="007E4CD5"/>
    <w:pPr>
      <w:keepNext/>
      <w:spacing w:before="200" w:line="280" w:lineRule="atLeast"/>
    </w:pPr>
    <w:rPr>
      <w:rFonts w:ascii="Arial" w:hAnsi="Arial"/>
      <w:b/>
      <w:sz w:val="22"/>
    </w:rPr>
  </w:style>
  <w:style w:type="paragraph" w:customStyle="1" w:styleId="BoxHeading2">
    <w:name w:val="Box Heading 2"/>
    <w:basedOn w:val="BoxHeading1"/>
    <w:next w:val="Normal"/>
    <w:rsid w:val="007E4CD5"/>
    <w:rPr>
      <w:b w:val="0"/>
      <w:i/>
    </w:rPr>
  </w:style>
  <w:style w:type="paragraph" w:customStyle="1" w:styleId="BoxListBullet">
    <w:name w:val="Box List Bullet"/>
    <w:basedOn w:val="BodyText"/>
    <w:rsid w:val="007E4CD5"/>
    <w:pPr>
      <w:keepNext/>
      <w:numPr>
        <w:numId w:val="1"/>
      </w:numPr>
      <w:spacing w:before="60" w:line="280" w:lineRule="atLeast"/>
    </w:pPr>
    <w:rPr>
      <w:rFonts w:ascii="Arial" w:hAnsi="Arial"/>
      <w:sz w:val="22"/>
    </w:rPr>
  </w:style>
  <w:style w:type="paragraph" w:customStyle="1" w:styleId="BoxListBullet2">
    <w:name w:val="Box List Bullet 2"/>
    <w:basedOn w:val="BodyText"/>
    <w:rsid w:val="007E4CD5"/>
    <w:pPr>
      <w:keepNext/>
      <w:numPr>
        <w:numId w:val="16"/>
      </w:numPr>
      <w:spacing w:before="60" w:line="280" w:lineRule="atLeast"/>
    </w:pPr>
    <w:rPr>
      <w:rFonts w:ascii="Arial" w:hAnsi="Arial"/>
      <w:sz w:val="22"/>
    </w:rPr>
  </w:style>
  <w:style w:type="paragraph" w:customStyle="1" w:styleId="BoxListNumber">
    <w:name w:val="Box List Number"/>
    <w:basedOn w:val="BodyText"/>
    <w:rsid w:val="007E4CD5"/>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7E4CD5"/>
    <w:pPr>
      <w:numPr>
        <w:ilvl w:val="1"/>
      </w:numPr>
    </w:pPr>
  </w:style>
  <w:style w:type="paragraph" w:customStyle="1" w:styleId="BoxQuote">
    <w:name w:val="Box Quote"/>
    <w:basedOn w:val="BodyText"/>
    <w:next w:val="Box"/>
    <w:rsid w:val="007E4CD5"/>
    <w:pPr>
      <w:keepNext/>
      <w:spacing w:before="60" w:line="260" w:lineRule="exact"/>
      <w:ind w:left="284"/>
    </w:pPr>
    <w:rPr>
      <w:rFonts w:ascii="Arial" w:hAnsi="Arial"/>
      <w:sz w:val="20"/>
    </w:rPr>
  </w:style>
  <w:style w:type="paragraph" w:customStyle="1" w:styleId="Note">
    <w:name w:val="Note"/>
    <w:basedOn w:val="BodyText"/>
    <w:next w:val="BodyText"/>
    <w:link w:val="NoteChar"/>
    <w:rsid w:val="007E4CD5"/>
    <w:pPr>
      <w:keepLines/>
      <w:spacing w:before="80" w:line="220" w:lineRule="exact"/>
    </w:pPr>
    <w:rPr>
      <w:rFonts w:ascii="Arial" w:hAnsi="Arial"/>
      <w:sz w:val="18"/>
    </w:rPr>
  </w:style>
  <w:style w:type="paragraph" w:customStyle="1" w:styleId="Source">
    <w:name w:val="Source"/>
    <w:basedOn w:val="Note"/>
    <w:next w:val="BodyText"/>
    <w:rsid w:val="007E4CD5"/>
    <w:pPr>
      <w:spacing w:after="120"/>
    </w:pPr>
  </w:style>
  <w:style w:type="paragraph" w:customStyle="1" w:styleId="BoxSource">
    <w:name w:val="Box Source"/>
    <w:basedOn w:val="Source"/>
    <w:next w:val="BodyText"/>
    <w:rsid w:val="007E4CD5"/>
    <w:pPr>
      <w:spacing w:before="180" w:after="0"/>
    </w:pPr>
  </w:style>
  <w:style w:type="paragraph" w:customStyle="1" w:styleId="BoxSpaceAbove">
    <w:name w:val="Box Space Above"/>
    <w:basedOn w:val="BodyText"/>
    <w:rsid w:val="007E4CD5"/>
    <w:pPr>
      <w:keepNext/>
      <w:spacing w:before="360" w:line="80" w:lineRule="exact"/>
      <w:jc w:val="left"/>
    </w:pPr>
  </w:style>
  <w:style w:type="paragraph" w:styleId="Caption">
    <w:name w:val="caption"/>
    <w:basedOn w:val="Normal"/>
    <w:next w:val="BodyText"/>
    <w:rsid w:val="007E4CD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E4CD5"/>
    <w:pPr>
      <w:spacing w:before="120" w:after="0"/>
      <w:ind w:left="1304" w:hanging="1304"/>
    </w:pPr>
    <w:rPr>
      <w:sz w:val="24"/>
    </w:rPr>
  </w:style>
  <w:style w:type="paragraph" w:customStyle="1" w:styleId="BoxSubtitle">
    <w:name w:val="Box Subtitle"/>
    <w:basedOn w:val="BoxTitle"/>
    <w:next w:val="Normal"/>
    <w:rsid w:val="007E4CD5"/>
    <w:pPr>
      <w:spacing w:after="80" w:line="200" w:lineRule="exact"/>
      <w:ind w:firstLine="0"/>
    </w:pPr>
    <w:rPr>
      <w:b w:val="0"/>
      <w:sz w:val="20"/>
    </w:rPr>
  </w:style>
  <w:style w:type="paragraph" w:customStyle="1" w:styleId="Chapter">
    <w:name w:val="Chapter"/>
    <w:basedOn w:val="Heading1"/>
    <w:next w:val="BodyText"/>
    <w:semiHidden/>
    <w:rsid w:val="007E4CD5"/>
    <w:pPr>
      <w:ind w:left="0" w:firstLine="0"/>
      <w:outlineLvl w:val="9"/>
    </w:pPr>
  </w:style>
  <w:style w:type="paragraph" w:customStyle="1" w:styleId="ChapterSummary">
    <w:name w:val="Chapter Summary"/>
    <w:basedOn w:val="BodyText"/>
    <w:rsid w:val="007E4CD5"/>
    <w:pPr>
      <w:ind w:left="907"/>
    </w:pPr>
    <w:rPr>
      <w:rFonts w:ascii="Arial" w:hAnsi="Arial"/>
      <w:b/>
      <w:sz w:val="22"/>
    </w:rPr>
  </w:style>
  <w:style w:type="character" w:styleId="CommentReference">
    <w:name w:val="annotation reference"/>
    <w:basedOn w:val="DefaultParagraphFont"/>
    <w:semiHidden/>
    <w:rsid w:val="007E4CD5"/>
    <w:rPr>
      <w:b/>
      <w:vanish/>
      <w:color w:val="FF00FF"/>
      <w:sz w:val="20"/>
    </w:rPr>
  </w:style>
  <w:style w:type="paragraph" w:styleId="CommentText">
    <w:name w:val="annotation text"/>
    <w:basedOn w:val="Normal"/>
    <w:link w:val="CommentTextChar"/>
    <w:semiHidden/>
    <w:rsid w:val="007E4CD5"/>
    <w:pPr>
      <w:spacing w:before="120" w:line="240" w:lineRule="atLeast"/>
      <w:ind w:left="567" w:hanging="567"/>
    </w:pPr>
    <w:rPr>
      <w:sz w:val="20"/>
    </w:rPr>
  </w:style>
  <w:style w:type="paragraph" w:customStyle="1" w:styleId="Continued">
    <w:name w:val="Continued"/>
    <w:basedOn w:val="BoxContinued"/>
    <w:next w:val="BodyText"/>
    <w:rsid w:val="007E4CD5"/>
  </w:style>
  <w:style w:type="character" w:customStyle="1" w:styleId="DocumentInfo">
    <w:name w:val="Document Info"/>
    <w:basedOn w:val="DefaultParagraphFont"/>
    <w:semiHidden/>
    <w:rsid w:val="007E4CD5"/>
    <w:rPr>
      <w:rFonts w:ascii="Arial" w:hAnsi="Arial"/>
      <w:sz w:val="14"/>
    </w:rPr>
  </w:style>
  <w:style w:type="character" w:customStyle="1" w:styleId="DraftingNote">
    <w:name w:val="Drafting Note"/>
    <w:basedOn w:val="DefaultParagraphFont"/>
    <w:rsid w:val="007E4CD5"/>
    <w:rPr>
      <w:b/>
      <w:color w:val="FF0000"/>
      <w:sz w:val="24"/>
      <w:u w:val="dotted"/>
    </w:rPr>
  </w:style>
  <w:style w:type="paragraph" w:customStyle="1" w:styleId="Figure">
    <w:name w:val="Figure"/>
    <w:basedOn w:val="BodyText"/>
    <w:rsid w:val="007E4CD5"/>
    <w:pPr>
      <w:keepNext/>
      <w:spacing w:before="120" w:after="120" w:line="240" w:lineRule="atLeast"/>
      <w:jc w:val="center"/>
    </w:pPr>
  </w:style>
  <w:style w:type="paragraph" w:customStyle="1" w:styleId="FigureTitle">
    <w:name w:val="Figure Title"/>
    <w:basedOn w:val="Caption"/>
    <w:next w:val="Subtitle"/>
    <w:rsid w:val="007E4CD5"/>
    <w:rPr>
      <w:sz w:val="24"/>
    </w:rPr>
  </w:style>
  <w:style w:type="paragraph" w:styleId="Subtitle">
    <w:name w:val="Subtitle"/>
    <w:basedOn w:val="Caption"/>
    <w:link w:val="SubtitleChar"/>
    <w:rsid w:val="007E4CD5"/>
    <w:pPr>
      <w:spacing w:before="0" w:line="200" w:lineRule="exact"/>
      <w:ind w:firstLine="0"/>
    </w:pPr>
    <w:rPr>
      <w:b w:val="0"/>
      <w:sz w:val="20"/>
    </w:rPr>
  </w:style>
  <w:style w:type="paragraph" w:customStyle="1" w:styleId="Finding">
    <w:name w:val="Finding"/>
    <w:basedOn w:val="BodyText"/>
    <w:rsid w:val="007E4CD5"/>
    <w:pPr>
      <w:keepLines/>
      <w:spacing w:before="180"/>
    </w:pPr>
    <w:rPr>
      <w:i/>
    </w:rPr>
  </w:style>
  <w:style w:type="paragraph" w:customStyle="1" w:styleId="FindingBullet">
    <w:name w:val="Finding Bullet"/>
    <w:basedOn w:val="Finding"/>
    <w:rsid w:val="007E4CD5"/>
    <w:pPr>
      <w:numPr>
        <w:numId w:val="2"/>
      </w:numPr>
      <w:spacing w:before="80"/>
    </w:pPr>
  </w:style>
  <w:style w:type="paragraph" w:customStyle="1" w:styleId="FindingNoTitle">
    <w:name w:val="Finding NoTitle"/>
    <w:basedOn w:val="Finding"/>
    <w:semiHidden/>
    <w:rsid w:val="007E4CD5"/>
    <w:pPr>
      <w:spacing w:before="240"/>
    </w:pPr>
  </w:style>
  <w:style w:type="paragraph" w:customStyle="1" w:styleId="RecTitle">
    <w:name w:val="Rec Title"/>
    <w:basedOn w:val="BodyText"/>
    <w:next w:val="Normal"/>
    <w:rsid w:val="007E4CD5"/>
    <w:pPr>
      <w:keepNext/>
      <w:keepLines/>
    </w:pPr>
    <w:rPr>
      <w:caps/>
      <w:sz w:val="20"/>
    </w:rPr>
  </w:style>
  <w:style w:type="paragraph" w:customStyle="1" w:styleId="FindingTitle">
    <w:name w:val="Finding Title"/>
    <w:basedOn w:val="RecTitle"/>
    <w:next w:val="Finding"/>
    <w:rsid w:val="007E4CD5"/>
    <w:pPr>
      <w:framePr w:wrap="notBeside" w:hAnchor="text"/>
    </w:pPr>
  </w:style>
  <w:style w:type="character" w:styleId="FootnoteReference">
    <w:name w:val="footnote reference"/>
    <w:basedOn w:val="DefaultParagraphFont"/>
    <w:semiHidden/>
    <w:rsid w:val="007E4CD5"/>
    <w:rPr>
      <w:rFonts w:ascii="Times New Roman" w:hAnsi="Times New Roman"/>
      <w:position w:val="6"/>
      <w:sz w:val="22"/>
      <w:vertAlign w:val="baseline"/>
    </w:rPr>
  </w:style>
  <w:style w:type="paragraph" w:styleId="FootnoteText">
    <w:name w:val="footnote text"/>
    <w:basedOn w:val="BodyText"/>
    <w:link w:val="FootnoteTextChar"/>
    <w:rsid w:val="007E4C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E4CD5"/>
    <w:pPr>
      <w:spacing w:before="360" w:after="120"/>
    </w:pPr>
    <w:rPr>
      <w:rFonts w:ascii="Arial" w:hAnsi="Arial"/>
      <w:sz w:val="24"/>
    </w:rPr>
  </w:style>
  <w:style w:type="paragraph" w:customStyle="1" w:styleId="Jurisdictioncommentsbodytext">
    <w:name w:val="Jurisdiction comments body text"/>
    <w:rsid w:val="007E4CD5"/>
    <w:pPr>
      <w:spacing w:after="140"/>
      <w:jc w:val="both"/>
    </w:pPr>
    <w:rPr>
      <w:rFonts w:ascii="Arial" w:hAnsi="Arial"/>
      <w:sz w:val="24"/>
      <w:lang w:eastAsia="en-US"/>
    </w:rPr>
  </w:style>
  <w:style w:type="paragraph" w:customStyle="1" w:styleId="Jurisdictioncommentsheading">
    <w:name w:val="Jurisdiction comments heading"/>
    <w:rsid w:val="007E4CD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E4CD5"/>
    <w:pPr>
      <w:numPr>
        <w:numId w:val="3"/>
      </w:numPr>
      <w:spacing w:after="140"/>
      <w:jc w:val="both"/>
    </w:pPr>
    <w:rPr>
      <w:rFonts w:ascii="Arial" w:hAnsi="Arial"/>
      <w:sz w:val="24"/>
      <w:lang w:eastAsia="en-US"/>
    </w:rPr>
  </w:style>
  <w:style w:type="paragraph" w:styleId="ListBullet">
    <w:name w:val="List Bullet"/>
    <w:basedOn w:val="BodyText"/>
    <w:rsid w:val="007E4CD5"/>
    <w:pPr>
      <w:numPr>
        <w:numId w:val="4"/>
      </w:numPr>
      <w:spacing w:before="120"/>
    </w:pPr>
  </w:style>
  <w:style w:type="paragraph" w:styleId="ListBullet2">
    <w:name w:val="List Bullet 2"/>
    <w:basedOn w:val="BodyText"/>
    <w:rsid w:val="007E4CD5"/>
    <w:pPr>
      <w:numPr>
        <w:numId w:val="5"/>
      </w:numPr>
      <w:spacing w:before="120"/>
    </w:pPr>
  </w:style>
  <w:style w:type="paragraph" w:styleId="ListBullet3">
    <w:name w:val="List Bullet 3"/>
    <w:basedOn w:val="BodyText"/>
    <w:rsid w:val="007E4CD5"/>
    <w:pPr>
      <w:numPr>
        <w:numId w:val="6"/>
      </w:numPr>
      <w:spacing w:before="120"/>
    </w:pPr>
  </w:style>
  <w:style w:type="paragraph" w:styleId="ListNumber">
    <w:name w:val="List Number"/>
    <w:basedOn w:val="BodyText"/>
    <w:rsid w:val="007E4CD5"/>
    <w:pPr>
      <w:numPr>
        <w:numId w:val="11"/>
      </w:numPr>
      <w:spacing w:before="120"/>
    </w:pPr>
  </w:style>
  <w:style w:type="paragraph" w:styleId="ListNumber2">
    <w:name w:val="List Number 2"/>
    <w:basedOn w:val="ListNumber"/>
    <w:rsid w:val="007E4CD5"/>
    <w:pPr>
      <w:numPr>
        <w:ilvl w:val="1"/>
      </w:numPr>
    </w:pPr>
  </w:style>
  <w:style w:type="paragraph" w:styleId="ListNumber3">
    <w:name w:val="List Number 3"/>
    <w:basedOn w:val="ListNumber2"/>
    <w:rsid w:val="007E4CD5"/>
    <w:pPr>
      <w:numPr>
        <w:ilvl w:val="2"/>
      </w:numPr>
    </w:pPr>
  </w:style>
  <w:style w:type="character" w:customStyle="1" w:styleId="NoteLabel">
    <w:name w:val="Note Label"/>
    <w:basedOn w:val="DefaultParagraphFont"/>
    <w:rsid w:val="007E4CD5"/>
    <w:rPr>
      <w:rFonts w:ascii="Arial" w:hAnsi="Arial"/>
      <w:b/>
      <w:position w:val="6"/>
      <w:sz w:val="18"/>
    </w:rPr>
  </w:style>
  <w:style w:type="paragraph" w:customStyle="1" w:styleId="PartDivider">
    <w:name w:val="Part Divider"/>
    <w:basedOn w:val="BodyText"/>
    <w:next w:val="BodyText"/>
    <w:semiHidden/>
    <w:rsid w:val="007E4CD5"/>
    <w:pPr>
      <w:spacing w:before="0" w:line="40" w:lineRule="exact"/>
      <w:jc w:val="right"/>
    </w:pPr>
    <w:rPr>
      <w:smallCaps/>
      <w:sz w:val="16"/>
    </w:rPr>
  </w:style>
  <w:style w:type="paragraph" w:customStyle="1" w:styleId="PartNumber">
    <w:name w:val="Part Number"/>
    <w:basedOn w:val="BodyText"/>
    <w:next w:val="BodyText"/>
    <w:semiHidden/>
    <w:rsid w:val="007E4CD5"/>
    <w:pPr>
      <w:spacing w:before="4000" w:line="320" w:lineRule="exact"/>
      <w:ind w:left="6634"/>
      <w:jc w:val="right"/>
    </w:pPr>
    <w:rPr>
      <w:smallCaps/>
      <w:spacing w:val="60"/>
      <w:sz w:val="32"/>
    </w:rPr>
  </w:style>
  <w:style w:type="paragraph" w:customStyle="1" w:styleId="PartTitle">
    <w:name w:val="Part Title"/>
    <w:basedOn w:val="BodyText"/>
    <w:semiHidden/>
    <w:rsid w:val="007E4CD5"/>
    <w:pPr>
      <w:spacing w:before="160" w:after="1360" w:line="520" w:lineRule="exact"/>
      <w:ind w:right="2381"/>
      <w:jc w:val="right"/>
    </w:pPr>
    <w:rPr>
      <w:smallCaps/>
      <w:sz w:val="52"/>
    </w:rPr>
  </w:style>
  <w:style w:type="paragraph" w:styleId="Quote">
    <w:name w:val="Quote"/>
    <w:basedOn w:val="BodyText"/>
    <w:next w:val="BodyText"/>
    <w:qFormat/>
    <w:rsid w:val="007E4CD5"/>
    <w:pPr>
      <w:spacing w:before="120" w:line="280" w:lineRule="exact"/>
      <w:ind w:left="340"/>
    </w:pPr>
    <w:rPr>
      <w:sz w:val="24"/>
    </w:rPr>
  </w:style>
  <w:style w:type="paragraph" w:customStyle="1" w:styleId="QuoteBullet">
    <w:name w:val="Quote Bullet"/>
    <w:basedOn w:val="Quote"/>
    <w:rsid w:val="007E4CD5"/>
    <w:pPr>
      <w:numPr>
        <w:numId w:val="7"/>
      </w:numPr>
    </w:pPr>
  </w:style>
  <w:style w:type="paragraph" w:customStyle="1" w:styleId="Rec">
    <w:name w:val="Rec"/>
    <w:basedOn w:val="BodyText"/>
    <w:rsid w:val="007E4CD5"/>
    <w:pPr>
      <w:keepLines/>
      <w:spacing w:before="180"/>
    </w:pPr>
    <w:rPr>
      <w:b/>
      <w:i/>
    </w:rPr>
  </w:style>
  <w:style w:type="paragraph" w:customStyle="1" w:styleId="RecBullet">
    <w:name w:val="Rec Bullet"/>
    <w:basedOn w:val="Rec"/>
    <w:rsid w:val="007E4CD5"/>
    <w:pPr>
      <w:numPr>
        <w:numId w:val="8"/>
      </w:numPr>
      <w:spacing w:before="80"/>
    </w:pPr>
  </w:style>
  <w:style w:type="paragraph" w:customStyle="1" w:styleId="RecB">
    <w:name w:val="RecB"/>
    <w:basedOn w:val="Normal"/>
    <w:semiHidden/>
    <w:rsid w:val="007E4CD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7E4CD5"/>
    <w:pPr>
      <w:numPr>
        <w:numId w:val="13"/>
      </w:numPr>
      <w:spacing w:before="80"/>
    </w:pPr>
  </w:style>
  <w:style w:type="paragraph" w:customStyle="1" w:styleId="RecBNoTitle">
    <w:name w:val="RecB NoTitle"/>
    <w:basedOn w:val="RecB"/>
    <w:semiHidden/>
    <w:rsid w:val="007E4CD5"/>
    <w:pPr>
      <w:spacing w:before="240"/>
    </w:pPr>
  </w:style>
  <w:style w:type="paragraph" w:customStyle="1" w:styleId="Reference">
    <w:name w:val="Reference"/>
    <w:basedOn w:val="BodyText"/>
    <w:rsid w:val="007E4CD5"/>
    <w:pPr>
      <w:spacing w:before="120"/>
      <w:ind w:left="340" w:hanging="340"/>
    </w:pPr>
  </w:style>
  <w:style w:type="paragraph" w:customStyle="1" w:styleId="SequenceInfo">
    <w:name w:val="Sequence Info"/>
    <w:basedOn w:val="BodyText"/>
    <w:semiHidden/>
    <w:rsid w:val="007E4CD5"/>
    <w:rPr>
      <w:vanish/>
      <w:sz w:val="16"/>
    </w:rPr>
  </w:style>
  <w:style w:type="paragraph" w:customStyle="1" w:styleId="SideNote">
    <w:name w:val="Side Note"/>
    <w:basedOn w:val="BodyText"/>
    <w:next w:val="BodyText"/>
    <w:semiHidden/>
    <w:rsid w:val="007E4CD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E4CD5"/>
    <w:pPr>
      <w:framePr w:wrap="around"/>
      <w:numPr>
        <w:numId w:val="9"/>
      </w:numPr>
      <w:tabs>
        <w:tab w:val="left" w:pos="227"/>
      </w:tabs>
    </w:pPr>
  </w:style>
  <w:style w:type="paragraph" w:customStyle="1" w:styleId="SideNoteGraphic">
    <w:name w:val="Side Note Graphic"/>
    <w:basedOn w:val="SideNote"/>
    <w:next w:val="BodyText"/>
    <w:semiHidden/>
    <w:rsid w:val="007E4CD5"/>
    <w:pPr>
      <w:framePr w:wrap="around"/>
    </w:pPr>
  </w:style>
  <w:style w:type="paragraph" w:customStyle="1" w:styleId="TableBodyText">
    <w:name w:val="Table Body Text"/>
    <w:basedOn w:val="BodyText"/>
    <w:rsid w:val="007E4CD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E4CD5"/>
    <w:pPr>
      <w:numPr>
        <w:numId w:val="10"/>
      </w:numPr>
      <w:jc w:val="left"/>
    </w:pPr>
  </w:style>
  <w:style w:type="paragraph" w:customStyle="1" w:styleId="TableColumnHeading">
    <w:name w:val="Table Column Heading"/>
    <w:basedOn w:val="TableBodyText"/>
    <w:rsid w:val="007E4CD5"/>
    <w:pPr>
      <w:spacing w:before="80" w:after="80"/>
    </w:pPr>
    <w:rPr>
      <w:i/>
    </w:rPr>
  </w:style>
  <w:style w:type="paragraph" w:styleId="TOC2">
    <w:name w:val="toc 2"/>
    <w:basedOn w:val="BodyText"/>
    <w:semiHidden/>
    <w:rsid w:val="007E4CD5"/>
    <w:pPr>
      <w:tabs>
        <w:tab w:val="right" w:pos="8789"/>
      </w:tabs>
      <w:ind w:left="510" w:right="851" w:hanging="510"/>
      <w:jc w:val="left"/>
    </w:pPr>
    <w:rPr>
      <w:b/>
    </w:rPr>
  </w:style>
  <w:style w:type="paragraph" w:styleId="TOC3">
    <w:name w:val="toc 3"/>
    <w:basedOn w:val="TOC2"/>
    <w:semiHidden/>
    <w:rsid w:val="007E4CD5"/>
    <w:pPr>
      <w:spacing w:before="60"/>
      <w:ind w:left="1190" w:hanging="680"/>
    </w:pPr>
    <w:rPr>
      <w:b w:val="0"/>
    </w:rPr>
  </w:style>
  <w:style w:type="paragraph" w:styleId="TableofFigures">
    <w:name w:val="table of figures"/>
    <w:basedOn w:val="TOC3"/>
    <w:next w:val="BodyText"/>
    <w:semiHidden/>
    <w:rsid w:val="007E4CD5"/>
    <w:pPr>
      <w:ind w:left="737" w:hanging="737"/>
    </w:pPr>
  </w:style>
  <w:style w:type="paragraph" w:customStyle="1" w:styleId="TableTitle">
    <w:name w:val="Table Title"/>
    <w:basedOn w:val="Caption"/>
    <w:next w:val="Subtitle"/>
    <w:rsid w:val="007E4CD5"/>
    <w:rPr>
      <w:sz w:val="24"/>
    </w:rPr>
  </w:style>
  <w:style w:type="paragraph" w:customStyle="1" w:styleId="TableUnitsRow">
    <w:name w:val="Table Units Row"/>
    <w:basedOn w:val="TableBodyText"/>
    <w:rsid w:val="007E4CD5"/>
    <w:pPr>
      <w:spacing w:before="80" w:after="80"/>
    </w:pPr>
  </w:style>
  <w:style w:type="paragraph" w:styleId="TOC1">
    <w:name w:val="toc 1"/>
    <w:basedOn w:val="Normal"/>
    <w:next w:val="TOC2"/>
    <w:semiHidden/>
    <w:rsid w:val="007E4CD5"/>
    <w:pPr>
      <w:tabs>
        <w:tab w:val="right" w:pos="8789"/>
      </w:tabs>
      <w:spacing w:before="480" w:after="60" w:line="320" w:lineRule="exact"/>
      <w:ind w:left="1191" w:right="851" w:hanging="1191"/>
    </w:pPr>
    <w:rPr>
      <w:b/>
      <w:caps/>
    </w:rPr>
  </w:style>
  <w:style w:type="paragraph" w:styleId="TOC4">
    <w:name w:val="toc 4"/>
    <w:basedOn w:val="TOC3"/>
    <w:semiHidden/>
    <w:rsid w:val="007E4CD5"/>
    <w:pPr>
      <w:ind w:left="1191" w:firstLine="0"/>
    </w:pPr>
  </w:style>
  <w:style w:type="paragraph" w:customStyle="1" w:styleId="RecBBullet2">
    <w:name w:val="RecB Bullet 2"/>
    <w:basedOn w:val="ListBullet2"/>
    <w:semiHidden/>
    <w:rsid w:val="007E4CD5"/>
    <w:pPr>
      <w:pBdr>
        <w:left w:val="single" w:sz="24" w:space="29" w:color="C0C0C0"/>
      </w:pBdr>
    </w:pPr>
    <w:rPr>
      <w:b/>
      <w:i/>
    </w:rPr>
  </w:style>
  <w:style w:type="paragraph" w:styleId="BalloonText">
    <w:name w:val="Balloon Text"/>
    <w:basedOn w:val="Normal"/>
    <w:link w:val="BalloonTextChar"/>
    <w:rsid w:val="007E4CD5"/>
    <w:rPr>
      <w:rFonts w:ascii="Tahoma" w:hAnsi="Tahoma" w:cs="Tahoma"/>
      <w:sz w:val="16"/>
      <w:szCs w:val="16"/>
    </w:rPr>
  </w:style>
  <w:style w:type="character" w:customStyle="1" w:styleId="BalloonTextChar">
    <w:name w:val="Balloon Text Char"/>
    <w:basedOn w:val="DefaultParagraphFont"/>
    <w:link w:val="BalloonText"/>
    <w:rsid w:val="007E4CD5"/>
    <w:rPr>
      <w:rFonts w:ascii="Tahoma" w:hAnsi="Tahoma" w:cs="Tahoma"/>
      <w:sz w:val="16"/>
      <w:szCs w:val="16"/>
    </w:rPr>
  </w:style>
  <w:style w:type="character" w:customStyle="1" w:styleId="SubtitleChar">
    <w:name w:val="Subtitle Char"/>
    <w:basedOn w:val="DefaultParagraphFont"/>
    <w:link w:val="Subtitle"/>
    <w:rsid w:val="007E4CD5"/>
    <w:rPr>
      <w:rFonts w:ascii="Arial" w:hAnsi="Arial"/>
      <w:szCs w:val="24"/>
    </w:rPr>
  </w:style>
  <w:style w:type="paragraph" w:customStyle="1" w:styleId="BoxListBullet3">
    <w:name w:val="Box List Bullet 3"/>
    <w:basedOn w:val="ListBullet3"/>
    <w:rsid w:val="007E4CD5"/>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E4CD5"/>
    <w:rPr>
      <w:i/>
      <w:iCs/>
    </w:rPr>
  </w:style>
  <w:style w:type="paragraph" w:customStyle="1" w:styleId="BoxQuoteBullet">
    <w:name w:val="Box Quote Bullet"/>
    <w:basedOn w:val="BoxQuote"/>
    <w:next w:val="Box"/>
    <w:rsid w:val="007E4CD5"/>
    <w:pPr>
      <w:numPr>
        <w:numId w:val="14"/>
      </w:numPr>
      <w:ind w:left="568" w:hanging="284"/>
    </w:pPr>
  </w:style>
  <w:style w:type="paragraph" w:customStyle="1" w:styleId="InformationRequestBullet">
    <w:name w:val="Information Request Bullet"/>
    <w:basedOn w:val="ListBullet"/>
    <w:next w:val="BodyText"/>
    <w:rsid w:val="007E4CD5"/>
    <w:pPr>
      <w:numPr>
        <w:numId w:val="15"/>
      </w:numPr>
      <w:ind w:left="340" w:hanging="340"/>
    </w:pPr>
    <w:rPr>
      <w:rFonts w:ascii="Arial" w:hAnsi="Arial"/>
      <w:i/>
      <w:sz w:val="24"/>
    </w:rPr>
  </w:style>
  <w:style w:type="paragraph" w:customStyle="1" w:styleId="BoxSpaceBelow">
    <w:name w:val="Box Space Below"/>
    <w:basedOn w:val="Box"/>
    <w:rsid w:val="007E4CD5"/>
    <w:pPr>
      <w:keepNext w:val="0"/>
      <w:spacing w:before="60" w:after="60" w:line="80" w:lineRule="exact"/>
    </w:pPr>
    <w:rPr>
      <w:sz w:val="14"/>
    </w:rPr>
  </w:style>
  <w:style w:type="paragraph" w:customStyle="1" w:styleId="Tim">
    <w:name w:val="Tim"/>
    <w:basedOn w:val="Normal"/>
    <w:rsid w:val="00404F34"/>
    <w:pPr>
      <w:jc w:val="both"/>
    </w:pPr>
  </w:style>
  <w:style w:type="character" w:customStyle="1" w:styleId="Heading4Char">
    <w:name w:val="Heading 4 Char"/>
    <w:basedOn w:val="DefaultParagraphFont"/>
    <w:link w:val="Heading4"/>
    <w:rsid w:val="00DB65D2"/>
    <w:rPr>
      <w:rFonts w:ascii="Arial" w:hAnsi="Arial"/>
      <w:i/>
      <w:sz w:val="24"/>
    </w:rPr>
  </w:style>
  <w:style w:type="character" w:customStyle="1" w:styleId="BodyTextChar">
    <w:name w:val="Body Text Char"/>
    <w:aliases w:val="Body Text1 Char,new legislation style Char,new legislation style1 Char,new legislation style Ch Char"/>
    <w:basedOn w:val="DefaultParagraphFont"/>
    <w:link w:val="BodyText"/>
    <w:rsid w:val="00DB65D2"/>
    <w:rPr>
      <w:sz w:val="26"/>
    </w:rPr>
  </w:style>
  <w:style w:type="paragraph" w:styleId="NormalWeb">
    <w:name w:val="Normal (Web)"/>
    <w:basedOn w:val="Normal"/>
    <w:uiPriority w:val="99"/>
    <w:unhideWhenUsed/>
    <w:rsid w:val="00D27AA2"/>
    <w:pPr>
      <w:spacing w:before="100" w:beforeAutospacing="1" w:after="100" w:afterAutospacing="1"/>
    </w:pPr>
    <w:rPr>
      <w:sz w:val="24"/>
    </w:rPr>
  </w:style>
  <w:style w:type="paragraph" w:customStyle="1" w:styleId="Default">
    <w:name w:val="Default"/>
    <w:rsid w:val="00F876D9"/>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E27A3"/>
    <w:pPr>
      <w:spacing w:before="0" w:after="200" w:line="240" w:lineRule="auto"/>
      <w:ind w:left="0" w:firstLine="0"/>
    </w:pPr>
    <w:rPr>
      <w:rFonts w:asciiTheme="minorHAnsi" w:eastAsiaTheme="minorHAnsi" w:hAnsiTheme="minorHAnsi" w:cstheme="minorBidi"/>
      <w:b/>
      <w:bCs/>
      <w:szCs w:val="20"/>
      <w:lang w:eastAsia="en-US"/>
    </w:rPr>
  </w:style>
  <w:style w:type="character" w:customStyle="1" w:styleId="CommentTextChar">
    <w:name w:val="Comment Text Char"/>
    <w:basedOn w:val="DefaultParagraphFont"/>
    <w:link w:val="CommentText"/>
    <w:semiHidden/>
    <w:rsid w:val="009E27A3"/>
    <w:rPr>
      <w:szCs w:val="24"/>
    </w:rPr>
  </w:style>
  <w:style w:type="character" w:customStyle="1" w:styleId="CommentSubjectChar">
    <w:name w:val="Comment Subject Char"/>
    <w:basedOn w:val="CommentTextChar"/>
    <w:link w:val="CommentSubject"/>
    <w:rsid w:val="009E27A3"/>
    <w:rPr>
      <w:rFonts w:asciiTheme="minorHAnsi" w:eastAsiaTheme="minorHAnsi" w:hAnsiTheme="minorHAnsi" w:cstheme="minorBidi"/>
      <w:b/>
      <w:bCs/>
      <w:szCs w:val="24"/>
      <w:lang w:eastAsia="en-US"/>
    </w:rPr>
  </w:style>
  <w:style w:type="character" w:customStyle="1" w:styleId="Heading2Char">
    <w:name w:val="Heading 2 Char"/>
    <w:basedOn w:val="DefaultParagraphFont"/>
    <w:link w:val="Heading2"/>
    <w:rsid w:val="00851E10"/>
    <w:rPr>
      <w:rFonts w:ascii="Arial" w:hAnsi="Arial"/>
      <w:b/>
      <w:sz w:val="32"/>
    </w:rPr>
  </w:style>
  <w:style w:type="paragraph" w:customStyle="1" w:styleId="Body">
    <w:name w:val="Body"/>
    <w:basedOn w:val="BodyText"/>
    <w:rsid w:val="00851E10"/>
    <w:pPr>
      <w:spacing w:before="0" w:after="120" w:line="276" w:lineRule="auto"/>
      <w:jc w:val="left"/>
    </w:pPr>
    <w:rPr>
      <w:rFonts w:asciiTheme="minorHAnsi" w:eastAsiaTheme="minorHAnsi" w:hAnsiTheme="minorHAnsi" w:cstheme="minorBidi"/>
      <w:sz w:val="22"/>
      <w:szCs w:val="22"/>
    </w:rPr>
  </w:style>
  <w:style w:type="character" w:customStyle="1" w:styleId="FootnoteTextChar">
    <w:name w:val="Footnote Text Char"/>
    <w:basedOn w:val="DefaultParagraphFont"/>
    <w:link w:val="FootnoteText"/>
    <w:rsid w:val="00851E10"/>
    <w:rPr>
      <w:sz w:val="22"/>
    </w:rPr>
  </w:style>
  <w:style w:type="paragraph" w:customStyle="1" w:styleId="Pa21">
    <w:name w:val="Pa21"/>
    <w:basedOn w:val="Normal"/>
    <w:next w:val="Normal"/>
    <w:uiPriority w:val="99"/>
    <w:rsid w:val="00851E10"/>
    <w:pPr>
      <w:autoSpaceDE w:val="0"/>
      <w:autoSpaceDN w:val="0"/>
      <w:adjustRightInd w:val="0"/>
      <w:spacing w:line="201" w:lineRule="atLeast"/>
    </w:pPr>
    <w:rPr>
      <w:rFonts w:ascii="FFDIN" w:hAnsi="FFDIN"/>
      <w:sz w:val="24"/>
    </w:rPr>
  </w:style>
  <w:style w:type="paragraph" w:customStyle="1" w:styleId="Pa28">
    <w:name w:val="Pa28"/>
    <w:basedOn w:val="Normal"/>
    <w:next w:val="Normal"/>
    <w:uiPriority w:val="99"/>
    <w:rsid w:val="00851E10"/>
    <w:pPr>
      <w:autoSpaceDE w:val="0"/>
      <w:autoSpaceDN w:val="0"/>
      <w:adjustRightInd w:val="0"/>
      <w:spacing w:line="161" w:lineRule="atLeast"/>
    </w:pPr>
    <w:rPr>
      <w:rFonts w:ascii="FFDIN" w:hAnsi="FFDIN"/>
      <w:sz w:val="24"/>
    </w:rPr>
  </w:style>
  <w:style w:type="paragraph" w:customStyle="1" w:styleId="Pa26">
    <w:name w:val="Pa26"/>
    <w:basedOn w:val="Normal"/>
    <w:next w:val="Normal"/>
    <w:uiPriority w:val="99"/>
    <w:rsid w:val="00851E10"/>
    <w:pPr>
      <w:autoSpaceDE w:val="0"/>
      <w:autoSpaceDN w:val="0"/>
      <w:adjustRightInd w:val="0"/>
      <w:spacing w:line="161" w:lineRule="atLeast"/>
    </w:pPr>
    <w:rPr>
      <w:rFonts w:ascii="FFDIN" w:hAnsi="FFDIN"/>
      <w:sz w:val="24"/>
    </w:rPr>
  </w:style>
  <w:style w:type="paragraph" w:customStyle="1" w:styleId="Pa1">
    <w:name w:val="Pa1"/>
    <w:basedOn w:val="Default"/>
    <w:next w:val="Default"/>
    <w:uiPriority w:val="99"/>
    <w:rsid w:val="00877B7E"/>
    <w:pPr>
      <w:spacing w:line="181" w:lineRule="atLeast"/>
    </w:pPr>
    <w:rPr>
      <w:rFonts w:ascii="FFDIN" w:hAnsi="FFDIN" w:cs="Times New Roman"/>
      <w:color w:val="auto"/>
    </w:rPr>
  </w:style>
  <w:style w:type="paragraph" w:styleId="ListParagraph">
    <w:name w:val="List Paragraph"/>
    <w:basedOn w:val="Normal"/>
    <w:uiPriority w:val="34"/>
    <w:qFormat/>
    <w:rsid w:val="001E12D7"/>
    <w:pPr>
      <w:ind w:left="720"/>
    </w:pPr>
    <w:rPr>
      <w:rFonts w:ascii="Calibri" w:hAnsi="Calibri"/>
    </w:rPr>
  </w:style>
  <w:style w:type="paragraph" w:styleId="EndnoteText">
    <w:name w:val="endnote text"/>
    <w:basedOn w:val="Normal"/>
    <w:link w:val="EndnoteTextChar"/>
    <w:rsid w:val="0024371C"/>
    <w:rPr>
      <w:sz w:val="20"/>
      <w:szCs w:val="20"/>
    </w:rPr>
  </w:style>
  <w:style w:type="character" w:customStyle="1" w:styleId="EndnoteTextChar">
    <w:name w:val="Endnote Text Char"/>
    <w:basedOn w:val="DefaultParagraphFont"/>
    <w:link w:val="EndnoteText"/>
    <w:rsid w:val="0024371C"/>
    <w:rPr>
      <w:rFonts w:asciiTheme="minorHAnsi" w:eastAsiaTheme="minorHAnsi" w:hAnsiTheme="minorHAnsi" w:cstheme="minorBidi"/>
      <w:lang w:eastAsia="en-US"/>
    </w:rPr>
  </w:style>
  <w:style w:type="character" w:styleId="EndnoteReference">
    <w:name w:val="endnote reference"/>
    <w:basedOn w:val="DefaultParagraphFont"/>
    <w:rsid w:val="0024371C"/>
    <w:rPr>
      <w:vertAlign w:val="superscript"/>
    </w:rPr>
  </w:style>
  <w:style w:type="character" w:styleId="Hyperlink">
    <w:name w:val="Hyperlink"/>
    <w:basedOn w:val="DefaultParagraphFont"/>
    <w:rsid w:val="00A35E46"/>
    <w:rPr>
      <w:color w:val="0000FF" w:themeColor="hyperlink"/>
      <w:u w:val="single"/>
    </w:rPr>
  </w:style>
  <w:style w:type="character" w:styleId="FollowedHyperlink">
    <w:name w:val="FollowedHyperlink"/>
    <w:basedOn w:val="DefaultParagraphFont"/>
    <w:rsid w:val="00E466ED"/>
    <w:rPr>
      <w:color w:val="800080" w:themeColor="followedHyperlink"/>
      <w:u w:val="single"/>
    </w:rPr>
  </w:style>
  <w:style w:type="character" w:customStyle="1" w:styleId="NoteChar">
    <w:name w:val="Note Char"/>
    <w:basedOn w:val="BodyTextChar"/>
    <w:link w:val="Note"/>
    <w:rsid w:val="00321E44"/>
    <w:rPr>
      <w:rFonts w:ascii="Arial" w:hAnsi="Arial"/>
      <w:sz w:val="18"/>
    </w:rPr>
  </w:style>
  <w:style w:type="paragraph" w:customStyle="1" w:styleId="BoxSpace">
    <w:name w:val="Box Space"/>
    <w:basedOn w:val="BodyText"/>
    <w:rsid w:val="00B67A2D"/>
    <w:pPr>
      <w:keepNext/>
      <w:spacing w:before="360" w:line="80" w:lineRule="exact"/>
      <w:jc w:val="left"/>
    </w:pPr>
  </w:style>
  <w:style w:type="paragraph" w:customStyle="1" w:styleId="ms-rteelement-p">
    <w:name w:val="ms-rteelement-p"/>
    <w:basedOn w:val="Normal"/>
    <w:rsid w:val="00DE6918"/>
    <w:pPr>
      <w:spacing w:after="150" w:line="360" w:lineRule="atLeast"/>
    </w:pPr>
    <w:rPr>
      <w:color w:val="686868"/>
      <w:sz w:val="24"/>
    </w:rPr>
  </w:style>
  <w:style w:type="character" w:styleId="Strong">
    <w:name w:val="Strong"/>
    <w:basedOn w:val="DefaultParagraphFont"/>
    <w:uiPriority w:val="22"/>
    <w:qFormat/>
    <w:rsid w:val="00414E4D"/>
    <w:rPr>
      <w:b/>
      <w:bCs/>
    </w:rPr>
  </w:style>
  <w:style w:type="paragraph" w:styleId="Revision">
    <w:name w:val="Revision"/>
    <w:hidden/>
    <w:uiPriority w:val="99"/>
    <w:semiHidden/>
    <w:rsid w:val="003D16C7"/>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7244">
      <w:bodyDiv w:val="1"/>
      <w:marLeft w:val="0"/>
      <w:marRight w:val="0"/>
      <w:marTop w:val="0"/>
      <w:marBottom w:val="0"/>
      <w:divBdr>
        <w:top w:val="none" w:sz="0" w:space="0" w:color="auto"/>
        <w:left w:val="none" w:sz="0" w:space="0" w:color="auto"/>
        <w:bottom w:val="none" w:sz="0" w:space="0" w:color="auto"/>
        <w:right w:val="none" w:sz="0" w:space="0" w:color="auto"/>
      </w:divBdr>
      <w:divsChild>
        <w:div w:id="1058750071">
          <w:marLeft w:val="0"/>
          <w:marRight w:val="0"/>
          <w:marTop w:val="0"/>
          <w:marBottom w:val="0"/>
          <w:divBdr>
            <w:top w:val="none" w:sz="0" w:space="0" w:color="auto"/>
            <w:left w:val="none" w:sz="0" w:space="0" w:color="auto"/>
            <w:bottom w:val="none" w:sz="0" w:space="0" w:color="auto"/>
            <w:right w:val="none" w:sz="0" w:space="0" w:color="auto"/>
          </w:divBdr>
          <w:divsChild>
            <w:div w:id="1744568769">
              <w:marLeft w:val="0"/>
              <w:marRight w:val="0"/>
              <w:marTop w:val="100"/>
              <w:marBottom w:val="100"/>
              <w:divBdr>
                <w:top w:val="none" w:sz="0" w:space="0" w:color="auto"/>
                <w:left w:val="none" w:sz="0" w:space="0" w:color="auto"/>
                <w:bottom w:val="none" w:sz="0" w:space="0" w:color="auto"/>
                <w:right w:val="none" w:sz="0" w:space="0" w:color="auto"/>
              </w:divBdr>
              <w:divsChild>
                <w:div w:id="1591232293">
                  <w:marLeft w:val="0"/>
                  <w:marRight w:val="0"/>
                  <w:marTop w:val="0"/>
                  <w:marBottom w:val="0"/>
                  <w:divBdr>
                    <w:top w:val="none" w:sz="0" w:space="0" w:color="auto"/>
                    <w:left w:val="none" w:sz="0" w:space="0" w:color="auto"/>
                    <w:bottom w:val="none" w:sz="0" w:space="0" w:color="auto"/>
                    <w:right w:val="none" w:sz="0" w:space="0" w:color="auto"/>
                  </w:divBdr>
                  <w:divsChild>
                    <w:div w:id="1709572208">
                      <w:marLeft w:val="0"/>
                      <w:marRight w:val="0"/>
                      <w:marTop w:val="0"/>
                      <w:marBottom w:val="0"/>
                      <w:divBdr>
                        <w:top w:val="none" w:sz="0" w:space="0" w:color="auto"/>
                        <w:left w:val="none" w:sz="0" w:space="0" w:color="auto"/>
                        <w:bottom w:val="none" w:sz="0" w:space="0" w:color="auto"/>
                        <w:right w:val="none" w:sz="0" w:space="0" w:color="auto"/>
                      </w:divBdr>
                      <w:divsChild>
                        <w:div w:id="208349633">
                          <w:marLeft w:val="0"/>
                          <w:marRight w:val="0"/>
                          <w:marTop w:val="0"/>
                          <w:marBottom w:val="0"/>
                          <w:divBdr>
                            <w:top w:val="none" w:sz="0" w:space="0" w:color="auto"/>
                            <w:left w:val="none" w:sz="0" w:space="0" w:color="auto"/>
                            <w:bottom w:val="none" w:sz="0" w:space="0" w:color="auto"/>
                            <w:right w:val="none" w:sz="0" w:space="0" w:color="auto"/>
                          </w:divBdr>
                          <w:divsChild>
                            <w:div w:id="1565531005">
                              <w:marLeft w:val="0"/>
                              <w:marRight w:val="0"/>
                              <w:marTop w:val="0"/>
                              <w:marBottom w:val="0"/>
                              <w:divBdr>
                                <w:top w:val="none" w:sz="0" w:space="0" w:color="auto"/>
                                <w:left w:val="none" w:sz="0" w:space="0" w:color="auto"/>
                                <w:bottom w:val="none" w:sz="0" w:space="0" w:color="auto"/>
                                <w:right w:val="none" w:sz="0" w:space="0" w:color="auto"/>
                              </w:divBdr>
                              <w:divsChild>
                                <w:div w:id="440491811">
                                  <w:marLeft w:val="0"/>
                                  <w:marRight w:val="0"/>
                                  <w:marTop w:val="0"/>
                                  <w:marBottom w:val="0"/>
                                  <w:divBdr>
                                    <w:top w:val="none" w:sz="0" w:space="0" w:color="auto"/>
                                    <w:left w:val="none" w:sz="0" w:space="0" w:color="auto"/>
                                    <w:bottom w:val="none" w:sz="0" w:space="0" w:color="auto"/>
                                    <w:right w:val="none" w:sz="0" w:space="0" w:color="auto"/>
                                  </w:divBdr>
                                  <w:divsChild>
                                    <w:div w:id="149850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978500">
      <w:bodyDiv w:val="1"/>
      <w:marLeft w:val="0"/>
      <w:marRight w:val="0"/>
      <w:marTop w:val="0"/>
      <w:marBottom w:val="0"/>
      <w:divBdr>
        <w:top w:val="none" w:sz="0" w:space="0" w:color="auto"/>
        <w:left w:val="none" w:sz="0" w:space="0" w:color="auto"/>
        <w:bottom w:val="none" w:sz="0" w:space="0" w:color="auto"/>
        <w:right w:val="none" w:sz="0" w:space="0" w:color="auto"/>
      </w:divBdr>
      <w:divsChild>
        <w:div w:id="1712413105">
          <w:marLeft w:val="0"/>
          <w:marRight w:val="0"/>
          <w:marTop w:val="0"/>
          <w:marBottom w:val="0"/>
          <w:divBdr>
            <w:top w:val="none" w:sz="0" w:space="0" w:color="auto"/>
            <w:left w:val="single" w:sz="6" w:space="0" w:color="FFFFFF"/>
            <w:bottom w:val="none" w:sz="0" w:space="0" w:color="auto"/>
            <w:right w:val="single" w:sz="6" w:space="0" w:color="FFFFFF"/>
          </w:divBdr>
          <w:divsChild>
            <w:div w:id="1654336611">
              <w:marLeft w:val="0"/>
              <w:marRight w:val="0"/>
              <w:marTop w:val="0"/>
              <w:marBottom w:val="0"/>
              <w:divBdr>
                <w:top w:val="single" w:sz="6" w:space="0" w:color="FFFFFF"/>
                <w:left w:val="single" w:sz="6" w:space="17" w:color="FFFFFF"/>
                <w:bottom w:val="single" w:sz="6" w:space="0" w:color="FFFFFF"/>
                <w:right w:val="single" w:sz="6" w:space="17" w:color="FFFFFF"/>
              </w:divBdr>
              <w:divsChild>
                <w:div w:id="575896410">
                  <w:marLeft w:val="-345"/>
                  <w:marRight w:val="0"/>
                  <w:marTop w:val="0"/>
                  <w:marBottom w:val="0"/>
                  <w:divBdr>
                    <w:top w:val="none" w:sz="0" w:space="0" w:color="auto"/>
                    <w:left w:val="none" w:sz="0" w:space="0" w:color="auto"/>
                    <w:bottom w:val="none" w:sz="0" w:space="0" w:color="auto"/>
                    <w:right w:val="none" w:sz="0" w:space="0" w:color="auto"/>
                  </w:divBdr>
                  <w:divsChild>
                    <w:div w:id="1704089473">
                      <w:marLeft w:val="0"/>
                      <w:marRight w:val="0"/>
                      <w:marTop w:val="0"/>
                      <w:marBottom w:val="0"/>
                      <w:divBdr>
                        <w:top w:val="none" w:sz="0" w:space="0" w:color="auto"/>
                        <w:left w:val="none" w:sz="0" w:space="0" w:color="auto"/>
                        <w:bottom w:val="none" w:sz="0" w:space="0" w:color="auto"/>
                        <w:right w:val="none" w:sz="0" w:space="0" w:color="auto"/>
                      </w:divBdr>
                      <w:divsChild>
                        <w:div w:id="662388883">
                          <w:marLeft w:val="0"/>
                          <w:marRight w:val="0"/>
                          <w:marTop w:val="0"/>
                          <w:marBottom w:val="0"/>
                          <w:divBdr>
                            <w:top w:val="none" w:sz="0" w:space="0" w:color="auto"/>
                            <w:left w:val="none" w:sz="0" w:space="0" w:color="auto"/>
                            <w:bottom w:val="none" w:sz="0" w:space="0" w:color="auto"/>
                            <w:right w:val="none" w:sz="0" w:space="0" w:color="auto"/>
                          </w:divBdr>
                          <w:divsChild>
                            <w:div w:id="1962036250">
                              <w:marLeft w:val="0"/>
                              <w:marRight w:val="0"/>
                              <w:marTop w:val="0"/>
                              <w:marBottom w:val="0"/>
                              <w:divBdr>
                                <w:top w:val="none" w:sz="0" w:space="0" w:color="auto"/>
                                <w:left w:val="none" w:sz="0" w:space="0" w:color="auto"/>
                                <w:bottom w:val="none" w:sz="0" w:space="0" w:color="auto"/>
                                <w:right w:val="none" w:sz="0" w:space="0" w:color="auto"/>
                              </w:divBdr>
                              <w:divsChild>
                                <w:div w:id="83022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8321">
      <w:bodyDiv w:val="1"/>
      <w:marLeft w:val="0"/>
      <w:marRight w:val="0"/>
      <w:marTop w:val="0"/>
      <w:marBottom w:val="0"/>
      <w:divBdr>
        <w:top w:val="none" w:sz="0" w:space="0" w:color="auto"/>
        <w:left w:val="none" w:sz="0" w:space="0" w:color="auto"/>
        <w:bottom w:val="none" w:sz="0" w:space="0" w:color="auto"/>
        <w:right w:val="none" w:sz="0" w:space="0" w:color="auto"/>
      </w:divBdr>
      <w:divsChild>
        <w:div w:id="1428768117">
          <w:marLeft w:val="0"/>
          <w:marRight w:val="0"/>
          <w:marTop w:val="0"/>
          <w:marBottom w:val="0"/>
          <w:divBdr>
            <w:top w:val="none" w:sz="0" w:space="0" w:color="auto"/>
            <w:left w:val="none" w:sz="0" w:space="0" w:color="auto"/>
            <w:bottom w:val="none" w:sz="0" w:space="0" w:color="auto"/>
            <w:right w:val="none" w:sz="0" w:space="0" w:color="auto"/>
          </w:divBdr>
        </w:div>
        <w:div w:id="723870599">
          <w:marLeft w:val="0"/>
          <w:marRight w:val="0"/>
          <w:marTop w:val="0"/>
          <w:marBottom w:val="0"/>
          <w:divBdr>
            <w:top w:val="none" w:sz="0" w:space="0" w:color="auto"/>
            <w:left w:val="none" w:sz="0" w:space="0" w:color="auto"/>
            <w:bottom w:val="none" w:sz="0" w:space="0" w:color="auto"/>
            <w:right w:val="none" w:sz="0" w:space="0" w:color="auto"/>
          </w:divBdr>
        </w:div>
        <w:div w:id="1251082627">
          <w:marLeft w:val="0"/>
          <w:marRight w:val="0"/>
          <w:marTop w:val="0"/>
          <w:marBottom w:val="0"/>
          <w:divBdr>
            <w:top w:val="none" w:sz="0" w:space="0" w:color="auto"/>
            <w:left w:val="none" w:sz="0" w:space="0" w:color="auto"/>
            <w:bottom w:val="none" w:sz="0" w:space="0" w:color="auto"/>
            <w:right w:val="none" w:sz="0" w:space="0" w:color="auto"/>
          </w:divBdr>
        </w:div>
        <w:div w:id="116292930">
          <w:marLeft w:val="0"/>
          <w:marRight w:val="0"/>
          <w:marTop w:val="0"/>
          <w:marBottom w:val="0"/>
          <w:divBdr>
            <w:top w:val="none" w:sz="0" w:space="0" w:color="auto"/>
            <w:left w:val="none" w:sz="0" w:space="0" w:color="auto"/>
            <w:bottom w:val="none" w:sz="0" w:space="0" w:color="auto"/>
            <w:right w:val="none" w:sz="0" w:space="0" w:color="auto"/>
          </w:divBdr>
        </w:div>
        <w:div w:id="203950757">
          <w:marLeft w:val="0"/>
          <w:marRight w:val="0"/>
          <w:marTop w:val="0"/>
          <w:marBottom w:val="0"/>
          <w:divBdr>
            <w:top w:val="none" w:sz="0" w:space="0" w:color="auto"/>
            <w:left w:val="none" w:sz="0" w:space="0" w:color="auto"/>
            <w:bottom w:val="none" w:sz="0" w:space="0" w:color="auto"/>
            <w:right w:val="none" w:sz="0" w:space="0" w:color="auto"/>
          </w:divBdr>
        </w:div>
        <w:div w:id="1511681974">
          <w:marLeft w:val="0"/>
          <w:marRight w:val="0"/>
          <w:marTop w:val="0"/>
          <w:marBottom w:val="0"/>
          <w:divBdr>
            <w:top w:val="none" w:sz="0" w:space="0" w:color="auto"/>
            <w:left w:val="none" w:sz="0" w:space="0" w:color="auto"/>
            <w:bottom w:val="none" w:sz="0" w:space="0" w:color="auto"/>
            <w:right w:val="none" w:sz="0" w:space="0" w:color="auto"/>
          </w:divBdr>
        </w:div>
        <w:div w:id="1000740999">
          <w:marLeft w:val="0"/>
          <w:marRight w:val="0"/>
          <w:marTop w:val="0"/>
          <w:marBottom w:val="0"/>
          <w:divBdr>
            <w:top w:val="none" w:sz="0" w:space="0" w:color="auto"/>
            <w:left w:val="none" w:sz="0" w:space="0" w:color="auto"/>
            <w:bottom w:val="none" w:sz="0" w:space="0" w:color="auto"/>
            <w:right w:val="none" w:sz="0" w:space="0" w:color="auto"/>
          </w:divBdr>
        </w:div>
      </w:divsChild>
    </w:div>
    <w:div w:id="194469373">
      <w:bodyDiv w:val="1"/>
      <w:marLeft w:val="0"/>
      <w:marRight w:val="0"/>
      <w:marTop w:val="0"/>
      <w:marBottom w:val="0"/>
      <w:divBdr>
        <w:top w:val="none" w:sz="0" w:space="0" w:color="auto"/>
        <w:left w:val="none" w:sz="0" w:space="0" w:color="auto"/>
        <w:bottom w:val="none" w:sz="0" w:space="0" w:color="auto"/>
        <w:right w:val="none" w:sz="0" w:space="0" w:color="auto"/>
      </w:divBdr>
    </w:div>
    <w:div w:id="221060180">
      <w:bodyDiv w:val="1"/>
      <w:marLeft w:val="0"/>
      <w:marRight w:val="0"/>
      <w:marTop w:val="0"/>
      <w:marBottom w:val="0"/>
      <w:divBdr>
        <w:top w:val="none" w:sz="0" w:space="0" w:color="auto"/>
        <w:left w:val="none" w:sz="0" w:space="0" w:color="auto"/>
        <w:bottom w:val="none" w:sz="0" w:space="0" w:color="auto"/>
        <w:right w:val="none" w:sz="0" w:space="0" w:color="auto"/>
      </w:divBdr>
    </w:div>
    <w:div w:id="226766230">
      <w:bodyDiv w:val="1"/>
      <w:marLeft w:val="0"/>
      <w:marRight w:val="0"/>
      <w:marTop w:val="0"/>
      <w:marBottom w:val="0"/>
      <w:divBdr>
        <w:top w:val="none" w:sz="0" w:space="0" w:color="auto"/>
        <w:left w:val="none" w:sz="0" w:space="0" w:color="auto"/>
        <w:bottom w:val="none" w:sz="0" w:space="0" w:color="auto"/>
        <w:right w:val="none" w:sz="0" w:space="0" w:color="auto"/>
      </w:divBdr>
    </w:div>
    <w:div w:id="232666370">
      <w:bodyDiv w:val="1"/>
      <w:marLeft w:val="0"/>
      <w:marRight w:val="0"/>
      <w:marTop w:val="0"/>
      <w:marBottom w:val="0"/>
      <w:divBdr>
        <w:top w:val="none" w:sz="0" w:space="0" w:color="auto"/>
        <w:left w:val="none" w:sz="0" w:space="0" w:color="auto"/>
        <w:bottom w:val="none" w:sz="0" w:space="0" w:color="auto"/>
        <w:right w:val="none" w:sz="0" w:space="0" w:color="auto"/>
      </w:divBdr>
    </w:div>
    <w:div w:id="332031162">
      <w:bodyDiv w:val="1"/>
      <w:marLeft w:val="0"/>
      <w:marRight w:val="0"/>
      <w:marTop w:val="0"/>
      <w:marBottom w:val="0"/>
      <w:divBdr>
        <w:top w:val="none" w:sz="0" w:space="0" w:color="auto"/>
        <w:left w:val="none" w:sz="0" w:space="0" w:color="auto"/>
        <w:bottom w:val="none" w:sz="0" w:space="0" w:color="auto"/>
        <w:right w:val="none" w:sz="0" w:space="0" w:color="auto"/>
      </w:divBdr>
    </w:div>
    <w:div w:id="332416481">
      <w:bodyDiv w:val="1"/>
      <w:marLeft w:val="0"/>
      <w:marRight w:val="0"/>
      <w:marTop w:val="0"/>
      <w:marBottom w:val="0"/>
      <w:divBdr>
        <w:top w:val="none" w:sz="0" w:space="0" w:color="auto"/>
        <w:left w:val="none" w:sz="0" w:space="0" w:color="auto"/>
        <w:bottom w:val="none" w:sz="0" w:space="0" w:color="auto"/>
        <w:right w:val="none" w:sz="0" w:space="0" w:color="auto"/>
      </w:divBdr>
      <w:divsChild>
        <w:div w:id="1439636498">
          <w:marLeft w:val="0"/>
          <w:marRight w:val="0"/>
          <w:marTop w:val="0"/>
          <w:marBottom w:val="0"/>
          <w:divBdr>
            <w:top w:val="none" w:sz="0" w:space="0" w:color="auto"/>
            <w:left w:val="none" w:sz="0" w:space="0" w:color="auto"/>
            <w:bottom w:val="none" w:sz="0" w:space="0" w:color="auto"/>
            <w:right w:val="none" w:sz="0" w:space="0" w:color="auto"/>
          </w:divBdr>
        </w:div>
        <w:div w:id="1633510741">
          <w:marLeft w:val="0"/>
          <w:marRight w:val="0"/>
          <w:marTop w:val="0"/>
          <w:marBottom w:val="0"/>
          <w:divBdr>
            <w:top w:val="none" w:sz="0" w:space="0" w:color="auto"/>
            <w:left w:val="none" w:sz="0" w:space="0" w:color="auto"/>
            <w:bottom w:val="none" w:sz="0" w:space="0" w:color="auto"/>
            <w:right w:val="none" w:sz="0" w:space="0" w:color="auto"/>
          </w:divBdr>
        </w:div>
      </w:divsChild>
    </w:div>
    <w:div w:id="358048162">
      <w:bodyDiv w:val="1"/>
      <w:marLeft w:val="0"/>
      <w:marRight w:val="0"/>
      <w:marTop w:val="0"/>
      <w:marBottom w:val="0"/>
      <w:divBdr>
        <w:top w:val="none" w:sz="0" w:space="0" w:color="auto"/>
        <w:left w:val="none" w:sz="0" w:space="0" w:color="auto"/>
        <w:bottom w:val="none" w:sz="0" w:space="0" w:color="auto"/>
        <w:right w:val="none" w:sz="0" w:space="0" w:color="auto"/>
      </w:divBdr>
    </w:div>
    <w:div w:id="362095797">
      <w:bodyDiv w:val="1"/>
      <w:marLeft w:val="0"/>
      <w:marRight w:val="0"/>
      <w:marTop w:val="0"/>
      <w:marBottom w:val="0"/>
      <w:divBdr>
        <w:top w:val="none" w:sz="0" w:space="0" w:color="auto"/>
        <w:left w:val="none" w:sz="0" w:space="0" w:color="auto"/>
        <w:bottom w:val="none" w:sz="0" w:space="0" w:color="auto"/>
        <w:right w:val="none" w:sz="0" w:space="0" w:color="auto"/>
      </w:divBdr>
    </w:div>
    <w:div w:id="406268505">
      <w:bodyDiv w:val="1"/>
      <w:marLeft w:val="0"/>
      <w:marRight w:val="0"/>
      <w:marTop w:val="0"/>
      <w:marBottom w:val="0"/>
      <w:divBdr>
        <w:top w:val="none" w:sz="0" w:space="0" w:color="auto"/>
        <w:left w:val="none" w:sz="0" w:space="0" w:color="auto"/>
        <w:bottom w:val="none" w:sz="0" w:space="0" w:color="auto"/>
        <w:right w:val="none" w:sz="0" w:space="0" w:color="auto"/>
      </w:divBdr>
      <w:divsChild>
        <w:div w:id="290021166">
          <w:marLeft w:val="0"/>
          <w:marRight w:val="0"/>
          <w:marTop w:val="0"/>
          <w:marBottom w:val="0"/>
          <w:divBdr>
            <w:top w:val="none" w:sz="0" w:space="0" w:color="auto"/>
            <w:left w:val="none" w:sz="0" w:space="0" w:color="auto"/>
            <w:bottom w:val="none" w:sz="0" w:space="0" w:color="auto"/>
            <w:right w:val="none" w:sz="0" w:space="0" w:color="auto"/>
          </w:divBdr>
          <w:divsChild>
            <w:div w:id="1934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894498">
      <w:bodyDiv w:val="1"/>
      <w:marLeft w:val="0"/>
      <w:marRight w:val="0"/>
      <w:marTop w:val="0"/>
      <w:marBottom w:val="0"/>
      <w:divBdr>
        <w:top w:val="none" w:sz="0" w:space="0" w:color="auto"/>
        <w:left w:val="none" w:sz="0" w:space="0" w:color="auto"/>
        <w:bottom w:val="none" w:sz="0" w:space="0" w:color="auto"/>
        <w:right w:val="none" w:sz="0" w:space="0" w:color="auto"/>
      </w:divBdr>
    </w:div>
    <w:div w:id="607351070">
      <w:bodyDiv w:val="1"/>
      <w:marLeft w:val="0"/>
      <w:marRight w:val="0"/>
      <w:marTop w:val="0"/>
      <w:marBottom w:val="0"/>
      <w:divBdr>
        <w:top w:val="none" w:sz="0" w:space="0" w:color="auto"/>
        <w:left w:val="none" w:sz="0" w:space="0" w:color="auto"/>
        <w:bottom w:val="none" w:sz="0" w:space="0" w:color="auto"/>
        <w:right w:val="none" w:sz="0" w:space="0" w:color="auto"/>
      </w:divBdr>
      <w:divsChild>
        <w:div w:id="1865246247">
          <w:marLeft w:val="0"/>
          <w:marRight w:val="0"/>
          <w:marTop w:val="0"/>
          <w:marBottom w:val="0"/>
          <w:divBdr>
            <w:top w:val="none" w:sz="0" w:space="0" w:color="auto"/>
            <w:left w:val="none" w:sz="0" w:space="0" w:color="auto"/>
            <w:bottom w:val="none" w:sz="0" w:space="0" w:color="auto"/>
            <w:right w:val="none" w:sz="0" w:space="0" w:color="auto"/>
          </w:divBdr>
        </w:div>
        <w:div w:id="7143744">
          <w:marLeft w:val="0"/>
          <w:marRight w:val="0"/>
          <w:marTop w:val="0"/>
          <w:marBottom w:val="0"/>
          <w:divBdr>
            <w:top w:val="none" w:sz="0" w:space="0" w:color="auto"/>
            <w:left w:val="none" w:sz="0" w:space="0" w:color="auto"/>
            <w:bottom w:val="none" w:sz="0" w:space="0" w:color="auto"/>
            <w:right w:val="none" w:sz="0" w:space="0" w:color="auto"/>
          </w:divBdr>
        </w:div>
        <w:div w:id="252204262">
          <w:marLeft w:val="0"/>
          <w:marRight w:val="0"/>
          <w:marTop w:val="0"/>
          <w:marBottom w:val="0"/>
          <w:divBdr>
            <w:top w:val="none" w:sz="0" w:space="0" w:color="auto"/>
            <w:left w:val="none" w:sz="0" w:space="0" w:color="auto"/>
            <w:bottom w:val="none" w:sz="0" w:space="0" w:color="auto"/>
            <w:right w:val="none" w:sz="0" w:space="0" w:color="auto"/>
          </w:divBdr>
        </w:div>
        <w:div w:id="607204019">
          <w:marLeft w:val="0"/>
          <w:marRight w:val="0"/>
          <w:marTop w:val="0"/>
          <w:marBottom w:val="0"/>
          <w:divBdr>
            <w:top w:val="none" w:sz="0" w:space="0" w:color="auto"/>
            <w:left w:val="none" w:sz="0" w:space="0" w:color="auto"/>
            <w:bottom w:val="none" w:sz="0" w:space="0" w:color="auto"/>
            <w:right w:val="none" w:sz="0" w:space="0" w:color="auto"/>
          </w:divBdr>
        </w:div>
      </w:divsChild>
    </w:div>
    <w:div w:id="673844117">
      <w:bodyDiv w:val="1"/>
      <w:marLeft w:val="0"/>
      <w:marRight w:val="0"/>
      <w:marTop w:val="0"/>
      <w:marBottom w:val="0"/>
      <w:divBdr>
        <w:top w:val="none" w:sz="0" w:space="0" w:color="auto"/>
        <w:left w:val="none" w:sz="0" w:space="0" w:color="auto"/>
        <w:bottom w:val="none" w:sz="0" w:space="0" w:color="auto"/>
        <w:right w:val="none" w:sz="0" w:space="0" w:color="auto"/>
      </w:divBdr>
      <w:divsChild>
        <w:div w:id="1439762290">
          <w:marLeft w:val="0"/>
          <w:marRight w:val="0"/>
          <w:marTop w:val="0"/>
          <w:marBottom w:val="0"/>
          <w:divBdr>
            <w:top w:val="none" w:sz="0" w:space="0" w:color="auto"/>
            <w:left w:val="none" w:sz="0" w:space="0" w:color="auto"/>
            <w:bottom w:val="none" w:sz="0" w:space="0" w:color="auto"/>
            <w:right w:val="none" w:sz="0" w:space="0" w:color="auto"/>
          </w:divBdr>
          <w:divsChild>
            <w:div w:id="1791899964">
              <w:marLeft w:val="0"/>
              <w:marRight w:val="0"/>
              <w:marTop w:val="0"/>
              <w:marBottom w:val="0"/>
              <w:divBdr>
                <w:top w:val="none" w:sz="0" w:space="0" w:color="auto"/>
                <w:left w:val="none" w:sz="0" w:space="0" w:color="auto"/>
                <w:bottom w:val="none" w:sz="0" w:space="0" w:color="auto"/>
                <w:right w:val="none" w:sz="0" w:space="0" w:color="auto"/>
              </w:divBdr>
              <w:divsChild>
                <w:div w:id="1333753447">
                  <w:marLeft w:val="0"/>
                  <w:marRight w:val="0"/>
                  <w:marTop w:val="0"/>
                  <w:marBottom w:val="0"/>
                  <w:divBdr>
                    <w:top w:val="none" w:sz="0" w:space="0" w:color="auto"/>
                    <w:left w:val="none" w:sz="0" w:space="0" w:color="auto"/>
                    <w:bottom w:val="none" w:sz="0" w:space="0" w:color="auto"/>
                    <w:right w:val="none" w:sz="0" w:space="0" w:color="auto"/>
                  </w:divBdr>
                  <w:divsChild>
                    <w:div w:id="675155284">
                      <w:marLeft w:val="0"/>
                      <w:marRight w:val="0"/>
                      <w:marTop w:val="0"/>
                      <w:marBottom w:val="0"/>
                      <w:divBdr>
                        <w:top w:val="none" w:sz="0" w:space="0" w:color="auto"/>
                        <w:left w:val="none" w:sz="0" w:space="0" w:color="auto"/>
                        <w:bottom w:val="none" w:sz="0" w:space="0" w:color="auto"/>
                        <w:right w:val="none" w:sz="0" w:space="0" w:color="auto"/>
                      </w:divBdr>
                      <w:divsChild>
                        <w:div w:id="413940084">
                          <w:marLeft w:val="0"/>
                          <w:marRight w:val="0"/>
                          <w:marTop w:val="100"/>
                          <w:marBottom w:val="100"/>
                          <w:divBdr>
                            <w:top w:val="none" w:sz="0" w:space="0" w:color="auto"/>
                            <w:left w:val="none" w:sz="0" w:space="0" w:color="auto"/>
                            <w:bottom w:val="none" w:sz="0" w:space="0" w:color="auto"/>
                            <w:right w:val="none" w:sz="0" w:space="0" w:color="auto"/>
                          </w:divBdr>
                          <w:divsChild>
                            <w:div w:id="1080906255">
                              <w:marLeft w:val="0"/>
                              <w:marRight w:val="0"/>
                              <w:marTop w:val="0"/>
                              <w:marBottom w:val="0"/>
                              <w:divBdr>
                                <w:top w:val="none" w:sz="0" w:space="0" w:color="auto"/>
                                <w:left w:val="none" w:sz="0" w:space="0" w:color="auto"/>
                                <w:bottom w:val="none" w:sz="0" w:space="0" w:color="auto"/>
                                <w:right w:val="none" w:sz="0" w:space="0" w:color="auto"/>
                              </w:divBdr>
                              <w:divsChild>
                                <w:div w:id="1983580686">
                                  <w:marLeft w:val="0"/>
                                  <w:marRight w:val="0"/>
                                  <w:marTop w:val="0"/>
                                  <w:marBottom w:val="0"/>
                                  <w:divBdr>
                                    <w:top w:val="none" w:sz="0" w:space="0" w:color="auto"/>
                                    <w:left w:val="none" w:sz="0" w:space="0" w:color="auto"/>
                                    <w:bottom w:val="none" w:sz="0" w:space="0" w:color="auto"/>
                                    <w:right w:val="none" w:sz="0" w:space="0" w:color="auto"/>
                                  </w:divBdr>
                                  <w:divsChild>
                                    <w:div w:id="221647369">
                                      <w:marLeft w:val="0"/>
                                      <w:marRight w:val="0"/>
                                      <w:marTop w:val="75"/>
                                      <w:marBottom w:val="0"/>
                                      <w:divBdr>
                                        <w:top w:val="none" w:sz="0" w:space="0" w:color="auto"/>
                                        <w:left w:val="none" w:sz="0" w:space="0" w:color="auto"/>
                                        <w:bottom w:val="none" w:sz="0" w:space="0" w:color="auto"/>
                                        <w:right w:val="none" w:sz="0" w:space="0" w:color="auto"/>
                                      </w:divBdr>
                                      <w:divsChild>
                                        <w:div w:id="87119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435339">
      <w:bodyDiv w:val="1"/>
      <w:marLeft w:val="0"/>
      <w:marRight w:val="0"/>
      <w:marTop w:val="0"/>
      <w:marBottom w:val="0"/>
      <w:divBdr>
        <w:top w:val="none" w:sz="0" w:space="0" w:color="auto"/>
        <w:left w:val="none" w:sz="0" w:space="0" w:color="auto"/>
        <w:bottom w:val="none" w:sz="0" w:space="0" w:color="auto"/>
        <w:right w:val="none" w:sz="0" w:space="0" w:color="auto"/>
      </w:divBdr>
    </w:div>
    <w:div w:id="689184004">
      <w:bodyDiv w:val="1"/>
      <w:marLeft w:val="0"/>
      <w:marRight w:val="0"/>
      <w:marTop w:val="0"/>
      <w:marBottom w:val="0"/>
      <w:divBdr>
        <w:top w:val="none" w:sz="0" w:space="0" w:color="auto"/>
        <w:left w:val="none" w:sz="0" w:space="0" w:color="auto"/>
        <w:bottom w:val="none" w:sz="0" w:space="0" w:color="auto"/>
        <w:right w:val="none" w:sz="0" w:space="0" w:color="auto"/>
      </w:divBdr>
    </w:div>
    <w:div w:id="718552546">
      <w:bodyDiv w:val="1"/>
      <w:marLeft w:val="0"/>
      <w:marRight w:val="0"/>
      <w:marTop w:val="0"/>
      <w:marBottom w:val="0"/>
      <w:divBdr>
        <w:top w:val="none" w:sz="0" w:space="0" w:color="auto"/>
        <w:left w:val="none" w:sz="0" w:space="0" w:color="auto"/>
        <w:bottom w:val="none" w:sz="0" w:space="0" w:color="auto"/>
        <w:right w:val="none" w:sz="0" w:space="0" w:color="auto"/>
      </w:divBdr>
    </w:div>
    <w:div w:id="819687954">
      <w:bodyDiv w:val="1"/>
      <w:marLeft w:val="0"/>
      <w:marRight w:val="0"/>
      <w:marTop w:val="0"/>
      <w:marBottom w:val="0"/>
      <w:divBdr>
        <w:top w:val="none" w:sz="0" w:space="0" w:color="auto"/>
        <w:left w:val="none" w:sz="0" w:space="0" w:color="auto"/>
        <w:bottom w:val="none" w:sz="0" w:space="0" w:color="auto"/>
        <w:right w:val="none" w:sz="0" w:space="0" w:color="auto"/>
      </w:divBdr>
    </w:div>
    <w:div w:id="942035110">
      <w:bodyDiv w:val="1"/>
      <w:marLeft w:val="0"/>
      <w:marRight w:val="0"/>
      <w:marTop w:val="0"/>
      <w:marBottom w:val="0"/>
      <w:divBdr>
        <w:top w:val="none" w:sz="0" w:space="0" w:color="auto"/>
        <w:left w:val="none" w:sz="0" w:space="0" w:color="auto"/>
        <w:bottom w:val="none" w:sz="0" w:space="0" w:color="auto"/>
        <w:right w:val="none" w:sz="0" w:space="0" w:color="auto"/>
      </w:divBdr>
    </w:div>
    <w:div w:id="1063984957">
      <w:bodyDiv w:val="1"/>
      <w:marLeft w:val="0"/>
      <w:marRight w:val="0"/>
      <w:marTop w:val="0"/>
      <w:marBottom w:val="0"/>
      <w:divBdr>
        <w:top w:val="none" w:sz="0" w:space="0" w:color="auto"/>
        <w:left w:val="none" w:sz="0" w:space="0" w:color="auto"/>
        <w:bottom w:val="none" w:sz="0" w:space="0" w:color="auto"/>
        <w:right w:val="none" w:sz="0" w:space="0" w:color="auto"/>
      </w:divBdr>
    </w:div>
    <w:div w:id="1147549983">
      <w:bodyDiv w:val="1"/>
      <w:marLeft w:val="0"/>
      <w:marRight w:val="0"/>
      <w:marTop w:val="0"/>
      <w:marBottom w:val="0"/>
      <w:divBdr>
        <w:top w:val="none" w:sz="0" w:space="0" w:color="auto"/>
        <w:left w:val="none" w:sz="0" w:space="0" w:color="auto"/>
        <w:bottom w:val="none" w:sz="0" w:space="0" w:color="auto"/>
        <w:right w:val="none" w:sz="0" w:space="0" w:color="auto"/>
      </w:divBdr>
    </w:div>
    <w:div w:id="1148353561">
      <w:bodyDiv w:val="1"/>
      <w:marLeft w:val="0"/>
      <w:marRight w:val="0"/>
      <w:marTop w:val="0"/>
      <w:marBottom w:val="0"/>
      <w:divBdr>
        <w:top w:val="none" w:sz="0" w:space="0" w:color="auto"/>
        <w:left w:val="none" w:sz="0" w:space="0" w:color="auto"/>
        <w:bottom w:val="none" w:sz="0" w:space="0" w:color="auto"/>
        <w:right w:val="none" w:sz="0" w:space="0" w:color="auto"/>
      </w:divBdr>
    </w:div>
    <w:div w:id="1180580366">
      <w:bodyDiv w:val="1"/>
      <w:marLeft w:val="0"/>
      <w:marRight w:val="0"/>
      <w:marTop w:val="0"/>
      <w:marBottom w:val="0"/>
      <w:divBdr>
        <w:top w:val="none" w:sz="0" w:space="0" w:color="auto"/>
        <w:left w:val="none" w:sz="0" w:space="0" w:color="auto"/>
        <w:bottom w:val="none" w:sz="0" w:space="0" w:color="auto"/>
        <w:right w:val="none" w:sz="0" w:space="0" w:color="auto"/>
      </w:divBdr>
    </w:div>
    <w:div w:id="1255941436">
      <w:bodyDiv w:val="1"/>
      <w:marLeft w:val="0"/>
      <w:marRight w:val="0"/>
      <w:marTop w:val="0"/>
      <w:marBottom w:val="0"/>
      <w:divBdr>
        <w:top w:val="none" w:sz="0" w:space="0" w:color="auto"/>
        <w:left w:val="none" w:sz="0" w:space="0" w:color="auto"/>
        <w:bottom w:val="none" w:sz="0" w:space="0" w:color="auto"/>
        <w:right w:val="none" w:sz="0" w:space="0" w:color="auto"/>
      </w:divBdr>
    </w:div>
    <w:div w:id="1286425833">
      <w:bodyDiv w:val="1"/>
      <w:marLeft w:val="0"/>
      <w:marRight w:val="0"/>
      <w:marTop w:val="0"/>
      <w:marBottom w:val="0"/>
      <w:divBdr>
        <w:top w:val="none" w:sz="0" w:space="0" w:color="auto"/>
        <w:left w:val="none" w:sz="0" w:space="0" w:color="auto"/>
        <w:bottom w:val="none" w:sz="0" w:space="0" w:color="auto"/>
        <w:right w:val="none" w:sz="0" w:space="0" w:color="auto"/>
      </w:divBdr>
    </w:div>
    <w:div w:id="1359116521">
      <w:bodyDiv w:val="1"/>
      <w:marLeft w:val="0"/>
      <w:marRight w:val="0"/>
      <w:marTop w:val="0"/>
      <w:marBottom w:val="0"/>
      <w:divBdr>
        <w:top w:val="none" w:sz="0" w:space="0" w:color="auto"/>
        <w:left w:val="none" w:sz="0" w:space="0" w:color="auto"/>
        <w:bottom w:val="none" w:sz="0" w:space="0" w:color="auto"/>
        <w:right w:val="none" w:sz="0" w:space="0" w:color="auto"/>
      </w:divBdr>
      <w:divsChild>
        <w:div w:id="460684412">
          <w:marLeft w:val="0"/>
          <w:marRight w:val="0"/>
          <w:marTop w:val="0"/>
          <w:marBottom w:val="0"/>
          <w:divBdr>
            <w:top w:val="none" w:sz="0" w:space="0" w:color="auto"/>
            <w:left w:val="none" w:sz="0" w:space="0" w:color="auto"/>
            <w:bottom w:val="none" w:sz="0" w:space="0" w:color="auto"/>
            <w:right w:val="none" w:sz="0" w:space="0" w:color="auto"/>
          </w:divBdr>
          <w:divsChild>
            <w:div w:id="694035189">
              <w:marLeft w:val="0"/>
              <w:marRight w:val="0"/>
              <w:marTop w:val="0"/>
              <w:marBottom w:val="0"/>
              <w:divBdr>
                <w:top w:val="none" w:sz="0" w:space="0" w:color="auto"/>
                <w:left w:val="none" w:sz="0" w:space="0" w:color="auto"/>
                <w:bottom w:val="none" w:sz="0" w:space="0" w:color="auto"/>
                <w:right w:val="none" w:sz="0" w:space="0" w:color="auto"/>
              </w:divBdr>
              <w:divsChild>
                <w:div w:id="327176709">
                  <w:marLeft w:val="0"/>
                  <w:marRight w:val="0"/>
                  <w:marTop w:val="0"/>
                  <w:marBottom w:val="0"/>
                  <w:divBdr>
                    <w:top w:val="none" w:sz="0" w:space="0" w:color="auto"/>
                    <w:left w:val="none" w:sz="0" w:space="0" w:color="auto"/>
                    <w:bottom w:val="none" w:sz="0" w:space="0" w:color="auto"/>
                    <w:right w:val="none" w:sz="0" w:space="0" w:color="auto"/>
                  </w:divBdr>
                  <w:divsChild>
                    <w:div w:id="1482697141">
                      <w:marLeft w:val="0"/>
                      <w:marRight w:val="0"/>
                      <w:marTop w:val="0"/>
                      <w:marBottom w:val="0"/>
                      <w:divBdr>
                        <w:top w:val="none" w:sz="0" w:space="0" w:color="auto"/>
                        <w:left w:val="none" w:sz="0" w:space="0" w:color="auto"/>
                        <w:bottom w:val="none" w:sz="0" w:space="0" w:color="auto"/>
                        <w:right w:val="none" w:sz="0" w:space="0" w:color="auto"/>
                      </w:divBdr>
                      <w:divsChild>
                        <w:div w:id="1210612797">
                          <w:marLeft w:val="0"/>
                          <w:marRight w:val="0"/>
                          <w:marTop w:val="100"/>
                          <w:marBottom w:val="100"/>
                          <w:divBdr>
                            <w:top w:val="none" w:sz="0" w:space="0" w:color="auto"/>
                            <w:left w:val="none" w:sz="0" w:space="0" w:color="auto"/>
                            <w:bottom w:val="none" w:sz="0" w:space="0" w:color="auto"/>
                            <w:right w:val="none" w:sz="0" w:space="0" w:color="auto"/>
                          </w:divBdr>
                          <w:divsChild>
                            <w:div w:id="596645217">
                              <w:marLeft w:val="0"/>
                              <w:marRight w:val="0"/>
                              <w:marTop w:val="0"/>
                              <w:marBottom w:val="0"/>
                              <w:divBdr>
                                <w:top w:val="none" w:sz="0" w:space="0" w:color="auto"/>
                                <w:left w:val="none" w:sz="0" w:space="0" w:color="auto"/>
                                <w:bottom w:val="none" w:sz="0" w:space="0" w:color="auto"/>
                                <w:right w:val="none" w:sz="0" w:space="0" w:color="auto"/>
                              </w:divBdr>
                              <w:divsChild>
                                <w:div w:id="1237865242">
                                  <w:marLeft w:val="0"/>
                                  <w:marRight w:val="0"/>
                                  <w:marTop w:val="0"/>
                                  <w:marBottom w:val="0"/>
                                  <w:divBdr>
                                    <w:top w:val="none" w:sz="0" w:space="0" w:color="auto"/>
                                    <w:left w:val="none" w:sz="0" w:space="0" w:color="auto"/>
                                    <w:bottom w:val="none" w:sz="0" w:space="0" w:color="auto"/>
                                    <w:right w:val="none" w:sz="0" w:space="0" w:color="auto"/>
                                  </w:divBdr>
                                  <w:divsChild>
                                    <w:div w:id="356581821">
                                      <w:marLeft w:val="0"/>
                                      <w:marRight w:val="0"/>
                                      <w:marTop w:val="75"/>
                                      <w:marBottom w:val="0"/>
                                      <w:divBdr>
                                        <w:top w:val="none" w:sz="0" w:space="0" w:color="auto"/>
                                        <w:left w:val="none" w:sz="0" w:space="0" w:color="auto"/>
                                        <w:bottom w:val="none" w:sz="0" w:space="0" w:color="auto"/>
                                        <w:right w:val="none" w:sz="0" w:space="0" w:color="auto"/>
                                      </w:divBdr>
                                      <w:divsChild>
                                        <w:div w:id="11963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972168">
      <w:bodyDiv w:val="1"/>
      <w:marLeft w:val="0"/>
      <w:marRight w:val="0"/>
      <w:marTop w:val="0"/>
      <w:marBottom w:val="0"/>
      <w:divBdr>
        <w:top w:val="none" w:sz="0" w:space="0" w:color="auto"/>
        <w:left w:val="none" w:sz="0" w:space="0" w:color="auto"/>
        <w:bottom w:val="none" w:sz="0" w:space="0" w:color="auto"/>
        <w:right w:val="none" w:sz="0" w:space="0" w:color="auto"/>
      </w:divBdr>
    </w:div>
    <w:div w:id="1364480729">
      <w:bodyDiv w:val="1"/>
      <w:marLeft w:val="0"/>
      <w:marRight w:val="0"/>
      <w:marTop w:val="0"/>
      <w:marBottom w:val="0"/>
      <w:divBdr>
        <w:top w:val="none" w:sz="0" w:space="0" w:color="auto"/>
        <w:left w:val="none" w:sz="0" w:space="0" w:color="auto"/>
        <w:bottom w:val="none" w:sz="0" w:space="0" w:color="auto"/>
        <w:right w:val="none" w:sz="0" w:space="0" w:color="auto"/>
      </w:divBdr>
      <w:divsChild>
        <w:div w:id="1447238860">
          <w:marLeft w:val="0"/>
          <w:marRight w:val="0"/>
          <w:marTop w:val="0"/>
          <w:marBottom w:val="0"/>
          <w:divBdr>
            <w:top w:val="none" w:sz="0" w:space="0" w:color="auto"/>
            <w:left w:val="none" w:sz="0" w:space="0" w:color="auto"/>
            <w:bottom w:val="none" w:sz="0" w:space="0" w:color="auto"/>
            <w:right w:val="none" w:sz="0" w:space="0" w:color="auto"/>
          </w:divBdr>
          <w:divsChild>
            <w:div w:id="1055659956">
              <w:marLeft w:val="0"/>
              <w:marRight w:val="0"/>
              <w:marTop w:val="0"/>
              <w:marBottom w:val="0"/>
              <w:divBdr>
                <w:top w:val="none" w:sz="0" w:space="0" w:color="auto"/>
                <w:left w:val="none" w:sz="0" w:space="0" w:color="auto"/>
                <w:bottom w:val="none" w:sz="0" w:space="0" w:color="auto"/>
                <w:right w:val="none" w:sz="0" w:space="0" w:color="auto"/>
              </w:divBdr>
              <w:divsChild>
                <w:div w:id="130030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470550">
      <w:bodyDiv w:val="1"/>
      <w:marLeft w:val="0"/>
      <w:marRight w:val="0"/>
      <w:marTop w:val="0"/>
      <w:marBottom w:val="0"/>
      <w:divBdr>
        <w:top w:val="none" w:sz="0" w:space="0" w:color="auto"/>
        <w:left w:val="none" w:sz="0" w:space="0" w:color="auto"/>
        <w:bottom w:val="none" w:sz="0" w:space="0" w:color="auto"/>
        <w:right w:val="none" w:sz="0" w:space="0" w:color="auto"/>
      </w:divBdr>
      <w:divsChild>
        <w:div w:id="676352245">
          <w:marLeft w:val="0"/>
          <w:marRight w:val="0"/>
          <w:marTop w:val="0"/>
          <w:marBottom w:val="0"/>
          <w:divBdr>
            <w:top w:val="none" w:sz="0" w:space="0" w:color="auto"/>
            <w:left w:val="none" w:sz="0" w:space="0" w:color="auto"/>
            <w:bottom w:val="none" w:sz="0" w:space="0" w:color="auto"/>
            <w:right w:val="none" w:sz="0" w:space="0" w:color="auto"/>
          </w:divBdr>
          <w:divsChild>
            <w:div w:id="193154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4577">
      <w:bodyDiv w:val="1"/>
      <w:marLeft w:val="0"/>
      <w:marRight w:val="0"/>
      <w:marTop w:val="0"/>
      <w:marBottom w:val="0"/>
      <w:divBdr>
        <w:top w:val="none" w:sz="0" w:space="0" w:color="auto"/>
        <w:left w:val="none" w:sz="0" w:space="0" w:color="auto"/>
        <w:bottom w:val="none" w:sz="0" w:space="0" w:color="auto"/>
        <w:right w:val="none" w:sz="0" w:space="0" w:color="auto"/>
      </w:divBdr>
    </w:div>
    <w:div w:id="1477918086">
      <w:bodyDiv w:val="1"/>
      <w:marLeft w:val="0"/>
      <w:marRight w:val="0"/>
      <w:marTop w:val="0"/>
      <w:marBottom w:val="0"/>
      <w:divBdr>
        <w:top w:val="none" w:sz="0" w:space="0" w:color="auto"/>
        <w:left w:val="none" w:sz="0" w:space="0" w:color="auto"/>
        <w:bottom w:val="none" w:sz="0" w:space="0" w:color="auto"/>
        <w:right w:val="none" w:sz="0" w:space="0" w:color="auto"/>
      </w:divBdr>
    </w:div>
    <w:div w:id="1481311864">
      <w:bodyDiv w:val="1"/>
      <w:marLeft w:val="0"/>
      <w:marRight w:val="0"/>
      <w:marTop w:val="0"/>
      <w:marBottom w:val="0"/>
      <w:divBdr>
        <w:top w:val="none" w:sz="0" w:space="0" w:color="auto"/>
        <w:left w:val="none" w:sz="0" w:space="0" w:color="auto"/>
        <w:bottom w:val="none" w:sz="0" w:space="0" w:color="auto"/>
        <w:right w:val="none" w:sz="0" w:space="0" w:color="auto"/>
      </w:divBdr>
    </w:div>
    <w:div w:id="1656494679">
      <w:bodyDiv w:val="1"/>
      <w:marLeft w:val="0"/>
      <w:marRight w:val="0"/>
      <w:marTop w:val="0"/>
      <w:marBottom w:val="0"/>
      <w:divBdr>
        <w:top w:val="none" w:sz="0" w:space="0" w:color="auto"/>
        <w:left w:val="none" w:sz="0" w:space="0" w:color="auto"/>
        <w:bottom w:val="none" w:sz="0" w:space="0" w:color="auto"/>
        <w:right w:val="none" w:sz="0" w:space="0" w:color="auto"/>
      </w:divBdr>
    </w:div>
    <w:div w:id="1691713391">
      <w:bodyDiv w:val="1"/>
      <w:marLeft w:val="0"/>
      <w:marRight w:val="0"/>
      <w:marTop w:val="0"/>
      <w:marBottom w:val="0"/>
      <w:divBdr>
        <w:top w:val="none" w:sz="0" w:space="0" w:color="auto"/>
        <w:left w:val="none" w:sz="0" w:space="0" w:color="auto"/>
        <w:bottom w:val="none" w:sz="0" w:space="0" w:color="auto"/>
        <w:right w:val="none" w:sz="0" w:space="0" w:color="auto"/>
      </w:divBdr>
    </w:div>
    <w:div w:id="1695034063">
      <w:bodyDiv w:val="1"/>
      <w:marLeft w:val="0"/>
      <w:marRight w:val="0"/>
      <w:marTop w:val="0"/>
      <w:marBottom w:val="0"/>
      <w:divBdr>
        <w:top w:val="none" w:sz="0" w:space="0" w:color="auto"/>
        <w:left w:val="none" w:sz="0" w:space="0" w:color="auto"/>
        <w:bottom w:val="none" w:sz="0" w:space="0" w:color="auto"/>
        <w:right w:val="none" w:sz="0" w:space="0" w:color="auto"/>
      </w:divBdr>
    </w:div>
    <w:div w:id="1730765499">
      <w:bodyDiv w:val="1"/>
      <w:marLeft w:val="0"/>
      <w:marRight w:val="0"/>
      <w:marTop w:val="0"/>
      <w:marBottom w:val="0"/>
      <w:divBdr>
        <w:top w:val="none" w:sz="0" w:space="0" w:color="auto"/>
        <w:left w:val="none" w:sz="0" w:space="0" w:color="auto"/>
        <w:bottom w:val="none" w:sz="0" w:space="0" w:color="auto"/>
        <w:right w:val="none" w:sz="0" w:space="0" w:color="auto"/>
      </w:divBdr>
    </w:div>
    <w:div w:id="1745494806">
      <w:bodyDiv w:val="1"/>
      <w:marLeft w:val="0"/>
      <w:marRight w:val="0"/>
      <w:marTop w:val="0"/>
      <w:marBottom w:val="0"/>
      <w:divBdr>
        <w:top w:val="none" w:sz="0" w:space="0" w:color="auto"/>
        <w:left w:val="none" w:sz="0" w:space="0" w:color="auto"/>
        <w:bottom w:val="none" w:sz="0" w:space="0" w:color="auto"/>
        <w:right w:val="none" w:sz="0" w:space="0" w:color="auto"/>
      </w:divBdr>
    </w:div>
    <w:div w:id="1746490073">
      <w:bodyDiv w:val="1"/>
      <w:marLeft w:val="0"/>
      <w:marRight w:val="0"/>
      <w:marTop w:val="0"/>
      <w:marBottom w:val="0"/>
      <w:divBdr>
        <w:top w:val="none" w:sz="0" w:space="0" w:color="auto"/>
        <w:left w:val="none" w:sz="0" w:space="0" w:color="auto"/>
        <w:bottom w:val="none" w:sz="0" w:space="0" w:color="auto"/>
        <w:right w:val="none" w:sz="0" w:space="0" w:color="auto"/>
      </w:divBdr>
    </w:div>
    <w:div w:id="1759398885">
      <w:bodyDiv w:val="1"/>
      <w:marLeft w:val="0"/>
      <w:marRight w:val="0"/>
      <w:marTop w:val="0"/>
      <w:marBottom w:val="0"/>
      <w:divBdr>
        <w:top w:val="none" w:sz="0" w:space="0" w:color="auto"/>
        <w:left w:val="none" w:sz="0" w:space="0" w:color="auto"/>
        <w:bottom w:val="none" w:sz="0" w:space="0" w:color="auto"/>
        <w:right w:val="none" w:sz="0" w:space="0" w:color="auto"/>
      </w:divBdr>
    </w:div>
    <w:div w:id="1783379030">
      <w:bodyDiv w:val="1"/>
      <w:marLeft w:val="0"/>
      <w:marRight w:val="0"/>
      <w:marTop w:val="0"/>
      <w:marBottom w:val="0"/>
      <w:divBdr>
        <w:top w:val="none" w:sz="0" w:space="0" w:color="auto"/>
        <w:left w:val="none" w:sz="0" w:space="0" w:color="auto"/>
        <w:bottom w:val="none" w:sz="0" w:space="0" w:color="auto"/>
        <w:right w:val="none" w:sz="0" w:space="0" w:color="auto"/>
      </w:divBdr>
      <w:divsChild>
        <w:div w:id="206989519">
          <w:marLeft w:val="0"/>
          <w:marRight w:val="0"/>
          <w:marTop w:val="0"/>
          <w:marBottom w:val="0"/>
          <w:divBdr>
            <w:top w:val="none" w:sz="0" w:space="0" w:color="auto"/>
            <w:left w:val="none" w:sz="0" w:space="0" w:color="auto"/>
            <w:bottom w:val="none" w:sz="0" w:space="0" w:color="auto"/>
            <w:right w:val="none" w:sz="0" w:space="0" w:color="auto"/>
          </w:divBdr>
          <w:divsChild>
            <w:div w:id="1310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12642">
      <w:bodyDiv w:val="1"/>
      <w:marLeft w:val="0"/>
      <w:marRight w:val="0"/>
      <w:marTop w:val="0"/>
      <w:marBottom w:val="0"/>
      <w:divBdr>
        <w:top w:val="none" w:sz="0" w:space="0" w:color="auto"/>
        <w:left w:val="none" w:sz="0" w:space="0" w:color="auto"/>
        <w:bottom w:val="none" w:sz="0" w:space="0" w:color="auto"/>
        <w:right w:val="none" w:sz="0" w:space="0" w:color="auto"/>
      </w:divBdr>
    </w:div>
    <w:div w:id="189072309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5095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665025042784037"/>
          <c:y val="3.0651325144016407E-2"/>
          <c:w val="0.79020967316760893"/>
          <c:h val="0.69815685203650313"/>
        </c:manualLayout>
      </c:layout>
      <c:barChart>
        <c:barDir val="col"/>
        <c:grouping val="stacked"/>
        <c:varyColors val="0"/>
        <c:ser>
          <c:idx val="0"/>
          <c:order val="0"/>
          <c:tx>
            <c:strRef>
              <c:f>Summary!$A$45</c:f>
              <c:strCache>
                <c:ptCount val="1"/>
                <c:pt idx="0">
                  <c:v>CTC only</c:v>
                </c:pt>
              </c:strCache>
            </c:strRef>
          </c:tx>
          <c:spPr>
            <a:solidFill>
              <a:srgbClr val="344893"/>
            </a:solidFill>
            <a:ln>
              <a:noFill/>
            </a:ln>
          </c:spPr>
          <c:invertIfNegative val="0"/>
          <c:cat>
            <c:strRef>
              <c:f>Summary!$B$44:$H$44</c:f>
              <c:strCache>
                <c:ptCount val="7"/>
                <c:pt idx="0">
                  <c:v>New Zealand</c:v>
                </c:pt>
                <c:pt idx="1">
                  <c:v>Thailand</c:v>
                </c:pt>
                <c:pt idx="2">
                  <c:v>USA</c:v>
                </c:pt>
                <c:pt idx="3">
                  <c:v>Chile</c:v>
                </c:pt>
                <c:pt idx="4">
                  <c:v>ASEAN</c:v>
                </c:pt>
                <c:pt idx="5">
                  <c:v>Malaysia</c:v>
                </c:pt>
                <c:pt idx="6">
                  <c:v>Korea</c:v>
                </c:pt>
              </c:strCache>
            </c:strRef>
          </c:cat>
          <c:val>
            <c:numRef>
              <c:f>Summary!$B$45:$H$45</c:f>
              <c:numCache>
                <c:formatCode>0</c:formatCode>
                <c:ptCount val="7"/>
                <c:pt idx="0">
                  <c:v>69.88676574663836</c:v>
                </c:pt>
                <c:pt idx="1">
                  <c:v>68.030250945342047</c:v>
                </c:pt>
                <c:pt idx="2">
                  <c:v>77.959183673469397</c:v>
                </c:pt>
                <c:pt idx="3">
                  <c:v>80.663574741348555</c:v>
                </c:pt>
                <c:pt idx="4">
                  <c:v>11.154094132817537</c:v>
                </c:pt>
                <c:pt idx="5">
                  <c:v>10.684725357411589</c:v>
                </c:pt>
                <c:pt idx="6">
                  <c:v>59.346781940441886</c:v>
                </c:pt>
              </c:numCache>
            </c:numRef>
          </c:val>
        </c:ser>
        <c:ser>
          <c:idx val="2"/>
          <c:order val="1"/>
          <c:tx>
            <c:strRef>
              <c:f>Summary!$A$47</c:f>
              <c:strCache>
                <c:ptCount val="1"/>
                <c:pt idx="0">
                  <c:v>CTC or RVC</c:v>
                </c:pt>
              </c:strCache>
            </c:strRef>
          </c:tx>
          <c:spPr>
            <a:solidFill>
              <a:srgbClr val="78A22F"/>
            </a:solidFill>
            <a:ln>
              <a:noFill/>
            </a:ln>
          </c:spPr>
          <c:invertIfNegative val="0"/>
          <c:cat>
            <c:strRef>
              <c:f>Summary!$B$44:$H$44</c:f>
              <c:strCache>
                <c:ptCount val="7"/>
                <c:pt idx="0">
                  <c:v>New Zealand</c:v>
                </c:pt>
                <c:pt idx="1">
                  <c:v>Thailand</c:v>
                </c:pt>
                <c:pt idx="2">
                  <c:v>USA</c:v>
                </c:pt>
                <c:pt idx="3">
                  <c:v>Chile</c:v>
                </c:pt>
                <c:pt idx="4">
                  <c:v>ASEAN</c:v>
                </c:pt>
                <c:pt idx="5">
                  <c:v>Malaysia</c:v>
                </c:pt>
                <c:pt idx="6">
                  <c:v>Korea</c:v>
                </c:pt>
              </c:strCache>
            </c:strRef>
          </c:cat>
          <c:val>
            <c:numRef>
              <c:f>Summary!$B$47:$H$47</c:f>
              <c:numCache>
                <c:formatCode>0</c:formatCode>
                <c:ptCount val="7"/>
                <c:pt idx="0">
                  <c:v>2.8662420382165608</c:v>
                </c:pt>
                <c:pt idx="1">
                  <c:v>1.8906840838776213</c:v>
                </c:pt>
                <c:pt idx="2">
                  <c:v>16.224489795918366</c:v>
                </c:pt>
                <c:pt idx="3">
                  <c:v>6.6714234748483774</c:v>
                </c:pt>
                <c:pt idx="4">
                  <c:v>72.018052869116701</c:v>
                </c:pt>
                <c:pt idx="5">
                  <c:v>86.644093303235508</c:v>
                </c:pt>
                <c:pt idx="6">
                  <c:v>22.478386167146976</c:v>
                </c:pt>
              </c:numCache>
            </c:numRef>
          </c:val>
        </c:ser>
        <c:ser>
          <c:idx val="1"/>
          <c:order val="2"/>
          <c:tx>
            <c:strRef>
              <c:f>Summary!$A$46</c:f>
              <c:strCache>
                <c:ptCount val="1"/>
                <c:pt idx="0">
                  <c:v>RVC only</c:v>
                </c:pt>
              </c:strCache>
            </c:strRef>
          </c:tx>
          <c:spPr>
            <a:solidFill>
              <a:schemeClr val="tx1"/>
            </a:solidFill>
            <a:ln>
              <a:noFill/>
            </a:ln>
          </c:spPr>
          <c:invertIfNegative val="0"/>
          <c:cat>
            <c:strRef>
              <c:f>Summary!$B$44:$H$44</c:f>
              <c:strCache>
                <c:ptCount val="7"/>
                <c:pt idx="0">
                  <c:v>New Zealand</c:v>
                </c:pt>
                <c:pt idx="1">
                  <c:v>Thailand</c:v>
                </c:pt>
                <c:pt idx="2">
                  <c:v>USA</c:v>
                </c:pt>
                <c:pt idx="3">
                  <c:v>Chile</c:v>
                </c:pt>
                <c:pt idx="4">
                  <c:v>ASEAN</c:v>
                </c:pt>
                <c:pt idx="5">
                  <c:v>Malaysia</c:v>
                </c:pt>
                <c:pt idx="6">
                  <c:v>Korea</c:v>
                </c:pt>
              </c:strCache>
            </c:strRef>
          </c:cat>
          <c:val>
            <c:numRef>
              <c:f>Summary!$B$46:$H$46</c:f>
              <c:numCache>
                <c:formatCode>General</c:formatCode>
                <c:ptCount val="7"/>
                <c:pt idx="0">
                  <c:v>0</c:v>
                </c:pt>
                <c:pt idx="1">
                  <c:v>0</c:v>
                </c:pt>
                <c:pt idx="2" formatCode="0">
                  <c:v>0.30612244897959184</c:v>
                </c:pt>
                <c:pt idx="3">
                  <c:v>0</c:v>
                </c:pt>
                <c:pt idx="4">
                  <c:v>2</c:v>
                </c:pt>
                <c:pt idx="5">
                  <c:v>0</c:v>
                </c:pt>
                <c:pt idx="6">
                  <c:v>0</c:v>
                </c:pt>
              </c:numCache>
            </c:numRef>
          </c:val>
        </c:ser>
        <c:ser>
          <c:idx val="3"/>
          <c:order val="3"/>
          <c:tx>
            <c:strRef>
              <c:f>Summary!$A$48</c:f>
              <c:strCache>
                <c:ptCount val="1"/>
                <c:pt idx="0">
                  <c:v>Other  </c:v>
                </c:pt>
              </c:strCache>
            </c:strRef>
          </c:tx>
          <c:spPr>
            <a:solidFill>
              <a:srgbClr val="B4C98B"/>
            </a:solidFill>
            <a:ln>
              <a:noFill/>
            </a:ln>
          </c:spPr>
          <c:invertIfNegative val="0"/>
          <c:cat>
            <c:strRef>
              <c:f>Summary!$B$44:$H$44</c:f>
              <c:strCache>
                <c:ptCount val="7"/>
                <c:pt idx="0">
                  <c:v>New Zealand</c:v>
                </c:pt>
                <c:pt idx="1">
                  <c:v>Thailand</c:v>
                </c:pt>
                <c:pt idx="2">
                  <c:v>USA</c:v>
                </c:pt>
                <c:pt idx="3">
                  <c:v>Chile</c:v>
                </c:pt>
                <c:pt idx="4">
                  <c:v>ASEAN</c:v>
                </c:pt>
                <c:pt idx="5">
                  <c:v>Malaysia</c:v>
                </c:pt>
                <c:pt idx="6">
                  <c:v>Korea</c:v>
                </c:pt>
              </c:strCache>
            </c:strRef>
          </c:cat>
          <c:val>
            <c:numRef>
              <c:f>Summary!$B$48:$H$48</c:f>
              <c:numCache>
                <c:formatCode>0</c:formatCode>
                <c:ptCount val="7"/>
                <c:pt idx="0">
                  <c:v>27.176220806794056</c:v>
                </c:pt>
                <c:pt idx="1">
                  <c:v>30.044688896528015</c:v>
                </c:pt>
                <c:pt idx="2">
                  <c:v>5.5102040816326534</c:v>
                </c:pt>
                <c:pt idx="3">
                  <c:v>12.665001783803067</c:v>
                </c:pt>
                <c:pt idx="4">
                  <c:v>14.66795615731786</c:v>
                </c:pt>
                <c:pt idx="5">
                  <c:v>2.6711813393528971</c:v>
                </c:pt>
                <c:pt idx="6">
                  <c:v>18.021133525456293</c:v>
                </c:pt>
              </c:numCache>
            </c:numRef>
          </c:val>
        </c:ser>
        <c:dLbls>
          <c:showLegendKey val="0"/>
          <c:showVal val="0"/>
          <c:showCatName val="0"/>
          <c:showSerName val="0"/>
          <c:showPercent val="0"/>
          <c:showBubbleSize val="0"/>
        </c:dLbls>
        <c:gapWidth val="76"/>
        <c:overlap val="100"/>
        <c:axId val="158139136"/>
        <c:axId val="158140672"/>
      </c:barChart>
      <c:catAx>
        <c:axId val="158139136"/>
        <c:scaling>
          <c:orientation val="minMax"/>
        </c:scaling>
        <c:delete val="0"/>
        <c:axPos val="b"/>
        <c:majorTickMark val="out"/>
        <c:minorTickMark val="none"/>
        <c:tickLblPos val="nextTo"/>
        <c:crossAx val="158140672"/>
        <c:crosses val="autoZero"/>
        <c:auto val="1"/>
        <c:lblAlgn val="ctr"/>
        <c:lblOffset val="100"/>
        <c:noMultiLvlLbl val="0"/>
      </c:catAx>
      <c:valAx>
        <c:axId val="158140672"/>
        <c:scaling>
          <c:orientation val="minMax"/>
          <c:max val="100"/>
        </c:scaling>
        <c:delete val="0"/>
        <c:axPos val="l"/>
        <c:majorGridlines>
          <c:spPr>
            <a:ln>
              <a:solidFill>
                <a:schemeClr val="bg1">
                  <a:lumMod val="85000"/>
                </a:schemeClr>
              </a:solidFill>
            </a:ln>
          </c:spPr>
        </c:majorGridlines>
        <c:minorGridlines>
          <c:spPr>
            <a:ln>
              <a:noFill/>
            </a:ln>
          </c:spPr>
        </c:minorGridlines>
        <c:title>
          <c:tx>
            <c:rich>
              <a:bodyPr rot="-5400000" vert="horz"/>
              <a:lstStyle/>
              <a:p>
                <a:pPr>
                  <a:defRPr/>
                </a:pPr>
                <a:r>
                  <a:rPr lang="en-AU"/>
                  <a:t>per cent</a:t>
                </a:r>
              </a:p>
            </c:rich>
          </c:tx>
          <c:overlay val="0"/>
        </c:title>
        <c:numFmt formatCode="0" sourceLinked="1"/>
        <c:majorTickMark val="out"/>
        <c:minorTickMark val="none"/>
        <c:tickLblPos val="nextTo"/>
        <c:crossAx val="158139136"/>
        <c:crosses val="autoZero"/>
        <c:crossBetween val="between"/>
        <c:majorUnit val="20"/>
        <c:minorUnit val="10"/>
      </c:valAx>
    </c:plotArea>
    <c:legend>
      <c:legendPos val="b"/>
      <c:layout>
        <c:manualLayout>
          <c:xMode val="edge"/>
          <c:yMode val="edge"/>
          <c:x val="0.14951609056407983"/>
          <c:y val="0.90629865768572493"/>
          <c:w val="0.78309301110996576"/>
          <c:h val="9.370134231427503E-2"/>
        </c:manualLayout>
      </c:layout>
      <c:overlay val="0"/>
    </c:legend>
    <c:plotVisOnly val="1"/>
    <c:dispBlanksAs val="gap"/>
    <c:showDLblsOverMax val="0"/>
  </c:chart>
  <c:spPr>
    <a:ln>
      <a:noFill/>
    </a:ln>
  </c:spPr>
  <c:txPr>
    <a:bodyPr/>
    <a:lstStyle/>
    <a:p>
      <a:pPr>
        <a:defRPr sz="900">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671382986908489"/>
          <c:y val="2.8375856993559895E-2"/>
          <c:w val="0.82835757820853106"/>
          <c:h val="0.69030078900859593"/>
        </c:manualLayout>
      </c:layout>
      <c:barChart>
        <c:barDir val="col"/>
        <c:grouping val="stacked"/>
        <c:varyColors val="0"/>
        <c:ser>
          <c:idx val="0"/>
          <c:order val="0"/>
          <c:tx>
            <c:strRef>
              <c:f>Summary!$A$35</c:f>
              <c:strCache>
                <c:ptCount val="1"/>
                <c:pt idx="0">
                  <c:v>Chapter 2 digit</c:v>
                </c:pt>
              </c:strCache>
            </c:strRef>
          </c:tx>
          <c:spPr>
            <a:solidFill>
              <a:srgbClr val="344893"/>
            </a:solidFill>
          </c:spPr>
          <c:invertIfNegative val="0"/>
          <c:cat>
            <c:strRef>
              <c:f>Summary!$B$33:$H$34</c:f>
              <c:strCache>
                <c:ptCount val="7"/>
                <c:pt idx="0">
                  <c:v>New Zealand</c:v>
                </c:pt>
                <c:pt idx="1">
                  <c:v>Thailand</c:v>
                </c:pt>
                <c:pt idx="2">
                  <c:v>USA</c:v>
                </c:pt>
                <c:pt idx="3">
                  <c:v>Chile</c:v>
                </c:pt>
                <c:pt idx="4">
                  <c:v>ASEAN</c:v>
                </c:pt>
                <c:pt idx="5">
                  <c:v>Malaysia</c:v>
                </c:pt>
                <c:pt idx="6">
                  <c:v>Korea</c:v>
                </c:pt>
              </c:strCache>
            </c:strRef>
          </c:cat>
          <c:val>
            <c:numRef>
              <c:f>Summary!$B$35:$H$35</c:f>
              <c:numCache>
                <c:formatCode>0</c:formatCode>
                <c:ptCount val="7"/>
                <c:pt idx="0">
                  <c:v>11.76056338028169</c:v>
                </c:pt>
                <c:pt idx="1">
                  <c:v>13.034482758620689</c:v>
                </c:pt>
                <c:pt idx="2" formatCode="General">
                  <c:v>23</c:v>
                </c:pt>
                <c:pt idx="3">
                  <c:v>14.689063616869191</c:v>
                </c:pt>
                <c:pt idx="4">
                  <c:v>40.504939626783752</c:v>
                </c:pt>
                <c:pt idx="5">
                  <c:v>14.221218961625281</c:v>
                </c:pt>
                <c:pt idx="6">
                  <c:v>19.411032766486937</c:v>
                </c:pt>
              </c:numCache>
            </c:numRef>
          </c:val>
        </c:ser>
        <c:ser>
          <c:idx val="1"/>
          <c:order val="1"/>
          <c:tx>
            <c:strRef>
              <c:f>Summary!$A$36</c:f>
              <c:strCache>
                <c:ptCount val="1"/>
                <c:pt idx="0">
                  <c:v>Heading 4 digit</c:v>
                </c:pt>
              </c:strCache>
            </c:strRef>
          </c:tx>
          <c:spPr>
            <a:solidFill>
              <a:srgbClr val="78A22F"/>
            </a:solidFill>
          </c:spPr>
          <c:invertIfNegative val="0"/>
          <c:cat>
            <c:strRef>
              <c:f>Summary!$B$33:$H$34</c:f>
              <c:strCache>
                <c:ptCount val="7"/>
                <c:pt idx="0">
                  <c:v>New Zealand</c:v>
                </c:pt>
                <c:pt idx="1">
                  <c:v>Thailand</c:v>
                </c:pt>
                <c:pt idx="2">
                  <c:v>USA</c:v>
                </c:pt>
                <c:pt idx="3">
                  <c:v>Chile</c:v>
                </c:pt>
                <c:pt idx="4">
                  <c:v>ASEAN</c:v>
                </c:pt>
                <c:pt idx="5">
                  <c:v>Malaysia</c:v>
                </c:pt>
                <c:pt idx="6">
                  <c:v>Korea</c:v>
                </c:pt>
              </c:strCache>
            </c:strRef>
          </c:cat>
          <c:val>
            <c:numRef>
              <c:f>Summary!$B$36:$H$36</c:f>
              <c:numCache>
                <c:formatCode>0</c:formatCode>
                <c:ptCount val="7"/>
                <c:pt idx="0">
                  <c:v>34.225352112676056</c:v>
                </c:pt>
                <c:pt idx="1">
                  <c:v>34.896551724137929</c:v>
                </c:pt>
                <c:pt idx="2" formatCode="General">
                  <c:v>43</c:v>
                </c:pt>
                <c:pt idx="3">
                  <c:v>32.058613295210861</c:v>
                </c:pt>
                <c:pt idx="4">
                  <c:v>21.551408708379071</c:v>
                </c:pt>
                <c:pt idx="5">
                  <c:v>33.48382242287434</c:v>
                </c:pt>
                <c:pt idx="6">
                  <c:v>56.802156781418503</c:v>
                </c:pt>
              </c:numCache>
            </c:numRef>
          </c:val>
        </c:ser>
        <c:ser>
          <c:idx val="2"/>
          <c:order val="2"/>
          <c:tx>
            <c:strRef>
              <c:f>Summary!$A$37</c:f>
              <c:strCache>
                <c:ptCount val="1"/>
                <c:pt idx="0">
                  <c:v>Subheading 6 digit </c:v>
                </c:pt>
              </c:strCache>
            </c:strRef>
          </c:tx>
          <c:spPr>
            <a:solidFill>
              <a:srgbClr val="B4C98B"/>
            </a:solidFill>
          </c:spPr>
          <c:invertIfNegative val="0"/>
          <c:cat>
            <c:strRef>
              <c:f>Summary!$B$33:$H$34</c:f>
              <c:strCache>
                <c:ptCount val="7"/>
                <c:pt idx="0">
                  <c:v>New Zealand</c:v>
                </c:pt>
                <c:pt idx="1">
                  <c:v>Thailand</c:v>
                </c:pt>
                <c:pt idx="2">
                  <c:v>USA</c:v>
                </c:pt>
                <c:pt idx="3">
                  <c:v>Chile</c:v>
                </c:pt>
                <c:pt idx="4">
                  <c:v>ASEAN</c:v>
                </c:pt>
                <c:pt idx="5">
                  <c:v>Malaysia</c:v>
                </c:pt>
                <c:pt idx="6">
                  <c:v>Korea</c:v>
                </c:pt>
              </c:strCache>
            </c:strRef>
          </c:cat>
          <c:val>
            <c:numRef>
              <c:f>Summary!$B$37:$H$37</c:f>
              <c:numCache>
                <c:formatCode>0</c:formatCode>
                <c:ptCount val="7"/>
                <c:pt idx="0">
                  <c:v>54.014084507042249</c:v>
                </c:pt>
                <c:pt idx="1">
                  <c:v>52.068965517241381</c:v>
                </c:pt>
                <c:pt idx="2" formatCode="General">
                  <c:v>34</c:v>
                </c:pt>
                <c:pt idx="3">
                  <c:v>53.25232308791994</c:v>
                </c:pt>
                <c:pt idx="4">
                  <c:v>37.943651664837176</c:v>
                </c:pt>
                <c:pt idx="5">
                  <c:v>52.294958615500377</c:v>
                </c:pt>
                <c:pt idx="6">
                  <c:v>23.786810452094567</c:v>
                </c:pt>
              </c:numCache>
            </c:numRef>
          </c:val>
        </c:ser>
        <c:dLbls>
          <c:showLegendKey val="0"/>
          <c:showVal val="0"/>
          <c:showCatName val="0"/>
          <c:showSerName val="0"/>
          <c:showPercent val="0"/>
          <c:showBubbleSize val="0"/>
        </c:dLbls>
        <c:gapWidth val="76"/>
        <c:overlap val="100"/>
        <c:axId val="158294016"/>
        <c:axId val="158295552"/>
      </c:barChart>
      <c:catAx>
        <c:axId val="158294016"/>
        <c:scaling>
          <c:orientation val="minMax"/>
        </c:scaling>
        <c:delete val="0"/>
        <c:axPos val="b"/>
        <c:majorTickMark val="out"/>
        <c:minorTickMark val="none"/>
        <c:tickLblPos val="nextTo"/>
        <c:txPr>
          <a:bodyPr/>
          <a:lstStyle/>
          <a:p>
            <a:pPr>
              <a:defRPr sz="900">
                <a:latin typeface="Arial" panose="020B0604020202020204" pitchFamily="34" charset="0"/>
                <a:cs typeface="Arial" panose="020B0604020202020204" pitchFamily="34" charset="0"/>
              </a:defRPr>
            </a:pPr>
            <a:endParaRPr lang="en-US"/>
          </a:p>
        </c:txPr>
        <c:crossAx val="158295552"/>
        <c:crosses val="autoZero"/>
        <c:auto val="1"/>
        <c:lblAlgn val="ctr"/>
        <c:lblOffset val="100"/>
        <c:noMultiLvlLbl val="0"/>
      </c:catAx>
      <c:valAx>
        <c:axId val="158295552"/>
        <c:scaling>
          <c:orientation val="minMax"/>
          <c:max val="100"/>
          <c:min val="0"/>
        </c:scaling>
        <c:delete val="0"/>
        <c:axPos val="l"/>
        <c:majorGridlines>
          <c:spPr>
            <a:ln>
              <a:solidFill>
                <a:schemeClr val="bg1">
                  <a:lumMod val="85000"/>
                </a:schemeClr>
              </a:solidFill>
            </a:ln>
          </c:spPr>
        </c:majorGridlines>
        <c:title>
          <c:tx>
            <c:rich>
              <a:bodyPr rot="-5400000" vert="horz"/>
              <a:lstStyle/>
              <a:p>
                <a:pPr>
                  <a:defRPr/>
                </a:pPr>
                <a:r>
                  <a:rPr lang="en-AU" sz="900">
                    <a:latin typeface="Arial" panose="020B0604020202020204" pitchFamily="34" charset="0"/>
                    <a:cs typeface="Arial" panose="020B0604020202020204" pitchFamily="34" charset="0"/>
                  </a:rPr>
                  <a:t>per cent</a:t>
                </a:r>
              </a:p>
            </c:rich>
          </c:tx>
          <c:layout>
            <c:manualLayout>
              <c:xMode val="edge"/>
              <c:yMode val="edge"/>
              <c:x val="0"/>
              <c:y val="0.28447090735988534"/>
            </c:manualLayout>
          </c:layout>
          <c:overlay val="0"/>
        </c:title>
        <c:numFmt formatCode="0" sourceLinked="1"/>
        <c:majorTickMark val="out"/>
        <c:minorTickMark val="none"/>
        <c:tickLblPos val="nextTo"/>
        <c:txPr>
          <a:bodyPr/>
          <a:lstStyle/>
          <a:p>
            <a:pPr>
              <a:defRPr sz="900">
                <a:latin typeface="Arial" panose="020B0604020202020204" pitchFamily="34" charset="0"/>
                <a:cs typeface="Arial" panose="020B0604020202020204" pitchFamily="34" charset="0"/>
              </a:defRPr>
            </a:pPr>
            <a:endParaRPr lang="en-US"/>
          </a:p>
        </c:txPr>
        <c:crossAx val="158294016"/>
        <c:crosses val="autoZero"/>
        <c:crossBetween val="between"/>
        <c:majorUnit val="20"/>
        <c:minorUnit val="10"/>
      </c:valAx>
    </c:plotArea>
    <c:legend>
      <c:legendPos val="b"/>
      <c:layout>
        <c:manualLayout>
          <c:xMode val="edge"/>
          <c:yMode val="edge"/>
          <c:x val="0.15646216476711314"/>
          <c:y val="0.87984444164783515"/>
          <c:w val="0.84110646229742192"/>
          <c:h val="0.11581245451710157"/>
        </c:manualLayout>
      </c:layout>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F61A8-1656-4B42-A3B2-D54EC20837C8}">
  <ds:schemaRefs>
    <ds:schemaRef ds:uri="http://schemas.openxmlformats.org/officeDocument/2006/bibliography"/>
  </ds:schemaRefs>
</ds:datastoreItem>
</file>

<file path=customXml/itemProps2.xml><?xml version="1.0" encoding="utf-8"?>
<ds:datastoreItem xmlns:ds="http://schemas.openxmlformats.org/officeDocument/2006/customXml" ds:itemID="{3100F95E-1D33-487A-BD96-3D0038EEC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138</TotalTime>
  <Pages>21</Pages>
  <Words>7283</Words>
  <Characters>41695</Characters>
  <Application>Microsoft Office Word</Application>
  <DocSecurity>0</DocSecurity>
  <Lines>728</Lines>
  <Paragraphs>192</Paragraphs>
  <ScaleCrop>false</ScaleCrop>
  <HeadingPairs>
    <vt:vector size="2" baseType="variant">
      <vt:variant>
        <vt:lpstr>Title</vt:lpstr>
      </vt:variant>
      <vt:variant>
        <vt:i4>1</vt:i4>
      </vt:variant>
    </vt:vector>
  </HeadingPairs>
  <TitlesOfParts>
    <vt:vector size="1" baseType="lpstr">
      <vt:lpstr>Recent developments in trade policy</vt:lpstr>
    </vt:vector>
  </TitlesOfParts>
  <Company>Productivity Commission</Company>
  <LinksUpToDate>false</LinksUpToDate>
  <CharactersWithSpaces>48878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Recent developments in trade policy</dc:title>
  <dc:subject>trade &amp; assistance review 2012-13</dc:subject>
  <dc:creator>Productivity Commission</dc:creator>
  <dc:description>6.</dc:description>
  <cp:lastModifiedBy>Productivity Commission</cp:lastModifiedBy>
  <cp:revision>80</cp:revision>
  <cp:lastPrinted>2014-06-20T00:55:00Z</cp:lastPrinted>
  <dcterms:created xsi:type="dcterms:W3CDTF">2014-06-18T11:49:00Z</dcterms:created>
  <dcterms:modified xsi:type="dcterms:W3CDTF">2014-06-24T22:42:00Z</dcterms:modified>
</cp:coreProperties>
</file>