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theme/themeOverride1.xml" ContentType="application/vnd.openxmlformats-officedocument.themeOverride+xml"/>
  <Override PartName="/word/charts/chart3.xml" ContentType="application/vnd.openxmlformats-officedocument.drawingml.chart+xml"/>
  <Override PartName="/word/theme/themeOverride2.xml" ContentType="application/vnd.openxmlformats-officedocument.themeOverride+xml"/>
  <Override PartName="/word/drawings/drawing2.xml" ContentType="application/vnd.openxmlformats-officedocument.drawingml.chartshapes+xml"/>
  <Override PartName="/word/charts/chart4.xml" ContentType="application/vnd.openxmlformats-officedocument.drawingml.chart+xml"/>
  <Override PartName="/word/theme/themeOverride3.xml" ContentType="application/vnd.openxmlformats-officedocument.themeOverride+xml"/>
  <Override PartName="/word/drawings/drawing3.xml" ContentType="application/vnd.openxmlformats-officedocument.drawingml.chartshapes+xml"/>
  <Override PartName="/word/charts/chart5.xml" ContentType="application/vnd.openxmlformats-officedocument.drawingml.chart+xml"/>
  <Override PartName="/word/theme/themeOverride4.xml" ContentType="application/vnd.openxmlformats-officedocument.themeOverride+xml"/>
  <Override PartName="/word/drawings/drawing4.xml" ContentType="application/vnd.openxmlformats-officedocument.drawingml.chartshapes+xml"/>
  <Override PartName="/word/charts/chart6.xml" ContentType="application/vnd.openxmlformats-officedocument.drawingml.chart+xml"/>
  <Override PartName="/word/theme/themeOverride5.xml" ContentType="application/vnd.openxmlformats-officedocument.themeOverride+xml"/>
  <Override PartName="/word/drawings/drawing5.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E504EB" w:rsidP="00E504EB">
      <w:pPr>
        <w:pStyle w:val="Heading1"/>
        <w:spacing w:before="0"/>
      </w:pPr>
      <w:bookmarkStart w:id="0" w:name="ChapterNumber"/>
      <w:bookmarkStart w:id="1" w:name="_GoBack"/>
      <w:bookmarkEnd w:id="1"/>
      <w:r>
        <w:t>4</w:t>
      </w:r>
      <w:bookmarkEnd w:id="0"/>
      <w:r>
        <w:tab/>
      </w:r>
      <w:bookmarkStart w:id="2" w:name="ChapterTitle"/>
      <w:r>
        <w:t>Assistance estimates</w:t>
      </w:r>
      <w:bookmarkEnd w:id="2"/>
    </w:p>
    <w:p w:rsidR="00C363A0" w:rsidRDefault="00C363A0" w:rsidP="00C363A0">
      <w:pPr>
        <w:pStyle w:val="BodyText"/>
      </w:pPr>
      <w:bookmarkStart w:id="3" w:name="begin"/>
      <w:bookmarkEnd w:id="3"/>
      <w:r>
        <w:t>Industry is assisted through a wide array of government programs, regulatory instruments and policies. Each year, the Commission updates and publishes estimates of the assistance afforded by:</w:t>
      </w:r>
    </w:p>
    <w:p w:rsidR="00C363A0" w:rsidRDefault="00C363A0" w:rsidP="00C363A0">
      <w:pPr>
        <w:pStyle w:val="ListBullet"/>
      </w:pPr>
      <w:r>
        <w:t>import tariffs, which mainly assist the manufacturing sector while raising costs to consumers and to industries that use manufactured and other tariff-assisted inputs;</w:t>
      </w:r>
    </w:p>
    <w:p w:rsidR="00C363A0" w:rsidRDefault="00C363A0" w:rsidP="00C363A0">
      <w:pPr>
        <w:pStyle w:val="ListBullet"/>
      </w:pPr>
      <w:r>
        <w:t>Australian Government budgetary measures — divided into government outlays and tax concessions — which apply to the primary production, mining, manufacturing and service</w:t>
      </w:r>
      <w:r w:rsidR="00F04EB2">
        <w:t>s</w:t>
      </w:r>
      <w:r>
        <w:t xml:space="preserve"> sectors; and</w:t>
      </w:r>
    </w:p>
    <w:p w:rsidR="00C363A0" w:rsidRDefault="00C363A0" w:rsidP="00C363A0">
      <w:pPr>
        <w:pStyle w:val="ListBullet"/>
      </w:pPr>
      <w:r>
        <w:t>certain agricultural pricing and regulatory measures.</w:t>
      </w:r>
    </w:p>
    <w:p w:rsidR="00C363A0" w:rsidRDefault="00C363A0" w:rsidP="00C363A0">
      <w:pPr>
        <w:pStyle w:val="BodyText"/>
      </w:pPr>
      <w:r>
        <w:t xml:space="preserve">As well as providing estimates for these three categories, the Commission aggregates them to yield an estimate of the ‘combined’ assistance for four broad </w:t>
      </w:r>
      <w:r w:rsidR="006B09C3">
        <w:t xml:space="preserve">industry </w:t>
      </w:r>
      <w:r>
        <w:t xml:space="preserve">sectors of the Australian economy — ‘primary production’, ‘mining’, ‘manufacturing’ and ‘services’ — along with effective rates of assistance for the primary, mining and manufacturing </w:t>
      </w:r>
      <w:r w:rsidR="00F04EB2">
        <w:t>sectors</w:t>
      </w:r>
      <w:r>
        <w:t xml:space="preserve">. For each category of assistance, the Commission provides more detailed estimates of assistance by 34 industry groupings. </w:t>
      </w:r>
      <w:r w:rsidR="001137D9">
        <w:t>Where</w:t>
      </w:r>
      <w:r>
        <w:t xml:space="preserve"> industry detail is not available</w:t>
      </w:r>
      <w:r w:rsidR="001137D9">
        <w:t>, estimates</w:t>
      </w:r>
      <w:r>
        <w:t xml:space="preserve"> are assigned to one of four ‘unallocated’ categories (primary production, manufacturing, services or other). </w:t>
      </w:r>
    </w:p>
    <w:p w:rsidR="00C363A0" w:rsidRDefault="00C363A0" w:rsidP="00C363A0">
      <w:pPr>
        <w:pStyle w:val="BodyText"/>
      </w:pPr>
      <w:r>
        <w:t xml:space="preserve">The Commission also disaggregates its estimates of budgetary assistance into categories (such as R&amp;D, export assistance and support to small business) to facilitate more detailed assessments of changes in the composition and nature of assistance. </w:t>
      </w:r>
    </w:p>
    <w:p w:rsidR="00C363A0" w:rsidRDefault="00C363A0" w:rsidP="00C363A0">
      <w:pPr>
        <w:pStyle w:val="BodyText"/>
      </w:pPr>
      <w:r>
        <w:t>While the estimates cover a broad range of measures that afford support to industry, the estimates do not capture all Australian Government support for industry (box </w:t>
      </w:r>
      <w:r w:rsidR="00E121B3">
        <w:t>4.1</w:t>
      </w:r>
      <w:r>
        <w:t xml:space="preserve">), nor State government assistance. The assistance provided through government regulation is also not </w:t>
      </w:r>
      <w:r w:rsidR="001137D9">
        <w:t xml:space="preserve">included </w:t>
      </w:r>
      <w:r>
        <w:t>in the estimates.</w:t>
      </w:r>
      <w:r w:rsidR="008565FC">
        <w:t xml:space="preserve"> </w:t>
      </w:r>
    </w:p>
    <w:p w:rsidR="00DB26D2" w:rsidRDefault="00C363A0" w:rsidP="00C363A0">
      <w:pPr>
        <w:pStyle w:val="BodyText"/>
      </w:pPr>
      <w:r>
        <w:t xml:space="preserve">The following sections present the most recent </w:t>
      </w:r>
      <w:r w:rsidR="00F04EB2">
        <w:t xml:space="preserve">— </w:t>
      </w:r>
      <w:r>
        <w:t>2012</w:t>
      </w:r>
      <w:r w:rsidR="000A67D9">
        <w:noBreakHyphen/>
      </w:r>
      <w:r>
        <w:t>13</w:t>
      </w:r>
      <w:r w:rsidR="00F04EB2">
        <w:t xml:space="preserve"> — </w:t>
      </w:r>
      <w:r>
        <w:t>estimates and report on broad changes in the structure of industry assistance over the last four decades.</w:t>
      </w:r>
      <w:r w:rsidR="00835B33">
        <w:t xml:space="preserve"> </w:t>
      </w:r>
    </w:p>
    <w:p w:rsidR="00F5495A" w:rsidRDefault="00F5495A">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5495A">
        <w:tc>
          <w:tcPr>
            <w:tcW w:w="8771" w:type="dxa"/>
            <w:tcBorders>
              <w:top w:val="single" w:sz="6" w:space="0" w:color="auto"/>
              <w:bottom w:val="nil"/>
            </w:tcBorders>
          </w:tcPr>
          <w:p w:rsidR="00F5495A" w:rsidRDefault="00F5495A">
            <w:pPr>
              <w:pStyle w:val="BoxTitle"/>
            </w:pPr>
            <w:r>
              <w:rPr>
                <w:b w:val="0"/>
              </w:rPr>
              <w:t xml:space="preserve">Box </w:t>
            </w:r>
            <w:bookmarkStart w:id="4" w:name="OLE_LINK1"/>
            <w:r w:rsidR="00361E17">
              <w:rPr>
                <w:b w:val="0"/>
              </w:rPr>
              <w:t>4.</w:t>
            </w:r>
            <w:r w:rsidR="00000604">
              <w:rPr>
                <w:b w:val="0"/>
                <w:noProof/>
              </w:rPr>
              <w:t>1</w:t>
            </w:r>
            <w:bookmarkEnd w:id="4"/>
            <w:r>
              <w:tab/>
              <w:t>Coverage of the Commission’s assistance estimates</w:t>
            </w:r>
          </w:p>
        </w:tc>
      </w:tr>
      <w:tr w:rsidR="00F5495A">
        <w:trPr>
          <w:cantSplit/>
        </w:trPr>
        <w:tc>
          <w:tcPr>
            <w:tcW w:w="8771" w:type="dxa"/>
            <w:tcBorders>
              <w:top w:val="nil"/>
              <w:left w:val="single" w:sz="6" w:space="0" w:color="auto"/>
              <w:bottom w:val="nil"/>
              <w:right w:val="single" w:sz="6" w:space="0" w:color="auto"/>
            </w:tcBorders>
          </w:tcPr>
          <w:p w:rsidR="00C363A0" w:rsidRDefault="00C363A0" w:rsidP="00C363A0">
            <w:pPr>
              <w:pStyle w:val="Box"/>
            </w:pPr>
            <w:r>
              <w:t xml:space="preserve">The Commission’s assistance estimates cover only those measures </w:t>
            </w:r>
            <w:r w:rsidR="00677AAB">
              <w:t>that</w:t>
            </w:r>
            <w:r>
              <w:t xml:space="preserve"> selectively benefit particular firms, industries or activities, and </w:t>
            </w:r>
            <w:r w:rsidR="00677AAB">
              <w:t xml:space="preserve">that </w:t>
            </w:r>
            <w:r>
              <w:t xml:space="preserve">can be quantified given practical constraints in measurement and data availability. Arrangements that may have assistance implications but are not part of the estimates include: </w:t>
            </w:r>
          </w:p>
          <w:p w:rsidR="001137D9" w:rsidRDefault="00C363A0" w:rsidP="00C363A0">
            <w:pPr>
              <w:pStyle w:val="BoxListBullet"/>
            </w:pPr>
            <w:r>
              <w:t>quarantine restrictions</w:t>
            </w:r>
            <w:r w:rsidR="00EB0877">
              <w:t xml:space="preserve">; </w:t>
            </w:r>
          </w:p>
          <w:p w:rsidR="00C363A0" w:rsidRDefault="00C363A0" w:rsidP="00C363A0">
            <w:pPr>
              <w:pStyle w:val="BoxListBullet"/>
            </w:pPr>
            <w:r>
              <w:t xml:space="preserve">the allocation and pricing of water resources; </w:t>
            </w:r>
          </w:p>
          <w:p w:rsidR="00C363A0" w:rsidRDefault="00C363A0" w:rsidP="00C363A0">
            <w:pPr>
              <w:pStyle w:val="BoxListBullet"/>
            </w:pPr>
            <w:r>
              <w:t xml:space="preserve">the effects of government purchasing preferences and local content arrangements — for example, as they affect the manufacturing sector, </w:t>
            </w:r>
            <w:r w:rsidR="007A31AD">
              <w:t xml:space="preserve">information technology </w:t>
            </w:r>
            <w:r>
              <w:t xml:space="preserve">industries and broadcasting; </w:t>
            </w:r>
          </w:p>
          <w:p w:rsidR="00C363A0" w:rsidRDefault="00C363A0" w:rsidP="00C363A0">
            <w:pPr>
              <w:pStyle w:val="BoxListBullet"/>
            </w:pPr>
            <w:r>
              <w:t>regulatory restrictions on competition — such as those relating to pharmac</w:t>
            </w:r>
            <w:r w:rsidR="007A31AD">
              <w:t>ies</w:t>
            </w:r>
            <w:r>
              <w:t xml:space="preserve">, air services, importation of books and media and broadcasting; </w:t>
            </w:r>
          </w:p>
          <w:p w:rsidR="00C363A0" w:rsidRDefault="00C363A0" w:rsidP="00C363A0">
            <w:pPr>
              <w:pStyle w:val="BoxListBullet"/>
            </w:pPr>
            <w:r>
              <w:t xml:space="preserve">anti-dumping and countervailing measures; </w:t>
            </w:r>
          </w:p>
          <w:p w:rsidR="00C363A0" w:rsidRDefault="007A31AD" w:rsidP="00C363A0">
            <w:pPr>
              <w:pStyle w:val="BoxListBullet"/>
            </w:pPr>
            <w:r>
              <w:t xml:space="preserve">general taxes and </w:t>
            </w:r>
            <w:r w:rsidR="00C363A0">
              <w:t>certain differential tax rates, including in relation to excises, the GST</w:t>
            </w:r>
            <w:r>
              <w:t xml:space="preserve">, </w:t>
            </w:r>
            <w:r w:rsidR="00CA04AF">
              <w:t xml:space="preserve">payroll tax, </w:t>
            </w:r>
            <w:r w:rsidR="00C363A0">
              <w:t>superannuation</w:t>
            </w:r>
            <w:r>
              <w:t xml:space="preserve"> and carbon emissions</w:t>
            </w:r>
            <w:r w:rsidR="00C363A0">
              <w:t xml:space="preserve">; </w:t>
            </w:r>
          </w:p>
          <w:p w:rsidR="00C363A0" w:rsidRDefault="00C363A0" w:rsidP="00C363A0">
            <w:pPr>
              <w:pStyle w:val="BoxListBullet"/>
            </w:pPr>
            <w:r>
              <w:t xml:space="preserve">State and Territory government support to industry, other than designated agricultural marketing arrangements and rural support programs; </w:t>
            </w:r>
          </w:p>
          <w:p w:rsidR="00C363A0" w:rsidRDefault="00C363A0" w:rsidP="00C363A0">
            <w:pPr>
              <w:pStyle w:val="BoxListBullet"/>
            </w:pPr>
            <w:r>
              <w:t>government programs affecting a range of service</w:t>
            </w:r>
            <w:r w:rsidR="00B73BCF">
              <w:t>s</w:t>
            </w:r>
            <w:r>
              <w:t xml:space="preserve"> industries, mainly relating to the provision of health, education, and community services; </w:t>
            </w:r>
          </w:p>
          <w:p w:rsidR="00C363A0" w:rsidRDefault="00C363A0" w:rsidP="00C363A0">
            <w:pPr>
              <w:pStyle w:val="BoxListBullet"/>
            </w:pPr>
            <w:r>
              <w:t xml:space="preserve">government programs affecting national security and public safety, including police and defence programs; </w:t>
            </w:r>
          </w:p>
          <w:p w:rsidR="00C363A0" w:rsidRDefault="00C363A0" w:rsidP="00C363A0">
            <w:pPr>
              <w:pStyle w:val="BoxListBullet"/>
            </w:pPr>
            <w:r>
              <w:t xml:space="preserve">government programs and taxation concessions affecting professional sport and the arts; </w:t>
            </w:r>
          </w:p>
          <w:p w:rsidR="00C363A0" w:rsidRDefault="00C363A0" w:rsidP="00C363A0">
            <w:pPr>
              <w:pStyle w:val="BoxListBullet"/>
            </w:pPr>
            <w:r>
              <w:t xml:space="preserve">government programs affecting the labour market; and </w:t>
            </w:r>
          </w:p>
          <w:p w:rsidR="00F5495A" w:rsidRDefault="00C363A0" w:rsidP="00C363A0">
            <w:pPr>
              <w:pStyle w:val="BoxListBullet"/>
            </w:pPr>
            <w:r>
              <w:t>resource access arrangements including to mining, forestry and fisheries.</w:t>
            </w:r>
          </w:p>
        </w:tc>
      </w:tr>
      <w:tr w:rsidR="00F5495A">
        <w:trPr>
          <w:cantSplit/>
        </w:trPr>
        <w:tc>
          <w:tcPr>
            <w:tcW w:w="8771" w:type="dxa"/>
            <w:tcBorders>
              <w:top w:val="nil"/>
              <w:left w:val="single" w:sz="6" w:space="0" w:color="auto"/>
              <w:bottom w:val="single" w:sz="6" w:space="0" w:color="auto"/>
              <w:right w:val="single" w:sz="6" w:space="0" w:color="auto"/>
            </w:tcBorders>
          </w:tcPr>
          <w:p w:rsidR="00F5495A" w:rsidRDefault="00F5495A">
            <w:pPr>
              <w:pStyle w:val="Box"/>
              <w:spacing w:before="0" w:line="120" w:lineRule="exact"/>
            </w:pPr>
          </w:p>
        </w:tc>
      </w:tr>
      <w:tr w:rsidR="00F5495A" w:rsidRPr="000863A5">
        <w:tc>
          <w:tcPr>
            <w:tcW w:w="8771" w:type="dxa"/>
            <w:tcBorders>
              <w:top w:val="nil"/>
              <w:left w:val="nil"/>
              <w:bottom w:val="nil"/>
              <w:right w:val="nil"/>
            </w:tcBorders>
          </w:tcPr>
          <w:p w:rsidR="00F5495A" w:rsidRPr="00626D32" w:rsidRDefault="00F5495A" w:rsidP="00C2755E">
            <w:pPr>
              <w:pStyle w:val="BoxSpaceBelow"/>
            </w:pPr>
          </w:p>
        </w:tc>
      </w:tr>
    </w:tbl>
    <w:p w:rsidR="00CD3AD0" w:rsidRDefault="00361E17" w:rsidP="00067AC5">
      <w:pPr>
        <w:pStyle w:val="Heading2"/>
      </w:pPr>
      <w:r>
        <w:t>4.</w:t>
      </w:r>
      <w:r w:rsidR="00000604">
        <w:rPr>
          <w:noProof/>
        </w:rPr>
        <w:t>1</w:t>
      </w:r>
      <w:r w:rsidR="00067AC5">
        <w:tab/>
        <w:t>Tariff assistance</w:t>
      </w:r>
    </w:p>
    <w:p w:rsidR="005E14D9" w:rsidRDefault="005E14D9" w:rsidP="005E14D9">
      <w:pPr>
        <w:pStyle w:val="BodyText"/>
      </w:pPr>
      <w:r>
        <w:t xml:space="preserve">Tariffs have direct effects on the returns received by Australian producers. The Commission’s estimates of tariff assistance are divided into three main categories — ‘output’ assistance, ‘input’ assistance and ‘net’ assistance. </w:t>
      </w:r>
    </w:p>
    <w:p w:rsidR="005E14D9" w:rsidRDefault="005E14D9" w:rsidP="005E14D9">
      <w:pPr>
        <w:pStyle w:val="ListBullet"/>
      </w:pPr>
      <w:r>
        <w:t>Tariffs on imported goods increase the price at which those goods are sold on the Australian market and</w:t>
      </w:r>
      <w:r w:rsidR="00677AAB">
        <w:t>,</w:t>
      </w:r>
      <w:r>
        <w:t xml:space="preserve"> thus</w:t>
      </w:r>
      <w:r w:rsidR="00677AAB">
        <w:t>,</w:t>
      </w:r>
      <w:r>
        <w:t xml:space="preserve"> allow scope for domestic producers of competing products to increase their prices. These effects are captured by the Commission’s estimates of output assistance. </w:t>
      </w:r>
    </w:p>
    <w:p w:rsidR="005E14D9" w:rsidRDefault="005E14D9" w:rsidP="005E14D9">
      <w:pPr>
        <w:pStyle w:val="ListBullet"/>
      </w:pPr>
      <w:r>
        <w:t xml:space="preserve">On the other hand, tariffs also increase the price of local and imported goods that are used as inputs and thus penalise local user industries. This ‘penalty’ is </w:t>
      </w:r>
      <w:r>
        <w:lastRenderedPageBreak/>
        <w:t xml:space="preserve">reduced if tariff concessions are available to Australian producers. The penalties are reflected in the Commission’s estimates of input assistance. </w:t>
      </w:r>
    </w:p>
    <w:p w:rsidR="005E14D9" w:rsidRDefault="005E14D9" w:rsidP="005E14D9">
      <w:pPr>
        <w:pStyle w:val="ListBullet"/>
      </w:pPr>
      <w:r>
        <w:t>Net tariff assistance represents the ‘effective’ assistance provided through tariffs to industry, and is calculated as output tariff assistance less the input assistance,</w:t>
      </w:r>
      <w:r w:rsidR="007A31AD">
        <w:t xml:space="preserve"> where input assistance is the </w:t>
      </w:r>
      <w:r w:rsidR="006B09C3">
        <w:t xml:space="preserve">cost </w:t>
      </w:r>
      <w:r>
        <w:t xml:space="preserve">penalty </w:t>
      </w:r>
      <w:r w:rsidR="006B09C3">
        <w:t xml:space="preserve">on business inputs </w:t>
      </w:r>
      <w:r>
        <w:t>imposed by tariffs.</w:t>
      </w:r>
    </w:p>
    <w:p w:rsidR="00F5495A" w:rsidRDefault="00F5495A" w:rsidP="00F5495A">
      <w:pPr>
        <w:pStyle w:val="Heading3"/>
      </w:pPr>
      <w:r>
        <w:t>Output assistance</w:t>
      </w:r>
    </w:p>
    <w:p w:rsidR="00C15576" w:rsidRDefault="00835B33" w:rsidP="00C15576">
      <w:pPr>
        <w:pStyle w:val="BodyText"/>
      </w:pPr>
      <w:r>
        <w:t>T</w:t>
      </w:r>
      <w:r w:rsidR="00C15576">
        <w:t>he Commission estimates that the gross value of tariff assistance to domestic production was around $</w:t>
      </w:r>
      <w:r w:rsidR="00C15576" w:rsidRPr="00C763BD">
        <w:t>7.</w:t>
      </w:r>
      <w:r w:rsidR="00C15576">
        <w:t>8</w:t>
      </w:r>
      <w:r w:rsidR="00C15576" w:rsidRPr="00A031BD">
        <w:t> </w:t>
      </w:r>
      <w:r w:rsidR="00C15576">
        <w:t>billion in 2012</w:t>
      </w:r>
      <w:r w:rsidR="00C15576">
        <w:noBreakHyphen/>
        <w:t>13 (table </w:t>
      </w:r>
      <w:r w:rsidR="00E121B3">
        <w:t>4.1</w:t>
      </w:r>
      <w:r w:rsidR="00C15576">
        <w:t xml:space="preserve">). The estimated </w:t>
      </w:r>
      <w:r w:rsidR="00C15576" w:rsidRPr="005A480F">
        <w:t>decline</w:t>
      </w:r>
      <w:r w:rsidR="00C15576">
        <w:t>s</w:t>
      </w:r>
      <w:r w:rsidR="00C15576" w:rsidRPr="005A480F">
        <w:t xml:space="preserve"> </w:t>
      </w:r>
      <w:r w:rsidR="00C15576">
        <w:t>in the years 2009</w:t>
      </w:r>
      <w:r w:rsidR="00C15576">
        <w:noBreakHyphen/>
        <w:t>10 and 2010</w:t>
      </w:r>
      <w:r w:rsidR="00C15576">
        <w:noBreakHyphen/>
        <w:t>11 mainly reflect reductions in assistance to passenger motor vehicles and parts, and textiles, clothing and footwear products in January</w:t>
      </w:r>
      <w:r w:rsidR="00D862BD">
        <w:t> </w:t>
      </w:r>
      <w:r w:rsidR="00C15576">
        <w:t xml:space="preserve">2010. The estimated decline in </w:t>
      </w:r>
      <w:r w:rsidR="00C15576" w:rsidRPr="00C374BC">
        <w:t>201</w:t>
      </w:r>
      <w:r w:rsidR="00C15576">
        <w:t>2</w:t>
      </w:r>
      <w:r w:rsidR="00C15576" w:rsidRPr="00C374BC">
        <w:noBreakHyphen/>
        <w:t>1</w:t>
      </w:r>
      <w:r w:rsidR="00C15576">
        <w:t>3</w:t>
      </w:r>
      <w:r w:rsidR="00C15576" w:rsidRPr="00C374BC">
        <w:t xml:space="preserve"> reflects lower output levels in tariff assisted activities (mainly</w:t>
      </w:r>
      <w:r w:rsidR="008565FC">
        <w:t xml:space="preserve"> metal and fabricated metal products, </w:t>
      </w:r>
      <w:r w:rsidR="00C15576" w:rsidRPr="00C374BC">
        <w:t>food, beverages and tobacco,</w:t>
      </w:r>
      <w:r w:rsidR="008565FC">
        <w:t xml:space="preserve"> and petroleum, coal, chemical and rubber products</w:t>
      </w:r>
      <w:r w:rsidR="00C15576">
        <w:t>).</w:t>
      </w:r>
      <w:r>
        <w:t xml:space="preserve"> </w:t>
      </w:r>
    </w:p>
    <w:p w:rsidR="00F5495A" w:rsidRDefault="00F5495A">
      <w:pPr>
        <w:pStyle w:val="TableTitle"/>
      </w:pPr>
      <w:r>
        <w:rPr>
          <w:b w:val="0"/>
        </w:rPr>
        <w:t xml:space="preserve">Table </w:t>
      </w:r>
      <w:bookmarkStart w:id="5" w:name="OLE_LINK11"/>
      <w:r w:rsidR="00361E17">
        <w:rPr>
          <w:b w:val="0"/>
        </w:rPr>
        <w:t>4.</w:t>
      </w:r>
      <w:r w:rsidR="00000604">
        <w:rPr>
          <w:b w:val="0"/>
          <w:noProof/>
        </w:rPr>
        <w:t>1</w:t>
      </w:r>
      <w:bookmarkEnd w:id="5"/>
      <w:r>
        <w:tab/>
        <w:t>Tariff assistance, 2007</w:t>
      </w:r>
      <w:r>
        <w:noBreakHyphen/>
        <w:t>08 to 2012</w:t>
      </w:r>
      <w:r>
        <w:noBreakHyphen/>
        <w:t>13</w:t>
      </w:r>
      <w:r w:rsidR="005F0FF2" w:rsidRPr="005F0FF2">
        <w:rPr>
          <w:rStyle w:val="NoteLabel"/>
        </w:rPr>
        <w:t>a</w:t>
      </w:r>
    </w:p>
    <w:p w:rsidR="00F5495A" w:rsidRDefault="00F5495A">
      <w:pPr>
        <w:pStyle w:val="Subtitle"/>
      </w:pPr>
      <w:r>
        <w:t>$ million (nominal)</w:t>
      </w:r>
    </w:p>
    <w:tbl>
      <w:tblPr>
        <w:tblW w:w="5000" w:type="pct"/>
        <w:tblCellMar>
          <w:left w:w="0" w:type="dxa"/>
          <w:right w:w="0" w:type="dxa"/>
        </w:tblCellMar>
        <w:tblLook w:val="0000" w:firstRow="0" w:lastRow="0" w:firstColumn="0" w:lastColumn="0" w:noHBand="0" w:noVBand="0"/>
      </w:tblPr>
      <w:tblGrid>
        <w:gridCol w:w="2325"/>
        <w:gridCol w:w="1078"/>
        <w:gridCol w:w="1078"/>
        <w:gridCol w:w="1078"/>
        <w:gridCol w:w="1078"/>
        <w:gridCol w:w="1076"/>
        <w:gridCol w:w="1076"/>
      </w:tblGrid>
      <w:tr w:rsidR="00F5495A" w:rsidTr="00F5495A">
        <w:tc>
          <w:tcPr>
            <w:tcW w:w="1323" w:type="pct"/>
            <w:tcBorders>
              <w:top w:val="single" w:sz="6" w:space="0" w:color="auto"/>
              <w:bottom w:val="single" w:sz="6" w:space="0" w:color="auto"/>
            </w:tcBorders>
            <w:shd w:val="clear" w:color="auto" w:fill="auto"/>
          </w:tcPr>
          <w:p w:rsidR="00F5495A" w:rsidRDefault="00F5495A" w:rsidP="00C2755E">
            <w:pPr>
              <w:pStyle w:val="TableColumnHeading"/>
              <w:jc w:val="left"/>
            </w:pPr>
          </w:p>
        </w:tc>
        <w:tc>
          <w:tcPr>
            <w:tcW w:w="613" w:type="pct"/>
            <w:tcBorders>
              <w:top w:val="single" w:sz="6" w:space="0" w:color="auto"/>
              <w:bottom w:val="single" w:sz="6" w:space="0" w:color="auto"/>
            </w:tcBorders>
          </w:tcPr>
          <w:p w:rsidR="00F5495A" w:rsidRDefault="005F0FF2" w:rsidP="00C2755E">
            <w:pPr>
              <w:pStyle w:val="TableColumnHeading"/>
            </w:pPr>
            <w:r>
              <w:t>2007-08</w:t>
            </w:r>
          </w:p>
        </w:tc>
        <w:tc>
          <w:tcPr>
            <w:tcW w:w="613" w:type="pct"/>
            <w:tcBorders>
              <w:top w:val="single" w:sz="6" w:space="0" w:color="auto"/>
              <w:bottom w:val="single" w:sz="6" w:space="0" w:color="auto"/>
            </w:tcBorders>
          </w:tcPr>
          <w:p w:rsidR="00F5495A" w:rsidRDefault="005F0FF2" w:rsidP="00C2755E">
            <w:pPr>
              <w:pStyle w:val="TableColumnHeading"/>
            </w:pPr>
            <w:r>
              <w:t>2008-09</w:t>
            </w:r>
          </w:p>
        </w:tc>
        <w:tc>
          <w:tcPr>
            <w:tcW w:w="613" w:type="pct"/>
            <w:tcBorders>
              <w:top w:val="single" w:sz="6" w:space="0" w:color="auto"/>
              <w:bottom w:val="single" w:sz="6" w:space="0" w:color="auto"/>
            </w:tcBorders>
          </w:tcPr>
          <w:p w:rsidR="00F5495A" w:rsidRDefault="005F0FF2" w:rsidP="00C2755E">
            <w:pPr>
              <w:pStyle w:val="TableColumnHeading"/>
            </w:pPr>
            <w:r>
              <w:t>2009-10</w:t>
            </w:r>
          </w:p>
        </w:tc>
        <w:tc>
          <w:tcPr>
            <w:tcW w:w="613" w:type="pct"/>
            <w:tcBorders>
              <w:top w:val="single" w:sz="6" w:space="0" w:color="auto"/>
              <w:bottom w:val="single" w:sz="6" w:space="0" w:color="auto"/>
            </w:tcBorders>
          </w:tcPr>
          <w:p w:rsidR="00F5495A" w:rsidRDefault="005F0FF2" w:rsidP="00C2755E">
            <w:pPr>
              <w:pStyle w:val="TableColumnHeading"/>
            </w:pPr>
            <w:r>
              <w:t>2010-11</w:t>
            </w:r>
          </w:p>
        </w:tc>
        <w:tc>
          <w:tcPr>
            <w:tcW w:w="612" w:type="pct"/>
            <w:tcBorders>
              <w:top w:val="single" w:sz="6" w:space="0" w:color="auto"/>
              <w:bottom w:val="single" w:sz="6" w:space="0" w:color="auto"/>
            </w:tcBorders>
            <w:shd w:val="clear" w:color="auto" w:fill="auto"/>
          </w:tcPr>
          <w:p w:rsidR="00F5495A" w:rsidRDefault="005F0FF2" w:rsidP="00C2755E">
            <w:pPr>
              <w:pStyle w:val="TableColumnHeading"/>
            </w:pPr>
            <w:r>
              <w:t>2011-12</w:t>
            </w:r>
          </w:p>
        </w:tc>
        <w:tc>
          <w:tcPr>
            <w:tcW w:w="612" w:type="pct"/>
            <w:tcBorders>
              <w:top w:val="single" w:sz="6" w:space="0" w:color="auto"/>
              <w:bottom w:val="single" w:sz="6" w:space="0" w:color="auto"/>
            </w:tcBorders>
            <w:shd w:val="clear" w:color="auto" w:fill="auto"/>
          </w:tcPr>
          <w:p w:rsidR="00F5495A" w:rsidRDefault="005F0FF2" w:rsidP="005F0FF2">
            <w:pPr>
              <w:pStyle w:val="TableColumnHeading"/>
            </w:pPr>
            <w:r>
              <w:t>2012-13</w:t>
            </w:r>
          </w:p>
        </w:tc>
      </w:tr>
      <w:tr w:rsidR="00F965FC" w:rsidTr="00F965FC">
        <w:tc>
          <w:tcPr>
            <w:tcW w:w="1323" w:type="pct"/>
          </w:tcPr>
          <w:p w:rsidR="00F965FC" w:rsidRDefault="00F965FC" w:rsidP="00F965FC">
            <w:pPr>
              <w:pStyle w:val="TableBodyText"/>
              <w:spacing w:before="40"/>
              <w:jc w:val="left"/>
            </w:pPr>
            <w:r>
              <w:t>Output assistance</w:t>
            </w:r>
          </w:p>
        </w:tc>
        <w:tc>
          <w:tcPr>
            <w:tcW w:w="613" w:type="pct"/>
          </w:tcPr>
          <w:p w:rsidR="00F965FC" w:rsidRPr="00F965FC" w:rsidRDefault="00F965FC" w:rsidP="00F965FC">
            <w:pPr>
              <w:pStyle w:val="TableBodyText"/>
              <w:spacing w:before="40"/>
            </w:pPr>
            <w:r w:rsidRPr="00F965FC">
              <w:t>8891.2</w:t>
            </w:r>
          </w:p>
        </w:tc>
        <w:tc>
          <w:tcPr>
            <w:tcW w:w="613" w:type="pct"/>
          </w:tcPr>
          <w:p w:rsidR="00F965FC" w:rsidRPr="00F965FC" w:rsidRDefault="00F965FC" w:rsidP="00F965FC">
            <w:pPr>
              <w:pStyle w:val="TableBodyText"/>
              <w:spacing w:before="40"/>
            </w:pPr>
            <w:r w:rsidRPr="00F965FC">
              <w:t>8936.3</w:t>
            </w:r>
          </w:p>
        </w:tc>
        <w:tc>
          <w:tcPr>
            <w:tcW w:w="613" w:type="pct"/>
          </w:tcPr>
          <w:p w:rsidR="00F965FC" w:rsidRPr="00F965FC" w:rsidRDefault="00F965FC" w:rsidP="00F965FC">
            <w:pPr>
              <w:pStyle w:val="TableBodyText"/>
              <w:spacing w:before="40"/>
            </w:pPr>
            <w:r w:rsidRPr="00F965FC">
              <w:t>8396.0</w:t>
            </w:r>
          </w:p>
        </w:tc>
        <w:tc>
          <w:tcPr>
            <w:tcW w:w="613" w:type="pct"/>
          </w:tcPr>
          <w:p w:rsidR="00F965FC" w:rsidRPr="00F965FC" w:rsidRDefault="00F965FC" w:rsidP="00F965FC">
            <w:pPr>
              <w:pStyle w:val="TableBodyText"/>
              <w:spacing w:before="40"/>
            </w:pPr>
            <w:r w:rsidRPr="00F965FC">
              <w:t>8080.5</w:t>
            </w:r>
          </w:p>
        </w:tc>
        <w:tc>
          <w:tcPr>
            <w:tcW w:w="612" w:type="pct"/>
          </w:tcPr>
          <w:p w:rsidR="00F965FC" w:rsidRPr="00F965FC" w:rsidRDefault="00F965FC" w:rsidP="00F965FC">
            <w:pPr>
              <w:pStyle w:val="TableBodyText"/>
              <w:spacing w:before="40"/>
            </w:pPr>
            <w:r w:rsidRPr="00F965FC">
              <w:t>8115.0</w:t>
            </w:r>
          </w:p>
        </w:tc>
        <w:tc>
          <w:tcPr>
            <w:tcW w:w="612" w:type="pct"/>
          </w:tcPr>
          <w:p w:rsidR="00F965FC" w:rsidRPr="00F965FC" w:rsidRDefault="00F965FC" w:rsidP="00F965FC">
            <w:pPr>
              <w:pStyle w:val="TableBodyText"/>
              <w:spacing w:before="40"/>
            </w:pPr>
            <w:r w:rsidRPr="00F965FC">
              <w:t>7843.1</w:t>
            </w:r>
          </w:p>
        </w:tc>
      </w:tr>
      <w:tr w:rsidR="00F965FC" w:rsidTr="00F965FC">
        <w:tc>
          <w:tcPr>
            <w:tcW w:w="1323" w:type="pct"/>
          </w:tcPr>
          <w:p w:rsidR="00F965FC" w:rsidRDefault="00F965FC" w:rsidP="00F965FC">
            <w:pPr>
              <w:pStyle w:val="TableBodyText"/>
              <w:spacing w:before="40"/>
              <w:jc w:val="left"/>
            </w:pPr>
            <w:r>
              <w:t>Input penalty</w:t>
            </w:r>
          </w:p>
        </w:tc>
        <w:tc>
          <w:tcPr>
            <w:tcW w:w="613" w:type="pct"/>
          </w:tcPr>
          <w:p w:rsidR="00F965FC" w:rsidRPr="00F965FC" w:rsidRDefault="00F965FC" w:rsidP="00F965FC">
            <w:pPr>
              <w:pStyle w:val="TableBodyText"/>
              <w:spacing w:before="40"/>
            </w:pPr>
            <w:r w:rsidRPr="00F965FC">
              <w:t>-6444.0</w:t>
            </w:r>
          </w:p>
        </w:tc>
        <w:tc>
          <w:tcPr>
            <w:tcW w:w="613" w:type="pct"/>
          </w:tcPr>
          <w:p w:rsidR="00F965FC" w:rsidRPr="00F965FC" w:rsidRDefault="00F965FC" w:rsidP="00F965FC">
            <w:pPr>
              <w:pStyle w:val="TableBodyText"/>
              <w:spacing w:before="40"/>
            </w:pPr>
            <w:r w:rsidRPr="00F965FC">
              <w:t>-6717.0</w:t>
            </w:r>
          </w:p>
        </w:tc>
        <w:tc>
          <w:tcPr>
            <w:tcW w:w="613" w:type="pct"/>
          </w:tcPr>
          <w:p w:rsidR="00F965FC" w:rsidRPr="00F965FC" w:rsidRDefault="00F965FC" w:rsidP="00F965FC">
            <w:pPr>
              <w:pStyle w:val="TableBodyText"/>
              <w:spacing w:before="40"/>
            </w:pPr>
            <w:r w:rsidRPr="00F965FC">
              <w:t>-6665.4</w:t>
            </w:r>
          </w:p>
        </w:tc>
        <w:tc>
          <w:tcPr>
            <w:tcW w:w="613" w:type="pct"/>
          </w:tcPr>
          <w:p w:rsidR="00F965FC" w:rsidRPr="00F965FC" w:rsidRDefault="00F965FC" w:rsidP="00F965FC">
            <w:pPr>
              <w:pStyle w:val="TableBodyText"/>
              <w:spacing w:before="40"/>
            </w:pPr>
            <w:r w:rsidRPr="00F965FC">
              <w:t>-6660.4</w:t>
            </w:r>
          </w:p>
        </w:tc>
        <w:tc>
          <w:tcPr>
            <w:tcW w:w="612" w:type="pct"/>
          </w:tcPr>
          <w:p w:rsidR="00F965FC" w:rsidRPr="00F965FC" w:rsidRDefault="00F965FC" w:rsidP="00F965FC">
            <w:pPr>
              <w:pStyle w:val="TableBodyText"/>
              <w:spacing w:before="40"/>
            </w:pPr>
            <w:r w:rsidRPr="00F965FC">
              <w:t>-7049.0</w:t>
            </w:r>
          </w:p>
        </w:tc>
        <w:tc>
          <w:tcPr>
            <w:tcW w:w="612" w:type="pct"/>
          </w:tcPr>
          <w:p w:rsidR="00F965FC" w:rsidRPr="00F965FC" w:rsidRDefault="00F965FC" w:rsidP="00F965FC">
            <w:pPr>
              <w:pStyle w:val="TableBodyText"/>
              <w:spacing w:before="40"/>
            </w:pPr>
            <w:r w:rsidRPr="00F965FC">
              <w:t>-7112.4</w:t>
            </w:r>
          </w:p>
        </w:tc>
      </w:tr>
      <w:tr w:rsidR="00F965FC" w:rsidTr="00F965FC">
        <w:tc>
          <w:tcPr>
            <w:tcW w:w="1323" w:type="pct"/>
            <w:tcBorders>
              <w:bottom w:val="single" w:sz="6" w:space="0" w:color="auto"/>
            </w:tcBorders>
            <w:shd w:val="clear" w:color="auto" w:fill="auto"/>
          </w:tcPr>
          <w:p w:rsidR="00F965FC" w:rsidRDefault="00F965FC" w:rsidP="00F965FC">
            <w:pPr>
              <w:pStyle w:val="TableBodyText"/>
              <w:spacing w:before="40"/>
              <w:jc w:val="left"/>
            </w:pPr>
            <w:r>
              <w:t>Net tariff assistance</w:t>
            </w:r>
          </w:p>
        </w:tc>
        <w:tc>
          <w:tcPr>
            <w:tcW w:w="613" w:type="pct"/>
            <w:tcBorders>
              <w:bottom w:val="single" w:sz="6" w:space="0" w:color="auto"/>
            </w:tcBorders>
          </w:tcPr>
          <w:p w:rsidR="00F965FC" w:rsidRPr="00F965FC" w:rsidRDefault="00F965FC" w:rsidP="00F965FC">
            <w:pPr>
              <w:pStyle w:val="TableBodyText"/>
              <w:spacing w:before="40"/>
            </w:pPr>
            <w:r w:rsidRPr="00F965FC">
              <w:t>2447.1</w:t>
            </w:r>
          </w:p>
        </w:tc>
        <w:tc>
          <w:tcPr>
            <w:tcW w:w="613" w:type="pct"/>
            <w:tcBorders>
              <w:bottom w:val="single" w:sz="6" w:space="0" w:color="auto"/>
            </w:tcBorders>
          </w:tcPr>
          <w:p w:rsidR="00F965FC" w:rsidRPr="00F965FC" w:rsidRDefault="00F965FC" w:rsidP="00F965FC">
            <w:pPr>
              <w:pStyle w:val="TableBodyText"/>
              <w:spacing w:before="40"/>
            </w:pPr>
            <w:r w:rsidRPr="00F965FC">
              <w:t>2219.3</w:t>
            </w:r>
          </w:p>
        </w:tc>
        <w:tc>
          <w:tcPr>
            <w:tcW w:w="613" w:type="pct"/>
            <w:tcBorders>
              <w:bottom w:val="single" w:sz="6" w:space="0" w:color="auto"/>
            </w:tcBorders>
          </w:tcPr>
          <w:p w:rsidR="00F965FC" w:rsidRPr="00F965FC" w:rsidRDefault="00F965FC" w:rsidP="00F965FC">
            <w:pPr>
              <w:pStyle w:val="TableBodyText"/>
              <w:spacing w:before="40"/>
            </w:pPr>
            <w:r w:rsidRPr="00F965FC">
              <w:t>1730.6</w:t>
            </w:r>
          </w:p>
        </w:tc>
        <w:tc>
          <w:tcPr>
            <w:tcW w:w="613" w:type="pct"/>
            <w:tcBorders>
              <w:bottom w:val="single" w:sz="6" w:space="0" w:color="auto"/>
            </w:tcBorders>
          </w:tcPr>
          <w:p w:rsidR="00F965FC" w:rsidRPr="00F965FC" w:rsidRDefault="00F965FC" w:rsidP="00F965FC">
            <w:pPr>
              <w:pStyle w:val="TableBodyText"/>
              <w:spacing w:before="40"/>
            </w:pPr>
            <w:r w:rsidRPr="00F965FC">
              <w:t>1420.1</w:t>
            </w:r>
          </w:p>
        </w:tc>
        <w:tc>
          <w:tcPr>
            <w:tcW w:w="612" w:type="pct"/>
            <w:tcBorders>
              <w:bottom w:val="single" w:sz="6" w:space="0" w:color="auto"/>
            </w:tcBorders>
            <w:shd w:val="clear" w:color="auto" w:fill="auto"/>
          </w:tcPr>
          <w:p w:rsidR="00F965FC" w:rsidRPr="00F965FC" w:rsidRDefault="00F965FC" w:rsidP="00F965FC">
            <w:pPr>
              <w:pStyle w:val="TableBodyText"/>
              <w:spacing w:before="40"/>
            </w:pPr>
            <w:r w:rsidRPr="00F965FC">
              <w:t>1066.0</w:t>
            </w:r>
          </w:p>
        </w:tc>
        <w:tc>
          <w:tcPr>
            <w:tcW w:w="612" w:type="pct"/>
            <w:tcBorders>
              <w:bottom w:val="single" w:sz="6" w:space="0" w:color="auto"/>
            </w:tcBorders>
            <w:shd w:val="clear" w:color="auto" w:fill="auto"/>
          </w:tcPr>
          <w:p w:rsidR="00F965FC" w:rsidRPr="00F965FC" w:rsidRDefault="00F965FC" w:rsidP="00F965FC">
            <w:pPr>
              <w:pStyle w:val="TableBodyText"/>
              <w:spacing w:before="40"/>
            </w:pPr>
            <w:r w:rsidRPr="00F965FC">
              <w:t>730.7</w:t>
            </w:r>
          </w:p>
        </w:tc>
      </w:tr>
    </w:tbl>
    <w:p w:rsidR="00F5495A" w:rsidRDefault="00F5495A" w:rsidP="00C2755E">
      <w:pPr>
        <w:pStyle w:val="Note"/>
      </w:pPr>
      <w:r w:rsidRPr="008E77FE">
        <w:rPr>
          <w:rStyle w:val="NoteLabel"/>
        </w:rPr>
        <w:t>a</w:t>
      </w:r>
      <w:r w:rsidR="005F0FF2">
        <w:t> </w:t>
      </w:r>
      <w:r w:rsidR="00177A31" w:rsidRPr="00D4077D">
        <w:t>Nominal tariff assistance estimates are derived by re-indexing a reference series based on 2008</w:t>
      </w:r>
      <w:r w:rsidR="00177A31">
        <w:noBreakHyphen/>
      </w:r>
      <w:r w:rsidR="00177A31" w:rsidRPr="00D4077D">
        <w:t>09 ABS input-output data, using ABS Industry Gross Value Added</w:t>
      </w:r>
      <w:r w:rsidR="00177A31">
        <w:t xml:space="preserve"> </w:t>
      </w:r>
      <w:r w:rsidR="00177A31" w:rsidRPr="00D4077D">
        <w:t>at current prices data</w:t>
      </w:r>
      <w:r w:rsidR="000871FB">
        <w:t xml:space="preserve"> and supporting data,</w:t>
      </w:r>
      <w:r w:rsidR="00177A31">
        <w:t xml:space="preserve"> for all industries except Mining. For Mining, in order to abstract from the effects of terms of trade changes, the estimates are re-indexed using the ABS Industry Gross Value Added, </w:t>
      </w:r>
      <w:r w:rsidR="000871FB">
        <w:t>c</w:t>
      </w:r>
      <w:r w:rsidR="00177A31">
        <w:t xml:space="preserve">hain </w:t>
      </w:r>
      <w:r w:rsidR="000871FB">
        <w:t>v</w:t>
      </w:r>
      <w:r w:rsidR="00177A31">
        <w:t>olume measures</w:t>
      </w:r>
      <w:r w:rsidR="00177A31" w:rsidRPr="00D4077D">
        <w:t>. This information is subject to periodic revision by the ABS.</w:t>
      </w:r>
      <w:r w:rsidR="00177A31">
        <w:t xml:space="preserve"> </w:t>
      </w:r>
    </w:p>
    <w:p w:rsidR="00F5495A" w:rsidRDefault="00F5495A" w:rsidP="00C2755E">
      <w:pPr>
        <w:pStyle w:val="Source"/>
      </w:pPr>
      <w:r>
        <w:rPr>
          <w:i/>
        </w:rPr>
        <w:t>Source</w:t>
      </w:r>
      <w:r>
        <w:t>: Commission estimates.</w:t>
      </w:r>
    </w:p>
    <w:p w:rsidR="00CD3AD0" w:rsidRDefault="00F5495A" w:rsidP="00F5495A">
      <w:pPr>
        <w:pStyle w:val="Heading3"/>
      </w:pPr>
      <w:r>
        <w:t>Input penalty</w:t>
      </w:r>
    </w:p>
    <w:p w:rsidR="00C15576" w:rsidRDefault="00982F55" w:rsidP="00C15576">
      <w:pPr>
        <w:pStyle w:val="BodyText"/>
      </w:pPr>
      <w:r>
        <w:t>T</w:t>
      </w:r>
      <w:r w:rsidR="00C15576">
        <w:t>he estimated cost penalty on inputs to user industries (including primary, manufacturing and service</w:t>
      </w:r>
      <w:r w:rsidR="007A31AD">
        <w:t>s</w:t>
      </w:r>
      <w:r w:rsidR="00C15576">
        <w:t xml:space="preserve"> industries) arising from tariffs was around $7</w:t>
      </w:r>
      <w:r w:rsidR="00C15576" w:rsidRPr="003036A9">
        <w:t>.</w:t>
      </w:r>
      <w:r w:rsidR="00C15576">
        <w:t>1 billion in 2012</w:t>
      </w:r>
      <w:r w:rsidR="00C15576">
        <w:noBreakHyphen/>
        <w:t>13. This compares with a penalty of around $</w:t>
      </w:r>
      <w:r w:rsidR="00C15576" w:rsidRPr="003036A9">
        <w:t>6</w:t>
      </w:r>
      <w:r w:rsidR="00C15576">
        <w:t>.4</w:t>
      </w:r>
      <w:r w:rsidR="00C15576" w:rsidRPr="00A031BD">
        <w:t> </w:t>
      </w:r>
      <w:r w:rsidR="00C15576">
        <w:t xml:space="preserve">billion in </w:t>
      </w:r>
      <w:r w:rsidR="00C15576" w:rsidRPr="00CA542B">
        <w:t>200</w:t>
      </w:r>
      <w:r w:rsidR="00C15576">
        <w:t>7</w:t>
      </w:r>
      <w:r w:rsidR="00C15576" w:rsidRPr="00CA542B">
        <w:noBreakHyphen/>
        <w:t>0</w:t>
      </w:r>
      <w:r w:rsidR="00C15576">
        <w:t xml:space="preserve">8. </w:t>
      </w:r>
      <w:r>
        <w:t>T</w:t>
      </w:r>
      <w:r w:rsidR="00C15576">
        <w:t xml:space="preserve">he estimated penalty has increased in nominal terms with the general growth in the economy and rising price levels. This increase was moderated in </w:t>
      </w:r>
      <w:r w:rsidR="00B73BCF">
        <w:t xml:space="preserve">both </w:t>
      </w:r>
      <w:r w:rsidR="00C15576">
        <w:t>2009</w:t>
      </w:r>
      <w:r w:rsidR="00C15576">
        <w:noBreakHyphen/>
        <w:t>10 and 2010</w:t>
      </w:r>
      <w:r w:rsidR="00C15576">
        <w:noBreakHyphen/>
        <w:t>11 by reductions in tariffs on passenger motor vehicles and parts, and textiles, clothing and footwear products in January 2010.</w:t>
      </w:r>
      <w:r>
        <w:t xml:space="preserve"> </w:t>
      </w:r>
    </w:p>
    <w:p w:rsidR="00F5495A" w:rsidRDefault="00F5495A" w:rsidP="00F5495A">
      <w:pPr>
        <w:pStyle w:val="Heading3"/>
      </w:pPr>
      <w:r>
        <w:lastRenderedPageBreak/>
        <w:t>Net tariff assistance</w:t>
      </w:r>
    </w:p>
    <w:p w:rsidR="00F5495A" w:rsidRDefault="00065716" w:rsidP="00120072">
      <w:pPr>
        <w:pStyle w:val="BodyText"/>
      </w:pPr>
      <w:r>
        <w:t>After deducting the tariff input penalty from the output assistance, net tariff assistance (for the Australian economy) was estimated to be around $0</w:t>
      </w:r>
      <w:r w:rsidRPr="003036A9">
        <w:t>.</w:t>
      </w:r>
      <w:r w:rsidR="00F965FC">
        <w:t>7</w:t>
      </w:r>
      <w:r>
        <w:t> billion in 2012</w:t>
      </w:r>
      <w:r>
        <w:noBreakHyphen/>
        <w:t>13, down from nearly $</w:t>
      </w:r>
      <w:r w:rsidRPr="003036A9">
        <w:t>2.</w:t>
      </w:r>
      <w:r>
        <w:t>5</w:t>
      </w:r>
      <w:r w:rsidRPr="00A031BD">
        <w:t> </w:t>
      </w:r>
      <w:r>
        <w:t>billion in 2007</w:t>
      </w:r>
      <w:r>
        <w:noBreakHyphen/>
        <w:t xml:space="preserve">08. This reflects both high relative growth in the services sector (which incurs significant tariff penalties), especially relative to the manufacturing sector (a significant beneficiary of tariff assistance), together with some reductions in tariffs applied to manufactured products. </w:t>
      </w:r>
    </w:p>
    <w:p w:rsidR="00B73BCF" w:rsidRDefault="00B73BCF" w:rsidP="00120072">
      <w:pPr>
        <w:pStyle w:val="BodyText"/>
      </w:pPr>
      <w:r>
        <w:t>In the Commission’s tariff assistance estimates, preferences granted under Australia’s preferential trading agreements are treated on the basis that domestic prices in Australia remain unchanged (box </w:t>
      </w:r>
      <w:r w:rsidR="00E121B3">
        <w:t>4.2</w:t>
      </w:r>
      <w:r>
        <w:t xml:space="preserve">). </w:t>
      </w:r>
    </w:p>
    <w:p w:rsidR="00F5495A" w:rsidRDefault="00F5495A">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5495A">
        <w:tc>
          <w:tcPr>
            <w:tcW w:w="8771" w:type="dxa"/>
            <w:tcBorders>
              <w:top w:val="single" w:sz="6" w:space="0" w:color="auto"/>
              <w:bottom w:val="nil"/>
            </w:tcBorders>
          </w:tcPr>
          <w:p w:rsidR="00F5495A" w:rsidRDefault="00F5495A">
            <w:pPr>
              <w:pStyle w:val="BoxTitle"/>
            </w:pPr>
            <w:r>
              <w:rPr>
                <w:b w:val="0"/>
              </w:rPr>
              <w:t xml:space="preserve">Box </w:t>
            </w:r>
            <w:bookmarkStart w:id="6" w:name="OLE_LINK10"/>
            <w:r w:rsidR="00361E17">
              <w:rPr>
                <w:b w:val="0"/>
              </w:rPr>
              <w:t>4.</w:t>
            </w:r>
            <w:r w:rsidR="00000604">
              <w:rPr>
                <w:b w:val="0"/>
                <w:noProof/>
              </w:rPr>
              <w:t>2</w:t>
            </w:r>
            <w:bookmarkEnd w:id="6"/>
            <w:r>
              <w:tab/>
              <w:t>Treatment of preferential tariffs in assistance estimates</w:t>
            </w:r>
          </w:p>
        </w:tc>
      </w:tr>
      <w:tr w:rsidR="00F5495A">
        <w:trPr>
          <w:cantSplit/>
        </w:trPr>
        <w:tc>
          <w:tcPr>
            <w:tcW w:w="8771" w:type="dxa"/>
            <w:tcBorders>
              <w:top w:val="nil"/>
              <w:left w:val="single" w:sz="6" w:space="0" w:color="auto"/>
              <w:bottom w:val="nil"/>
              <w:right w:val="single" w:sz="6" w:space="0" w:color="auto"/>
            </w:tcBorders>
          </w:tcPr>
          <w:p w:rsidR="00D01BBB" w:rsidRPr="00ED193C" w:rsidRDefault="00D01BBB" w:rsidP="00ED193C">
            <w:pPr>
              <w:pStyle w:val="Box"/>
            </w:pPr>
            <w:r w:rsidRPr="00ED193C">
              <w:t xml:space="preserve">The tariff preferences provided under Australia’s preferential trading agreements (PTAs) need not result in any change in prices in the domestic market and, thus, in assistance to Australian industry provided by the general (Most Favoured Nation (MFN)) tariff regime. This would be the case if producers in the partner country effectively ‘pocketed’ the tariff concessions, rather than reduced their prices below the prevailing (tariff-inflated) price of rival imports. </w:t>
            </w:r>
          </w:p>
          <w:p w:rsidR="00F5495A" w:rsidRDefault="00D01BBB" w:rsidP="00ED193C">
            <w:pPr>
              <w:pStyle w:val="Box"/>
            </w:pPr>
            <w:r w:rsidRPr="00ED193C">
              <w:t>However, to the extent that tariff concessions provided by PTAs reduce the prices of imported products in the Australian market, assistance to the relevant industry’s outputs would be lower than that implied by the MFN rate. At the same time though, where the price of imported inputs falls as a result of PTA preferences, the penalties (or negative assistance) on the industry’s inputs will also be lower than implied by the MFN rate. Whether this leads to a net overstatement or understatement of assistance to the Australian industry in question would depend on trade patterns with the PTA partner countries, which products are subject to price reductions, and their relative magnitudes.</w:t>
            </w:r>
          </w:p>
        </w:tc>
      </w:tr>
      <w:tr w:rsidR="00F5495A">
        <w:trPr>
          <w:cantSplit/>
        </w:trPr>
        <w:tc>
          <w:tcPr>
            <w:tcW w:w="8771" w:type="dxa"/>
            <w:tcBorders>
              <w:top w:val="nil"/>
              <w:left w:val="single" w:sz="6" w:space="0" w:color="auto"/>
              <w:bottom w:val="nil"/>
              <w:right w:val="single" w:sz="6" w:space="0" w:color="auto"/>
            </w:tcBorders>
          </w:tcPr>
          <w:p w:rsidR="00F5495A" w:rsidRDefault="00F5495A" w:rsidP="00F5495A">
            <w:pPr>
              <w:pStyle w:val="BoxSource"/>
            </w:pPr>
            <w:r>
              <w:rPr>
                <w:i/>
              </w:rPr>
              <w:t>Sources</w:t>
            </w:r>
            <w:r w:rsidRPr="00167F06">
              <w:t xml:space="preserve">: </w:t>
            </w:r>
            <w:r>
              <w:t>PC (2004a; 2004b; 2008).</w:t>
            </w:r>
          </w:p>
        </w:tc>
      </w:tr>
      <w:tr w:rsidR="00F5495A">
        <w:trPr>
          <w:cantSplit/>
        </w:trPr>
        <w:tc>
          <w:tcPr>
            <w:tcW w:w="8771" w:type="dxa"/>
            <w:tcBorders>
              <w:top w:val="nil"/>
              <w:left w:val="single" w:sz="6" w:space="0" w:color="auto"/>
              <w:bottom w:val="single" w:sz="6" w:space="0" w:color="auto"/>
              <w:right w:val="single" w:sz="6" w:space="0" w:color="auto"/>
            </w:tcBorders>
          </w:tcPr>
          <w:p w:rsidR="00F5495A" w:rsidRDefault="00F5495A">
            <w:pPr>
              <w:pStyle w:val="Box"/>
              <w:spacing w:before="0" w:line="120" w:lineRule="exact"/>
            </w:pPr>
          </w:p>
        </w:tc>
      </w:tr>
      <w:tr w:rsidR="00F5495A" w:rsidRPr="000863A5">
        <w:tc>
          <w:tcPr>
            <w:tcW w:w="8771" w:type="dxa"/>
            <w:tcBorders>
              <w:top w:val="nil"/>
              <w:left w:val="nil"/>
              <w:bottom w:val="nil"/>
              <w:right w:val="nil"/>
            </w:tcBorders>
          </w:tcPr>
          <w:p w:rsidR="00F5495A" w:rsidRPr="00626D32" w:rsidRDefault="00F5495A" w:rsidP="00C2755E">
            <w:pPr>
              <w:pStyle w:val="BoxSpaceBelow"/>
            </w:pPr>
          </w:p>
        </w:tc>
      </w:tr>
    </w:tbl>
    <w:p w:rsidR="00F5495A" w:rsidRDefault="00F5495A" w:rsidP="00F5495A">
      <w:pPr>
        <w:pStyle w:val="Heading3"/>
      </w:pPr>
      <w:r>
        <w:t>Tariff assistance by industry grouping</w:t>
      </w:r>
    </w:p>
    <w:p w:rsidR="002E23A0" w:rsidRPr="002E23A0" w:rsidRDefault="002E23A0" w:rsidP="002E23A0">
      <w:pPr>
        <w:pStyle w:val="BodyText"/>
      </w:pPr>
      <w:r w:rsidRPr="002E23A0">
        <w:t xml:space="preserve">Most tariff assistance on outputs is directed towards the manufacturing sector, and in particular the </w:t>
      </w:r>
      <w:r w:rsidRPr="002E23A0">
        <w:rPr>
          <w:i/>
        </w:rPr>
        <w:t>Food, beverages and tobacco</w:t>
      </w:r>
      <w:r w:rsidR="00504803">
        <w:t xml:space="preserve"> </w:t>
      </w:r>
      <w:r w:rsidRPr="002E23A0">
        <w:t>($1.7 billion),</w:t>
      </w:r>
      <w:r w:rsidR="00504803">
        <w:t xml:space="preserve"> </w:t>
      </w:r>
      <w:r w:rsidR="00504803" w:rsidRPr="002E23A0">
        <w:rPr>
          <w:i/>
        </w:rPr>
        <w:t>Metal and fabricated metal products</w:t>
      </w:r>
      <w:r w:rsidR="00504803" w:rsidRPr="002E23A0">
        <w:t xml:space="preserve"> ($1.</w:t>
      </w:r>
      <w:r w:rsidR="00504803">
        <w:t>7 billion),</w:t>
      </w:r>
      <w:r w:rsidRPr="002E23A0">
        <w:t xml:space="preserve"> </w:t>
      </w:r>
      <w:r w:rsidRPr="002E23A0">
        <w:rPr>
          <w:i/>
        </w:rPr>
        <w:t>Petroleum, coal, chemical and rubber products</w:t>
      </w:r>
      <w:r w:rsidRPr="002E23A0">
        <w:t xml:space="preserve"> ($1 billion), and </w:t>
      </w:r>
      <w:r w:rsidRPr="002E23A0">
        <w:rPr>
          <w:i/>
        </w:rPr>
        <w:t>Motor vehicles and parts</w:t>
      </w:r>
      <w:r w:rsidRPr="002E23A0">
        <w:t xml:space="preserve"> ($0.8 billion) industry groups (table </w:t>
      </w:r>
      <w:r w:rsidR="00E121B3">
        <w:t>4.2</w:t>
      </w:r>
      <w:r w:rsidRPr="002E23A0">
        <w:t xml:space="preserve"> left hand column). </w:t>
      </w:r>
    </w:p>
    <w:p w:rsidR="00AD672D" w:rsidRDefault="00AD672D">
      <w:pPr>
        <w:pStyle w:val="TableTitle"/>
      </w:pPr>
      <w:r>
        <w:rPr>
          <w:b w:val="0"/>
        </w:rPr>
        <w:lastRenderedPageBreak/>
        <w:t xml:space="preserve">Table </w:t>
      </w:r>
      <w:bookmarkStart w:id="7" w:name="OLE_LINK12"/>
      <w:r w:rsidR="00361E17">
        <w:rPr>
          <w:b w:val="0"/>
        </w:rPr>
        <w:t>4.</w:t>
      </w:r>
      <w:r w:rsidR="00000604">
        <w:rPr>
          <w:b w:val="0"/>
          <w:noProof/>
        </w:rPr>
        <w:t>2</w:t>
      </w:r>
      <w:bookmarkEnd w:id="7"/>
      <w:r>
        <w:tab/>
      </w:r>
      <w:r w:rsidR="003F68E0">
        <w:t>T</w:t>
      </w:r>
      <w:r>
        <w:t xml:space="preserve">ariff assistance by industry </w:t>
      </w:r>
      <w:r w:rsidR="003F68E0">
        <w:t>grouping</w:t>
      </w:r>
      <w:r w:rsidR="00CC6C22">
        <w:t xml:space="preserve">, </w:t>
      </w:r>
      <w:r>
        <w:t>2012</w:t>
      </w:r>
      <w:r>
        <w:noBreakHyphen/>
        <w:t>13</w:t>
      </w:r>
      <w:r w:rsidR="003F68E0" w:rsidRPr="000871FB">
        <w:rPr>
          <w:rStyle w:val="NoteLabel"/>
        </w:rPr>
        <w:t>a,b</w:t>
      </w:r>
    </w:p>
    <w:p w:rsidR="00AD672D" w:rsidRDefault="00AD672D">
      <w:pPr>
        <w:pStyle w:val="Subtitle"/>
      </w:pPr>
      <w:r>
        <w:t>$ million (nominal)</w:t>
      </w:r>
    </w:p>
    <w:tbl>
      <w:tblPr>
        <w:tblW w:w="4990" w:type="pct"/>
        <w:tblCellMar>
          <w:left w:w="0" w:type="dxa"/>
          <w:right w:w="0" w:type="dxa"/>
        </w:tblCellMar>
        <w:tblLook w:val="0000" w:firstRow="0" w:lastRow="0" w:firstColumn="0" w:lastColumn="0" w:noHBand="0" w:noVBand="0"/>
      </w:tblPr>
      <w:tblGrid>
        <w:gridCol w:w="4256"/>
        <w:gridCol w:w="1417"/>
        <w:gridCol w:w="1556"/>
        <w:gridCol w:w="1542"/>
      </w:tblGrid>
      <w:tr w:rsidR="00ED4BCF" w:rsidTr="00ED4BCF">
        <w:tc>
          <w:tcPr>
            <w:tcW w:w="2426" w:type="pct"/>
            <w:tcBorders>
              <w:top w:val="single" w:sz="6" w:space="0" w:color="auto"/>
              <w:bottom w:val="single" w:sz="6" w:space="0" w:color="auto"/>
            </w:tcBorders>
            <w:shd w:val="clear" w:color="auto" w:fill="auto"/>
            <w:vAlign w:val="bottom"/>
          </w:tcPr>
          <w:p w:rsidR="00361BA6" w:rsidRDefault="00361BA6" w:rsidP="00361BA6">
            <w:pPr>
              <w:pStyle w:val="TableColumnHeading"/>
              <w:jc w:val="left"/>
            </w:pPr>
            <w:r>
              <w:t>Industry grouping</w:t>
            </w:r>
          </w:p>
        </w:tc>
        <w:tc>
          <w:tcPr>
            <w:tcW w:w="808" w:type="pct"/>
            <w:tcBorders>
              <w:top w:val="single" w:sz="6" w:space="0" w:color="auto"/>
              <w:bottom w:val="single" w:sz="6" w:space="0" w:color="auto"/>
            </w:tcBorders>
            <w:shd w:val="clear" w:color="auto" w:fill="auto"/>
            <w:vAlign w:val="bottom"/>
          </w:tcPr>
          <w:p w:rsidR="00361BA6" w:rsidRDefault="00361BA6" w:rsidP="00361BA6">
            <w:pPr>
              <w:pStyle w:val="TableColumnHeading"/>
            </w:pPr>
            <w:r>
              <w:t>Output assistance</w:t>
            </w:r>
          </w:p>
        </w:tc>
        <w:tc>
          <w:tcPr>
            <w:tcW w:w="887" w:type="pct"/>
            <w:tcBorders>
              <w:top w:val="single" w:sz="6" w:space="0" w:color="auto"/>
              <w:bottom w:val="single" w:sz="6" w:space="0" w:color="auto"/>
            </w:tcBorders>
            <w:vAlign w:val="bottom"/>
          </w:tcPr>
          <w:p w:rsidR="00361BA6" w:rsidRDefault="00361BA6" w:rsidP="00361BA6">
            <w:pPr>
              <w:pStyle w:val="TableColumnHeading"/>
              <w:ind w:right="28"/>
            </w:pPr>
            <w:r>
              <w:t>Input cost penalty</w:t>
            </w:r>
          </w:p>
        </w:tc>
        <w:tc>
          <w:tcPr>
            <w:tcW w:w="880" w:type="pct"/>
            <w:tcBorders>
              <w:top w:val="single" w:sz="6" w:space="0" w:color="auto"/>
              <w:bottom w:val="single" w:sz="6" w:space="0" w:color="auto"/>
            </w:tcBorders>
            <w:shd w:val="clear" w:color="auto" w:fill="auto"/>
            <w:vAlign w:val="bottom"/>
          </w:tcPr>
          <w:p w:rsidR="00361BA6" w:rsidRDefault="00361BA6" w:rsidP="00361BA6">
            <w:pPr>
              <w:pStyle w:val="TableColumnHeading"/>
              <w:ind w:right="28"/>
            </w:pPr>
            <w:r>
              <w:t>Net tariff assistance</w:t>
            </w:r>
          </w:p>
        </w:tc>
      </w:tr>
      <w:tr w:rsidR="00ED4BCF" w:rsidRPr="004F78AB" w:rsidTr="00ED4BCF">
        <w:tc>
          <w:tcPr>
            <w:tcW w:w="2426" w:type="pct"/>
            <w:tcBorders>
              <w:top w:val="single" w:sz="6" w:space="0" w:color="auto"/>
            </w:tcBorders>
            <w:vAlign w:val="bottom"/>
          </w:tcPr>
          <w:p w:rsidR="00361BA6" w:rsidRPr="004F78AB" w:rsidRDefault="00361BA6" w:rsidP="004F78AB">
            <w:pPr>
              <w:pStyle w:val="TableBodyText"/>
              <w:spacing w:before="60"/>
              <w:jc w:val="left"/>
              <w:rPr>
                <w:b/>
              </w:rPr>
            </w:pPr>
            <w:r w:rsidRPr="004F78AB">
              <w:rPr>
                <w:b/>
              </w:rPr>
              <w:t>Primary production</w:t>
            </w:r>
          </w:p>
        </w:tc>
        <w:tc>
          <w:tcPr>
            <w:tcW w:w="808" w:type="pct"/>
            <w:tcBorders>
              <w:top w:val="single" w:sz="6" w:space="0" w:color="auto"/>
            </w:tcBorders>
            <w:vAlign w:val="bottom"/>
          </w:tcPr>
          <w:p w:rsidR="00361BA6" w:rsidRPr="004F78AB" w:rsidRDefault="00361BA6" w:rsidP="004F78AB">
            <w:pPr>
              <w:pStyle w:val="TableBodyText"/>
              <w:spacing w:before="60"/>
              <w:rPr>
                <w:b/>
              </w:rPr>
            </w:pPr>
            <w:r w:rsidRPr="004F78AB">
              <w:rPr>
                <w:b/>
              </w:rPr>
              <w:t>241.9</w:t>
            </w:r>
          </w:p>
        </w:tc>
        <w:tc>
          <w:tcPr>
            <w:tcW w:w="887" w:type="pct"/>
            <w:tcBorders>
              <w:top w:val="single" w:sz="6" w:space="0" w:color="auto"/>
            </w:tcBorders>
            <w:vAlign w:val="bottom"/>
          </w:tcPr>
          <w:p w:rsidR="00361BA6" w:rsidRPr="004F78AB" w:rsidRDefault="00361BA6" w:rsidP="004F78AB">
            <w:pPr>
              <w:pStyle w:val="TableBodyText"/>
              <w:spacing w:before="60"/>
              <w:rPr>
                <w:b/>
              </w:rPr>
            </w:pPr>
            <w:r w:rsidRPr="004F78AB">
              <w:rPr>
                <w:b/>
              </w:rPr>
              <w:t>-81.6</w:t>
            </w:r>
          </w:p>
        </w:tc>
        <w:tc>
          <w:tcPr>
            <w:tcW w:w="880" w:type="pct"/>
            <w:tcBorders>
              <w:top w:val="single" w:sz="6" w:space="0" w:color="auto"/>
            </w:tcBorders>
            <w:vAlign w:val="bottom"/>
          </w:tcPr>
          <w:p w:rsidR="00361BA6" w:rsidRPr="004F78AB" w:rsidRDefault="00361BA6" w:rsidP="004F78AB">
            <w:pPr>
              <w:pStyle w:val="TableBodyText"/>
              <w:spacing w:before="60"/>
              <w:rPr>
                <w:b/>
              </w:rPr>
            </w:pPr>
            <w:r w:rsidRPr="004F78AB">
              <w:rPr>
                <w:b/>
              </w:rPr>
              <w:t>160.3</w:t>
            </w:r>
          </w:p>
        </w:tc>
      </w:tr>
      <w:tr w:rsidR="00ED4BCF" w:rsidRPr="004F78AB" w:rsidTr="00ED4BCF">
        <w:tc>
          <w:tcPr>
            <w:tcW w:w="2426" w:type="pct"/>
            <w:vAlign w:val="bottom"/>
          </w:tcPr>
          <w:p w:rsidR="00361BA6" w:rsidRPr="004F78AB" w:rsidRDefault="00361BA6" w:rsidP="00361BA6">
            <w:pPr>
              <w:pStyle w:val="TableBodyText"/>
              <w:jc w:val="left"/>
            </w:pPr>
            <w:r w:rsidRPr="004F78AB">
              <w:t>Horticulture and fruit growing</w:t>
            </w:r>
          </w:p>
        </w:tc>
        <w:tc>
          <w:tcPr>
            <w:tcW w:w="808" w:type="pct"/>
            <w:vAlign w:val="bottom"/>
          </w:tcPr>
          <w:p w:rsidR="00361BA6" w:rsidRPr="004F78AB" w:rsidRDefault="00361BA6" w:rsidP="00361BA6">
            <w:pPr>
              <w:pStyle w:val="TableBodyText"/>
            </w:pPr>
            <w:r w:rsidRPr="004F78AB">
              <w:t>177.1</w:t>
            </w:r>
          </w:p>
        </w:tc>
        <w:tc>
          <w:tcPr>
            <w:tcW w:w="887" w:type="pct"/>
            <w:vAlign w:val="bottom"/>
          </w:tcPr>
          <w:p w:rsidR="00361BA6" w:rsidRPr="004F78AB" w:rsidRDefault="00361BA6" w:rsidP="00361BA6">
            <w:pPr>
              <w:pStyle w:val="TableBodyText"/>
            </w:pPr>
            <w:r w:rsidRPr="004F78AB">
              <w:t>-11.2</w:t>
            </w:r>
          </w:p>
        </w:tc>
        <w:tc>
          <w:tcPr>
            <w:tcW w:w="880" w:type="pct"/>
            <w:vAlign w:val="bottom"/>
          </w:tcPr>
          <w:p w:rsidR="00361BA6" w:rsidRPr="004F78AB" w:rsidRDefault="00361BA6" w:rsidP="00361BA6">
            <w:pPr>
              <w:pStyle w:val="TableBodyText"/>
            </w:pPr>
            <w:r w:rsidRPr="004F78AB">
              <w:t>165.9</w:t>
            </w:r>
          </w:p>
        </w:tc>
      </w:tr>
      <w:tr w:rsidR="00ED4BCF" w:rsidRPr="004F78AB" w:rsidTr="00ED4BCF">
        <w:tc>
          <w:tcPr>
            <w:tcW w:w="2426" w:type="pct"/>
            <w:vAlign w:val="bottom"/>
          </w:tcPr>
          <w:p w:rsidR="00361BA6" w:rsidRPr="004F78AB" w:rsidRDefault="00361BA6" w:rsidP="00361BA6">
            <w:pPr>
              <w:pStyle w:val="TableBodyText"/>
              <w:jc w:val="left"/>
            </w:pPr>
            <w:r w:rsidRPr="004F78AB">
              <w:t>Sheep, beef cattle and grain farming</w:t>
            </w:r>
          </w:p>
        </w:tc>
        <w:tc>
          <w:tcPr>
            <w:tcW w:w="808" w:type="pct"/>
            <w:vAlign w:val="bottom"/>
          </w:tcPr>
          <w:p w:rsidR="00361BA6" w:rsidRPr="004F78AB" w:rsidRDefault="00361BA6" w:rsidP="00361BA6">
            <w:pPr>
              <w:pStyle w:val="TableBodyText"/>
            </w:pPr>
            <w:r w:rsidRPr="004F78AB">
              <w:t>0.2</w:t>
            </w:r>
          </w:p>
        </w:tc>
        <w:tc>
          <w:tcPr>
            <w:tcW w:w="887" w:type="pct"/>
            <w:vAlign w:val="bottom"/>
          </w:tcPr>
          <w:p w:rsidR="00361BA6" w:rsidRPr="004F78AB" w:rsidRDefault="00361BA6" w:rsidP="00361BA6">
            <w:pPr>
              <w:pStyle w:val="TableBodyText"/>
            </w:pPr>
            <w:r w:rsidRPr="004F78AB">
              <w:t>-16.1</w:t>
            </w:r>
          </w:p>
        </w:tc>
        <w:tc>
          <w:tcPr>
            <w:tcW w:w="880" w:type="pct"/>
            <w:vAlign w:val="bottom"/>
          </w:tcPr>
          <w:p w:rsidR="00361BA6" w:rsidRPr="004F78AB" w:rsidRDefault="00361BA6" w:rsidP="00361BA6">
            <w:pPr>
              <w:pStyle w:val="TableBodyText"/>
            </w:pPr>
            <w:r w:rsidRPr="004F78AB">
              <w:t>-15.9</w:t>
            </w:r>
          </w:p>
        </w:tc>
      </w:tr>
      <w:tr w:rsidR="00ED4BCF" w:rsidRPr="004F78AB" w:rsidTr="00ED4BCF">
        <w:tc>
          <w:tcPr>
            <w:tcW w:w="2426" w:type="pct"/>
            <w:vAlign w:val="bottom"/>
          </w:tcPr>
          <w:p w:rsidR="00361BA6" w:rsidRPr="004F78AB" w:rsidRDefault="00361BA6" w:rsidP="00361BA6">
            <w:pPr>
              <w:pStyle w:val="TableBodyText"/>
              <w:jc w:val="left"/>
            </w:pPr>
            <w:r w:rsidRPr="004F78AB">
              <w:t>Other crop growing</w:t>
            </w:r>
          </w:p>
        </w:tc>
        <w:tc>
          <w:tcPr>
            <w:tcW w:w="808" w:type="pct"/>
            <w:vAlign w:val="bottom"/>
          </w:tcPr>
          <w:p w:rsidR="00361BA6" w:rsidRPr="004F78AB" w:rsidRDefault="00361BA6" w:rsidP="00361BA6">
            <w:pPr>
              <w:pStyle w:val="TableBodyText"/>
            </w:pPr>
            <w:r w:rsidRPr="004F78AB">
              <w:t>2.1</w:t>
            </w:r>
          </w:p>
        </w:tc>
        <w:tc>
          <w:tcPr>
            <w:tcW w:w="887" w:type="pct"/>
            <w:vAlign w:val="bottom"/>
          </w:tcPr>
          <w:p w:rsidR="00361BA6" w:rsidRPr="004F78AB" w:rsidRDefault="00361BA6" w:rsidP="00361BA6">
            <w:pPr>
              <w:pStyle w:val="TableBodyText"/>
            </w:pPr>
            <w:r w:rsidRPr="004F78AB">
              <w:t>-4.0</w:t>
            </w:r>
          </w:p>
        </w:tc>
        <w:tc>
          <w:tcPr>
            <w:tcW w:w="880" w:type="pct"/>
            <w:vAlign w:val="bottom"/>
          </w:tcPr>
          <w:p w:rsidR="00361BA6" w:rsidRPr="004F78AB" w:rsidRDefault="00361BA6" w:rsidP="00361BA6">
            <w:pPr>
              <w:pStyle w:val="TableBodyText"/>
            </w:pPr>
            <w:r w:rsidRPr="004F78AB">
              <w:t>-2.0</w:t>
            </w:r>
          </w:p>
        </w:tc>
      </w:tr>
      <w:tr w:rsidR="00ED4BCF" w:rsidRPr="004F78AB" w:rsidTr="00ED4BCF">
        <w:tc>
          <w:tcPr>
            <w:tcW w:w="2426" w:type="pct"/>
            <w:vAlign w:val="bottom"/>
          </w:tcPr>
          <w:p w:rsidR="00361BA6" w:rsidRPr="004F78AB" w:rsidRDefault="00361BA6" w:rsidP="00361BA6">
            <w:pPr>
              <w:pStyle w:val="TableBodyText"/>
              <w:jc w:val="left"/>
            </w:pPr>
            <w:r w:rsidRPr="004F78AB">
              <w:t>Dairy cattle farming</w:t>
            </w:r>
          </w:p>
        </w:tc>
        <w:tc>
          <w:tcPr>
            <w:tcW w:w="808" w:type="pct"/>
            <w:vAlign w:val="bottom"/>
          </w:tcPr>
          <w:p w:rsidR="00361BA6" w:rsidRPr="004F78AB" w:rsidRDefault="00F965FC" w:rsidP="00361BA6">
            <w:pPr>
              <w:pStyle w:val="TableBodyText"/>
            </w:pPr>
            <w:r w:rsidRPr="004F78AB">
              <w:t>–</w:t>
            </w:r>
          </w:p>
        </w:tc>
        <w:tc>
          <w:tcPr>
            <w:tcW w:w="887" w:type="pct"/>
            <w:vAlign w:val="bottom"/>
          </w:tcPr>
          <w:p w:rsidR="00361BA6" w:rsidRPr="004F78AB" w:rsidRDefault="00361BA6" w:rsidP="00361BA6">
            <w:pPr>
              <w:pStyle w:val="TableBodyText"/>
            </w:pPr>
            <w:r w:rsidRPr="004F78AB">
              <w:t>-2.0</w:t>
            </w:r>
          </w:p>
        </w:tc>
        <w:tc>
          <w:tcPr>
            <w:tcW w:w="880" w:type="pct"/>
            <w:vAlign w:val="bottom"/>
          </w:tcPr>
          <w:p w:rsidR="00361BA6" w:rsidRPr="004F78AB" w:rsidRDefault="00361BA6" w:rsidP="00361BA6">
            <w:pPr>
              <w:pStyle w:val="TableBodyText"/>
            </w:pPr>
            <w:r w:rsidRPr="004F78AB">
              <w:t>-2.0</w:t>
            </w:r>
          </w:p>
        </w:tc>
      </w:tr>
      <w:tr w:rsidR="00ED4BCF" w:rsidRPr="004F78AB" w:rsidTr="00ED4BCF">
        <w:tc>
          <w:tcPr>
            <w:tcW w:w="2426" w:type="pct"/>
            <w:vAlign w:val="bottom"/>
          </w:tcPr>
          <w:p w:rsidR="00361BA6" w:rsidRPr="004F78AB" w:rsidRDefault="00361BA6" w:rsidP="00361BA6">
            <w:pPr>
              <w:pStyle w:val="TableBodyText"/>
              <w:jc w:val="left"/>
            </w:pPr>
            <w:r w:rsidRPr="004F78AB">
              <w:t>Other livestock farming</w:t>
            </w:r>
          </w:p>
        </w:tc>
        <w:tc>
          <w:tcPr>
            <w:tcW w:w="808" w:type="pct"/>
            <w:vAlign w:val="bottom"/>
          </w:tcPr>
          <w:p w:rsidR="00361BA6" w:rsidRPr="004F78AB" w:rsidRDefault="00F965FC" w:rsidP="00361BA6">
            <w:pPr>
              <w:pStyle w:val="TableBodyText"/>
            </w:pPr>
            <w:r w:rsidRPr="004F78AB">
              <w:t>–</w:t>
            </w:r>
          </w:p>
        </w:tc>
        <w:tc>
          <w:tcPr>
            <w:tcW w:w="887" w:type="pct"/>
            <w:vAlign w:val="bottom"/>
          </w:tcPr>
          <w:p w:rsidR="00361BA6" w:rsidRPr="004F78AB" w:rsidRDefault="00361BA6" w:rsidP="00361BA6">
            <w:pPr>
              <w:pStyle w:val="TableBodyText"/>
            </w:pPr>
            <w:r w:rsidRPr="004F78AB">
              <w:t>-4.1</w:t>
            </w:r>
          </w:p>
        </w:tc>
        <w:tc>
          <w:tcPr>
            <w:tcW w:w="880" w:type="pct"/>
            <w:vAlign w:val="bottom"/>
          </w:tcPr>
          <w:p w:rsidR="00361BA6" w:rsidRPr="004F78AB" w:rsidRDefault="00361BA6" w:rsidP="00361BA6">
            <w:pPr>
              <w:pStyle w:val="TableBodyText"/>
            </w:pPr>
            <w:r w:rsidRPr="004F78AB">
              <w:t>-4.1</w:t>
            </w:r>
          </w:p>
        </w:tc>
      </w:tr>
      <w:tr w:rsidR="00ED4BCF" w:rsidRPr="004F78AB" w:rsidTr="00ED4BCF">
        <w:tc>
          <w:tcPr>
            <w:tcW w:w="2426" w:type="pct"/>
            <w:vAlign w:val="bottom"/>
          </w:tcPr>
          <w:p w:rsidR="00361BA6" w:rsidRPr="004F78AB" w:rsidRDefault="00361BA6" w:rsidP="00361BA6">
            <w:pPr>
              <w:pStyle w:val="TableBodyText"/>
              <w:jc w:val="left"/>
            </w:pPr>
            <w:r w:rsidRPr="004F78AB">
              <w:t>Aquaculture and fishing</w:t>
            </w:r>
          </w:p>
        </w:tc>
        <w:tc>
          <w:tcPr>
            <w:tcW w:w="808" w:type="pct"/>
            <w:vAlign w:val="bottom"/>
          </w:tcPr>
          <w:p w:rsidR="00361BA6" w:rsidRPr="004F78AB" w:rsidRDefault="00361BA6" w:rsidP="00361BA6">
            <w:pPr>
              <w:pStyle w:val="TableBodyText"/>
            </w:pPr>
            <w:r w:rsidRPr="004F78AB">
              <w:t>1.0</w:t>
            </w:r>
          </w:p>
        </w:tc>
        <w:tc>
          <w:tcPr>
            <w:tcW w:w="887" w:type="pct"/>
            <w:vAlign w:val="bottom"/>
          </w:tcPr>
          <w:p w:rsidR="00361BA6" w:rsidRPr="004F78AB" w:rsidRDefault="00361BA6" w:rsidP="00361BA6">
            <w:pPr>
              <w:pStyle w:val="TableBodyText"/>
            </w:pPr>
            <w:r w:rsidRPr="004F78AB">
              <w:t>-15.4</w:t>
            </w:r>
          </w:p>
        </w:tc>
        <w:tc>
          <w:tcPr>
            <w:tcW w:w="880" w:type="pct"/>
            <w:vAlign w:val="bottom"/>
          </w:tcPr>
          <w:p w:rsidR="00361BA6" w:rsidRPr="004F78AB" w:rsidRDefault="00361BA6" w:rsidP="00361BA6">
            <w:pPr>
              <w:pStyle w:val="TableBodyText"/>
            </w:pPr>
            <w:r w:rsidRPr="004F78AB">
              <w:t>-14.4</w:t>
            </w:r>
          </w:p>
        </w:tc>
      </w:tr>
      <w:tr w:rsidR="00ED4BCF" w:rsidRPr="004F78AB" w:rsidTr="00ED4BCF">
        <w:tc>
          <w:tcPr>
            <w:tcW w:w="2426" w:type="pct"/>
            <w:vAlign w:val="bottom"/>
          </w:tcPr>
          <w:p w:rsidR="00361BA6" w:rsidRPr="004F78AB" w:rsidRDefault="00361BA6" w:rsidP="00361BA6">
            <w:pPr>
              <w:pStyle w:val="TableBodyText"/>
              <w:jc w:val="left"/>
            </w:pPr>
            <w:r w:rsidRPr="004F78AB">
              <w:t>Forestry and logging</w:t>
            </w:r>
          </w:p>
        </w:tc>
        <w:tc>
          <w:tcPr>
            <w:tcW w:w="808" w:type="pct"/>
            <w:vAlign w:val="bottom"/>
          </w:tcPr>
          <w:p w:rsidR="00361BA6" w:rsidRPr="004F78AB" w:rsidRDefault="00361BA6" w:rsidP="00361BA6">
            <w:pPr>
              <w:pStyle w:val="TableBodyText"/>
            </w:pPr>
            <w:r w:rsidRPr="004F78AB">
              <w:t>61.7</w:t>
            </w:r>
          </w:p>
        </w:tc>
        <w:tc>
          <w:tcPr>
            <w:tcW w:w="887" w:type="pct"/>
            <w:vAlign w:val="bottom"/>
          </w:tcPr>
          <w:p w:rsidR="00361BA6" w:rsidRPr="004F78AB" w:rsidRDefault="00361BA6" w:rsidP="00361BA6">
            <w:pPr>
              <w:pStyle w:val="TableBodyText"/>
            </w:pPr>
            <w:r w:rsidRPr="004F78AB">
              <w:t>-12.2</w:t>
            </w:r>
          </w:p>
        </w:tc>
        <w:tc>
          <w:tcPr>
            <w:tcW w:w="880" w:type="pct"/>
            <w:vAlign w:val="bottom"/>
          </w:tcPr>
          <w:p w:rsidR="00361BA6" w:rsidRPr="004F78AB" w:rsidRDefault="00361BA6" w:rsidP="00361BA6">
            <w:pPr>
              <w:pStyle w:val="TableBodyText"/>
            </w:pPr>
            <w:r w:rsidRPr="004F78AB">
              <w:t>49.5</w:t>
            </w:r>
          </w:p>
        </w:tc>
      </w:tr>
      <w:tr w:rsidR="00ED4BCF" w:rsidRPr="004F78AB" w:rsidTr="00ED4BCF">
        <w:tc>
          <w:tcPr>
            <w:tcW w:w="2426" w:type="pct"/>
            <w:vAlign w:val="bottom"/>
          </w:tcPr>
          <w:p w:rsidR="00361BA6" w:rsidRPr="004F78AB" w:rsidRDefault="00361BA6" w:rsidP="00361BA6">
            <w:pPr>
              <w:pStyle w:val="TableBodyText"/>
              <w:jc w:val="left"/>
            </w:pPr>
            <w:r w:rsidRPr="004F78AB">
              <w:t>Primary production support services</w:t>
            </w:r>
          </w:p>
        </w:tc>
        <w:tc>
          <w:tcPr>
            <w:tcW w:w="808" w:type="pct"/>
            <w:vAlign w:val="bottom"/>
          </w:tcPr>
          <w:p w:rsidR="00361BA6" w:rsidRPr="004F78AB" w:rsidRDefault="00361BA6" w:rsidP="00361BA6">
            <w:pPr>
              <w:pStyle w:val="TableBodyText"/>
            </w:pPr>
            <w:r w:rsidRPr="004F78AB">
              <w:t>0.0</w:t>
            </w:r>
          </w:p>
        </w:tc>
        <w:tc>
          <w:tcPr>
            <w:tcW w:w="887" w:type="pct"/>
            <w:vAlign w:val="bottom"/>
          </w:tcPr>
          <w:p w:rsidR="00361BA6" w:rsidRPr="004F78AB" w:rsidRDefault="00361BA6" w:rsidP="00361BA6">
            <w:pPr>
              <w:pStyle w:val="TableBodyText"/>
            </w:pPr>
            <w:r w:rsidRPr="004F78AB">
              <w:t>-16.6</w:t>
            </w:r>
          </w:p>
        </w:tc>
        <w:tc>
          <w:tcPr>
            <w:tcW w:w="880" w:type="pct"/>
            <w:vAlign w:val="bottom"/>
          </w:tcPr>
          <w:p w:rsidR="00361BA6" w:rsidRPr="004F78AB" w:rsidRDefault="00361BA6" w:rsidP="00361BA6">
            <w:pPr>
              <w:pStyle w:val="TableBodyText"/>
            </w:pPr>
            <w:r w:rsidRPr="004F78AB">
              <w:t>-16.6</w:t>
            </w:r>
          </w:p>
        </w:tc>
      </w:tr>
      <w:tr w:rsidR="00ED4BCF" w:rsidRPr="004F78AB" w:rsidTr="00ED4BCF">
        <w:tc>
          <w:tcPr>
            <w:tcW w:w="2426" w:type="pct"/>
            <w:vAlign w:val="bottom"/>
          </w:tcPr>
          <w:p w:rsidR="00361BA6" w:rsidRPr="004F78AB" w:rsidRDefault="00361BA6" w:rsidP="004F78AB">
            <w:pPr>
              <w:pStyle w:val="TableBodyText"/>
              <w:spacing w:before="60"/>
              <w:jc w:val="left"/>
              <w:rPr>
                <w:b/>
              </w:rPr>
            </w:pPr>
            <w:r w:rsidRPr="004F78AB">
              <w:rPr>
                <w:b/>
              </w:rPr>
              <w:t>Mining</w:t>
            </w:r>
          </w:p>
        </w:tc>
        <w:tc>
          <w:tcPr>
            <w:tcW w:w="808" w:type="pct"/>
            <w:vAlign w:val="bottom"/>
          </w:tcPr>
          <w:p w:rsidR="00361BA6" w:rsidRPr="004F78AB" w:rsidRDefault="00F965FC" w:rsidP="004F78AB">
            <w:pPr>
              <w:pStyle w:val="TableBodyText"/>
              <w:spacing w:before="60"/>
              <w:rPr>
                <w:b/>
              </w:rPr>
            </w:pPr>
            <w:r w:rsidRPr="004F78AB">
              <w:rPr>
                <w:b/>
              </w:rPr>
              <w:t>1</w:t>
            </w:r>
            <w:r w:rsidR="00361BA6" w:rsidRPr="004F78AB">
              <w:rPr>
                <w:b/>
              </w:rPr>
              <w:t>.</w:t>
            </w:r>
            <w:r w:rsidRPr="004F78AB">
              <w:rPr>
                <w:b/>
              </w:rPr>
              <w:t>0</w:t>
            </w:r>
          </w:p>
        </w:tc>
        <w:tc>
          <w:tcPr>
            <w:tcW w:w="887" w:type="pct"/>
            <w:vAlign w:val="bottom"/>
          </w:tcPr>
          <w:p w:rsidR="00361BA6" w:rsidRPr="004F78AB" w:rsidRDefault="00361BA6" w:rsidP="004F78AB">
            <w:pPr>
              <w:pStyle w:val="TableBodyText"/>
              <w:spacing w:before="60"/>
              <w:rPr>
                <w:b/>
              </w:rPr>
            </w:pPr>
            <w:r w:rsidRPr="004F78AB">
              <w:rPr>
                <w:b/>
              </w:rPr>
              <w:t>-</w:t>
            </w:r>
            <w:r w:rsidR="00F965FC" w:rsidRPr="004F78AB">
              <w:rPr>
                <w:b/>
              </w:rPr>
              <w:t>216.8</w:t>
            </w:r>
          </w:p>
        </w:tc>
        <w:tc>
          <w:tcPr>
            <w:tcW w:w="880" w:type="pct"/>
            <w:vAlign w:val="bottom"/>
          </w:tcPr>
          <w:p w:rsidR="00361BA6" w:rsidRPr="004F78AB" w:rsidRDefault="00361BA6" w:rsidP="004F78AB">
            <w:pPr>
              <w:pStyle w:val="TableBodyText"/>
              <w:spacing w:before="60"/>
              <w:rPr>
                <w:b/>
              </w:rPr>
            </w:pPr>
            <w:r w:rsidRPr="004F78AB">
              <w:rPr>
                <w:b/>
              </w:rPr>
              <w:t>-</w:t>
            </w:r>
            <w:r w:rsidR="00F965FC" w:rsidRPr="004F78AB">
              <w:rPr>
                <w:b/>
              </w:rPr>
              <w:t>215.8</w:t>
            </w:r>
          </w:p>
        </w:tc>
      </w:tr>
      <w:tr w:rsidR="00ED4BCF" w:rsidRPr="004F78AB" w:rsidTr="00ED4BCF">
        <w:tc>
          <w:tcPr>
            <w:tcW w:w="2426" w:type="pct"/>
            <w:vAlign w:val="bottom"/>
          </w:tcPr>
          <w:p w:rsidR="00361BA6" w:rsidRPr="004F78AB" w:rsidRDefault="00361BA6" w:rsidP="004F78AB">
            <w:pPr>
              <w:pStyle w:val="TableBodyText"/>
              <w:spacing w:before="60"/>
              <w:jc w:val="left"/>
              <w:rPr>
                <w:b/>
              </w:rPr>
            </w:pPr>
            <w:r w:rsidRPr="004F78AB">
              <w:rPr>
                <w:b/>
              </w:rPr>
              <w:t>Manufacturing</w:t>
            </w:r>
          </w:p>
        </w:tc>
        <w:tc>
          <w:tcPr>
            <w:tcW w:w="808" w:type="pct"/>
            <w:vAlign w:val="bottom"/>
          </w:tcPr>
          <w:p w:rsidR="00361BA6" w:rsidRPr="004F78AB" w:rsidRDefault="00361BA6" w:rsidP="004F78AB">
            <w:pPr>
              <w:pStyle w:val="TableBodyText"/>
              <w:spacing w:before="60"/>
              <w:rPr>
                <w:b/>
              </w:rPr>
            </w:pPr>
            <w:r w:rsidRPr="004F78AB">
              <w:rPr>
                <w:b/>
              </w:rPr>
              <w:t>7600.1</w:t>
            </w:r>
          </w:p>
        </w:tc>
        <w:tc>
          <w:tcPr>
            <w:tcW w:w="887" w:type="pct"/>
            <w:vAlign w:val="bottom"/>
          </w:tcPr>
          <w:p w:rsidR="00361BA6" w:rsidRPr="004F78AB" w:rsidRDefault="00361BA6" w:rsidP="004F78AB">
            <w:pPr>
              <w:pStyle w:val="TableBodyText"/>
              <w:spacing w:before="60"/>
              <w:rPr>
                <w:b/>
              </w:rPr>
            </w:pPr>
            <w:r w:rsidRPr="004F78AB">
              <w:rPr>
                <w:b/>
              </w:rPr>
              <w:t>-2078.4</w:t>
            </w:r>
          </w:p>
        </w:tc>
        <w:tc>
          <w:tcPr>
            <w:tcW w:w="880" w:type="pct"/>
            <w:vAlign w:val="bottom"/>
          </w:tcPr>
          <w:p w:rsidR="00361BA6" w:rsidRPr="004F78AB" w:rsidRDefault="00361BA6" w:rsidP="004F78AB">
            <w:pPr>
              <w:pStyle w:val="TableBodyText"/>
              <w:spacing w:before="60"/>
              <w:rPr>
                <w:b/>
              </w:rPr>
            </w:pPr>
            <w:r w:rsidRPr="004F78AB">
              <w:rPr>
                <w:b/>
              </w:rPr>
              <w:t>5521.7</w:t>
            </w:r>
          </w:p>
        </w:tc>
      </w:tr>
      <w:tr w:rsidR="00ED4BCF" w:rsidRPr="004F78AB" w:rsidTr="00ED4BCF">
        <w:tc>
          <w:tcPr>
            <w:tcW w:w="2426" w:type="pct"/>
            <w:vAlign w:val="bottom"/>
          </w:tcPr>
          <w:p w:rsidR="00361BA6" w:rsidRPr="004F78AB" w:rsidRDefault="00361BA6" w:rsidP="00361BA6">
            <w:pPr>
              <w:pStyle w:val="TableBodyText"/>
              <w:jc w:val="left"/>
            </w:pPr>
            <w:r w:rsidRPr="004F78AB">
              <w:t>Food, beverages and tobacco</w:t>
            </w:r>
          </w:p>
        </w:tc>
        <w:tc>
          <w:tcPr>
            <w:tcW w:w="808" w:type="pct"/>
            <w:vAlign w:val="bottom"/>
          </w:tcPr>
          <w:p w:rsidR="00361BA6" w:rsidRPr="004F78AB" w:rsidRDefault="00361BA6" w:rsidP="00361BA6">
            <w:pPr>
              <w:pStyle w:val="TableBodyText"/>
            </w:pPr>
            <w:r w:rsidRPr="004F78AB">
              <w:t>1739.8</w:t>
            </w:r>
          </w:p>
        </w:tc>
        <w:tc>
          <w:tcPr>
            <w:tcW w:w="887" w:type="pct"/>
            <w:vAlign w:val="bottom"/>
          </w:tcPr>
          <w:p w:rsidR="00361BA6" w:rsidRPr="004F78AB" w:rsidRDefault="00361BA6" w:rsidP="00361BA6">
            <w:pPr>
              <w:pStyle w:val="TableBodyText"/>
            </w:pPr>
            <w:r w:rsidRPr="004F78AB">
              <w:t>-494.7</w:t>
            </w:r>
          </w:p>
        </w:tc>
        <w:tc>
          <w:tcPr>
            <w:tcW w:w="880" w:type="pct"/>
            <w:vAlign w:val="bottom"/>
          </w:tcPr>
          <w:p w:rsidR="00361BA6" w:rsidRPr="004F78AB" w:rsidRDefault="00361BA6" w:rsidP="00361BA6">
            <w:pPr>
              <w:pStyle w:val="TableBodyText"/>
            </w:pPr>
            <w:r w:rsidRPr="004F78AB">
              <w:t>1245.1</w:t>
            </w:r>
          </w:p>
        </w:tc>
      </w:tr>
      <w:tr w:rsidR="00ED4BCF" w:rsidRPr="004F78AB" w:rsidTr="00ED4BCF">
        <w:tc>
          <w:tcPr>
            <w:tcW w:w="2426" w:type="pct"/>
            <w:vAlign w:val="bottom"/>
          </w:tcPr>
          <w:p w:rsidR="00361BA6" w:rsidRPr="004F78AB" w:rsidRDefault="00361BA6" w:rsidP="00361BA6">
            <w:pPr>
              <w:pStyle w:val="TableBodyText"/>
              <w:jc w:val="left"/>
            </w:pPr>
            <w:r w:rsidRPr="004F78AB">
              <w:t>Textile, leather, clothing and footwear</w:t>
            </w:r>
          </w:p>
        </w:tc>
        <w:tc>
          <w:tcPr>
            <w:tcW w:w="808" w:type="pct"/>
            <w:vAlign w:val="bottom"/>
          </w:tcPr>
          <w:p w:rsidR="00361BA6" w:rsidRPr="004F78AB" w:rsidRDefault="00361BA6" w:rsidP="00361BA6">
            <w:pPr>
              <w:pStyle w:val="TableBodyText"/>
            </w:pPr>
            <w:r w:rsidRPr="004F78AB">
              <w:t>301.1</w:t>
            </w:r>
          </w:p>
        </w:tc>
        <w:tc>
          <w:tcPr>
            <w:tcW w:w="887" w:type="pct"/>
            <w:vAlign w:val="bottom"/>
          </w:tcPr>
          <w:p w:rsidR="00361BA6" w:rsidRPr="004F78AB" w:rsidRDefault="00361BA6" w:rsidP="00361BA6">
            <w:pPr>
              <w:pStyle w:val="TableBodyText"/>
            </w:pPr>
            <w:r w:rsidRPr="004F78AB">
              <w:t>-61.5</w:t>
            </w:r>
          </w:p>
        </w:tc>
        <w:tc>
          <w:tcPr>
            <w:tcW w:w="880" w:type="pct"/>
            <w:vAlign w:val="bottom"/>
          </w:tcPr>
          <w:p w:rsidR="00361BA6" w:rsidRPr="004F78AB" w:rsidRDefault="00361BA6" w:rsidP="00361BA6">
            <w:pPr>
              <w:pStyle w:val="TableBodyText"/>
            </w:pPr>
            <w:r w:rsidRPr="004F78AB">
              <w:t>239.6</w:t>
            </w:r>
          </w:p>
        </w:tc>
      </w:tr>
      <w:tr w:rsidR="00ED4BCF" w:rsidRPr="004F78AB" w:rsidTr="00ED4BCF">
        <w:tc>
          <w:tcPr>
            <w:tcW w:w="2426" w:type="pct"/>
            <w:vAlign w:val="bottom"/>
          </w:tcPr>
          <w:p w:rsidR="00361BA6" w:rsidRPr="004F78AB" w:rsidRDefault="00361BA6" w:rsidP="00361BA6">
            <w:pPr>
              <w:pStyle w:val="TableBodyText"/>
              <w:jc w:val="left"/>
            </w:pPr>
            <w:r w:rsidRPr="004F78AB">
              <w:t>Wood and paper products</w:t>
            </w:r>
          </w:p>
        </w:tc>
        <w:tc>
          <w:tcPr>
            <w:tcW w:w="808" w:type="pct"/>
            <w:vAlign w:val="bottom"/>
          </w:tcPr>
          <w:p w:rsidR="00361BA6" w:rsidRPr="004F78AB" w:rsidRDefault="00361BA6" w:rsidP="00361BA6">
            <w:pPr>
              <w:pStyle w:val="TableBodyText"/>
            </w:pPr>
            <w:r w:rsidRPr="004F78AB">
              <w:t>640.3</w:t>
            </w:r>
          </w:p>
        </w:tc>
        <w:tc>
          <w:tcPr>
            <w:tcW w:w="887" w:type="pct"/>
            <w:vAlign w:val="bottom"/>
          </w:tcPr>
          <w:p w:rsidR="00361BA6" w:rsidRPr="004F78AB" w:rsidRDefault="00361BA6" w:rsidP="00361BA6">
            <w:pPr>
              <w:pStyle w:val="TableBodyText"/>
            </w:pPr>
            <w:r w:rsidRPr="004F78AB">
              <w:t>-129.7</w:t>
            </w:r>
          </w:p>
        </w:tc>
        <w:tc>
          <w:tcPr>
            <w:tcW w:w="880" w:type="pct"/>
            <w:vAlign w:val="bottom"/>
          </w:tcPr>
          <w:p w:rsidR="00361BA6" w:rsidRPr="004F78AB" w:rsidRDefault="00361BA6" w:rsidP="00361BA6">
            <w:pPr>
              <w:pStyle w:val="TableBodyText"/>
            </w:pPr>
            <w:r w:rsidRPr="004F78AB">
              <w:t>510.6</w:t>
            </w:r>
          </w:p>
        </w:tc>
      </w:tr>
      <w:tr w:rsidR="00ED4BCF" w:rsidRPr="004F78AB" w:rsidTr="00ED4BCF">
        <w:tc>
          <w:tcPr>
            <w:tcW w:w="2426" w:type="pct"/>
            <w:vAlign w:val="bottom"/>
          </w:tcPr>
          <w:p w:rsidR="00361BA6" w:rsidRPr="004F78AB" w:rsidRDefault="00361BA6" w:rsidP="00361BA6">
            <w:pPr>
              <w:pStyle w:val="TableBodyText"/>
              <w:jc w:val="left"/>
            </w:pPr>
            <w:r w:rsidRPr="004F78AB">
              <w:t>Printing and recorded media</w:t>
            </w:r>
          </w:p>
        </w:tc>
        <w:tc>
          <w:tcPr>
            <w:tcW w:w="808" w:type="pct"/>
            <w:vAlign w:val="bottom"/>
          </w:tcPr>
          <w:p w:rsidR="00361BA6" w:rsidRPr="004F78AB" w:rsidRDefault="00361BA6" w:rsidP="00361BA6">
            <w:pPr>
              <w:pStyle w:val="TableBodyText"/>
            </w:pPr>
            <w:r w:rsidRPr="004F78AB">
              <w:t>220.2</w:t>
            </w:r>
          </w:p>
        </w:tc>
        <w:tc>
          <w:tcPr>
            <w:tcW w:w="887" w:type="pct"/>
            <w:vAlign w:val="bottom"/>
          </w:tcPr>
          <w:p w:rsidR="00361BA6" w:rsidRPr="004F78AB" w:rsidRDefault="00361BA6" w:rsidP="00361BA6">
            <w:pPr>
              <w:pStyle w:val="TableBodyText"/>
            </w:pPr>
            <w:r w:rsidRPr="004F78AB">
              <w:t>-35.7</w:t>
            </w:r>
          </w:p>
        </w:tc>
        <w:tc>
          <w:tcPr>
            <w:tcW w:w="880" w:type="pct"/>
            <w:vAlign w:val="bottom"/>
          </w:tcPr>
          <w:p w:rsidR="00361BA6" w:rsidRPr="004F78AB" w:rsidRDefault="00361BA6" w:rsidP="00361BA6">
            <w:pPr>
              <w:pStyle w:val="TableBodyText"/>
            </w:pPr>
            <w:r w:rsidRPr="004F78AB">
              <w:t>184.5</w:t>
            </w:r>
          </w:p>
        </w:tc>
      </w:tr>
      <w:tr w:rsidR="00ED4BCF" w:rsidRPr="004F78AB" w:rsidTr="00ED4BCF">
        <w:tc>
          <w:tcPr>
            <w:tcW w:w="2426" w:type="pct"/>
            <w:vAlign w:val="bottom"/>
          </w:tcPr>
          <w:p w:rsidR="00361BA6" w:rsidRPr="004F78AB" w:rsidRDefault="00361BA6" w:rsidP="00ED4BCF">
            <w:pPr>
              <w:pStyle w:val="TableBodyText"/>
              <w:jc w:val="left"/>
            </w:pPr>
            <w:r w:rsidRPr="004F78AB">
              <w:t xml:space="preserve">Petroleum, coal, chemical </w:t>
            </w:r>
            <w:r w:rsidR="00ED4BCF">
              <w:t>and</w:t>
            </w:r>
            <w:r w:rsidRPr="004F78AB">
              <w:t xml:space="preserve"> rubber products</w:t>
            </w:r>
          </w:p>
        </w:tc>
        <w:tc>
          <w:tcPr>
            <w:tcW w:w="808" w:type="pct"/>
            <w:vAlign w:val="bottom"/>
          </w:tcPr>
          <w:p w:rsidR="00361BA6" w:rsidRPr="004F78AB" w:rsidRDefault="00361BA6" w:rsidP="00361BA6">
            <w:pPr>
              <w:pStyle w:val="TableBodyText"/>
            </w:pPr>
            <w:r w:rsidRPr="004F78AB">
              <w:t>1024.1</w:t>
            </w:r>
          </w:p>
        </w:tc>
        <w:tc>
          <w:tcPr>
            <w:tcW w:w="887" w:type="pct"/>
            <w:vAlign w:val="bottom"/>
          </w:tcPr>
          <w:p w:rsidR="00361BA6" w:rsidRPr="004F78AB" w:rsidRDefault="00361BA6" w:rsidP="00361BA6">
            <w:pPr>
              <w:pStyle w:val="TableBodyText"/>
            </w:pPr>
            <w:r w:rsidRPr="004F78AB">
              <w:t>-299.1</w:t>
            </w:r>
          </w:p>
        </w:tc>
        <w:tc>
          <w:tcPr>
            <w:tcW w:w="880" w:type="pct"/>
            <w:vAlign w:val="bottom"/>
          </w:tcPr>
          <w:p w:rsidR="00361BA6" w:rsidRPr="004F78AB" w:rsidRDefault="00361BA6" w:rsidP="00361BA6">
            <w:pPr>
              <w:pStyle w:val="TableBodyText"/>
            </w:pPr>
            <w:r w:rsidRPr="004F78AB">
              <w:t>725.0</w:t>
            </w:r>
          </w:p>
        </w:tc>
      </w:tr>
      <w:tr w:rsidR="00ED4BCF" w:rsidRPr="004F78AB" w:rsidTr="00957BD9">
        <w:tc>
          <w:tcPr>
            <w:tcW w:w="2426" w:type="pct"/>
            <w:vAlign w:val="bottom"/>
          </w:tcPr>
          <w:p w:rsidR="00361BA6" w:rsidRPr="004F78AB" w:rsidRDefault="00361BA6" w:rsidP="00361BA6">
            <w:pPr>
              <w:pStyle w:val="TableBodyText"/>
              <w:jc w:val="left"/>
            </w:pPr>
            <w:r w:rsidRPr="004F78AB">
              <w:t>Non-metallic mineral products</w:t>
            </w:r>
          </w:p>
        </w:tc>
        <w:tc>
          <w:tcPr>
            <w:tcW w:w="808" w:type="pct"/>
            <w:vAlign w:val="bottom"/>
          </w:tcPr>
          <w:p w:rsidR="00361BA6" w:rsidRPr="004F78AB" w:rsidRDefault="00361BA6" w:rsidP="00361BA6">
            <w:pPr>
              <w:pStyle w:val="TableBodyText"/>
            </w:pPr>
            <w:r w:rsidRPr="004F78AB">
              <w:t>247.6</w:t>
            </w:r>
          </w:p>
        </w:tc>
        <w:tc>
          <w:tcPr>
            <w:tcW w:w="887" w:type="pct"/>
            <w:vAlign w:val="bottom"/>
          </w:tcPr>
          <w:p w:rsidR="00361BA6" w:rsidRPr="004F78AB" w:rsidRDefault="00361BA6" w:rsidP="00361BA6">
            <w:pPr>
              <w:pStyle w:val="TableBodyText"/>
            </w:pPr>
            <w:r w:rsidRPr="004F78AB">
              <w:t>-42.5</w:t>
            </w:r>
          </w:p>
        </w:tc>
        <w:tc>
          <w:tcPr>
            <w:tcW w:w="880" w:type="pct"/>
            <w:vAlign w:val="bottom"/>
          </w:tcPr>
          <w:p w:rsidR="00361BA6" w:rsidRPr="004F78AB" w:rsidRDefault="00361BA6" w:rsidP="00361BA6">
            <w:pPr>
              <w:pStyle w:val="TableBodyText"/>
            </w:pPr>
            <w:r w:rsidRPr="004F78AB">
              <w:t>205.1</w:t>
            </w:r>
          </w:p>
        </w:tc>
      </w:tr>
      <w:tr w:rsidR="00ED4BCF" w:rsidRPr="004F78AB" w:rsidTr="00957BD9">
        <w:tc>
          <w:tcPr>
            <w:tcW w:w="2426" w:type="pct"/>
            <w:vAlign w:val="bottom"/>
          </w:tcPr>
          <w:p w:rsidR="00361BA6" w:rsidRPr="004F78AB" w:rsidRDefault="00361BA6" w:rsidP="00361BA6">
            <w:pPr>
              <w:pStyle w:val="TableBodyText"/>
              <w:jc w:val="left"/>
            </w:pPr>
            <w:r w:rsidRPr="004F78AB">
              <w:t>Metal and fabricated metal products</w:t>
            </w:r>
          </w:p>
        </w:tc>
        <w:tc>
          <w:tcPr>
            <w:tcW w:w="808" w:type="pct"/>
            <w:vAlign w:val="bottom"/>
          </w:tcPr>
          <w:p w:rsidR="00361BA6" w:rsidRPr="004F78AB" w:rsidRDefault="00361BA6" w:rsidP="00361BA6">
            <w:pPr>
              <w:pStyle w:val="TableBodyText"/>
            </w:pPr>
            <w:r w:rsidRPr="004F78AB">
              <w:t>1675.3</w:t>
            </w:r>
          </w:p>
        </w:tc>
        <w:tc>
          <w:tcPr>
            <w:tcW w:w="887" w:type="pct"/>
            <w:vAlign w:val="bottom"/>
          </w:tcPr>
          <w:p w:rsidR="00361BA6" w:rsidRPr="004F78AB" w:rsidRDefault="00361BA6" w:rsidP="00361BA6">
            <w:pPr>
              <w:pStyle w:val="TableBodyText"/>
            </w:pPr>
            <w:r w:rsidRPr="004F78AB">
              <w:t>-397.8</w:t>
            </w:r>
          </w:p>
        </w:tc>
        <w:tc>
          <w:tcPr>
            <w:tcW w:w="880" w:type="pct"/>
            <w:vAlign w:val="bottom"/>
          </w:tcPr>
          <w:p w:rsidR="00361BA6" w:rsidRPr="004F78AB" w:rsidRDefault="00361BA6" w:rsidP="00361BA6">
            <w:pPr>
              <w:pStyle w:val="TableBodyText"/>
            </w:pPr>
            <w:r w:rsidRPr="004F78AB">
              <w:t>1277.5</w:t>
            </w:r>
          </w:p>
        </w:tc>
      </w:tr>
      <w:tr w:rsidR="00ED4BCF" w:rsidRPr="004F78AB" w:rsidTr="00957BD9">
        <w:tc>
          <w:tcPr>
            <w:tcW w:w="2426" w:type="pct"/>
            <w:vAlign w:val="bottom"/>
          </w:tcPr>
          <w:p w:rsidR="00361BA6" w:rsidRPr="004F78AB" w:rsidRDefault="00361BA6" w:rsidP="00361BA6">
            <w:pPr>
              <w:pStyle w:val="TableBodyText"/>
              <w:jc w:val="left"/>
            </w:pPr>
            <w:r w:rsidRPr="004F78AB">
              <w:t>Motor vehicle and parts</w:t>
            </w:r>
          </w:p>
        </w:tc>
        <w:tc>
          <w:tcPr>
            <w:tcW w:w="808" w:type="pct"/>
            <w:vAlign w:val="bottom"/>
          </w:tcPr>
          <w:p w:rsidR="00361BA6" w:rsidRPr="004F78AB" w:rsidRDefault="00361BA6" w:rsidP="00361BA6">
            <w:pPr>
              <w:pStyle w:val="TableBodyText"/>
            </w:pPr>
            <w:r w:rsidRPr="004F78AB">
              <w:t>836.3</w:t>
            </w:r>
          </w:p>
        </w:tc>
        <w:tc>
          <w:tcPr>
            <w:tcW w:w="887" w:type="pct"/>
            <w:vAlign w:val="bottom"/>
          </w:tcPr>
          <w:p w:rsidR="00361BA6" w:rsidRPr="004F78AB" w:rsidRDefault="00361BA6" w:rsidP="00361BA6">
            <w:pPr>
              <w:pStyle w:val="TableBodyText"/>
            </w:pPr>
            <w:r w:rsidRPr="004F78AB">
              <w:t>-308.0</w:t>
            </w:r>
          </w:p>
        </w:tc>
        <w:tc>
          <w:tcPr>
            <w:tcW w:w="880" w:type="pct"/>
            <w:vAlign w:val="bottom"/>
          </w:tcPr>
          <w:p w:rsidR="00361BA6" w:rsidRPr="004F78AB" w:rsidRDefault="00361BA6" w:rsidP="00361BA6">
            <w:pPr>
              <w:pStyle w:val="TableBodyText"/>
            </w:pPr>
            <w:r w:rsidRPr="004F78AB">
              <w:t>528.3</w:t>
            </w:r>
          </w:p>
        </w:tc>
      </w:tr>
      <w:tr w:rsidR="00ED4BCF" w:rsidRPr="004F78AB" w:rsidTr="00957BD9">
        <w:tc>
          <w:tcPr>
            <w:tcW w:w="2426" w:type="pct"/>
            <w:vAlign w:val="bottom"/>
          </w:tcPr>
          <w:p w:rsidR="00361BA6" w:rsidRPr="004F78AB" w:rsidRDefault="00361BA6" w:rsidP="00361BA6">
            <w:pPr>
              <w:pStyle w:val="TableBodyText"/>
              <w:jc w:val="left"/>
            </w:pPr>
            <w:r w:rsidRPr="004F78AB">
              <w:t>Other transport equipment</w:t>
            </w:r>
          </w:p>
        </w:tc>
        <w:tc>
          <w:tcPr>
            <w:tcW w:w="808" w:type="pct"/>
            <w:vAlign w:val="bottom"/>
          </w:tcPr>
          <w:p w:rsidR="00361BA6" w:rsidRPr="004F78AB" w:rsidRDefault="00361BA6" w:rsidP="00361BA6">
            <w:pPr>
              <w:pStyle w:val="TableBodyText"/>
            </w:pPr>
            <w:r w:rsidRPr="004F78AB">
              <w:t>77.3</w:t>
            </w:r>
          </w:p>
        </w:tc>
        <w:tc>
          <w:tcPr>
            <w:tcW w:w="887" w:type="pct"/>
            <w:vAlign w:val="bottom"/>
          </w:tcPr>
          <w:p w:rsidR="00361BA6" w:rsidRPr="004F78AB" w:rsidRDefault="00361BA6" w:rsidP="00361BA6">
            <w:pPr>
              <w:pStyle w:val="TableBodyText"/>
            </w:pPr>
            <w:r w:rsidRPr="004F78AB">
              <w:t>-69.0</w:t>
            </w:r>
          </w:p>
        </w:tc>
        <w:tc>
          <w:tcPr>
            <w:tcW w:w="880" w:type="pct"/>
            <w:vAlign w:val="bottom"/>
          </w:tcPr>
          <w:p w:rsidR="00361BA6" w:rsidRPr="004F78AB" w:rsidRDefault="00361BA6" w:rsidP="00361BA6">
            <w:pPr>
              <w:pStyle w:val="TableBodyText"/>
            </w:pPr>
            <w:r w:rsidRPr="004F78AB">
              <w:t>8.4</w:t>
            </w:r>
          </w:p>
        </w:tc>
      </w:tr>
      <w:tr w:rsidR="00ED4BCF" w:rsidRPr="004F78AB" w:rsidTr="00957BD9">
        <w:tc>
          <w:tcPr>
            <w:tcW w:w="2426" w:type="pct"/>
            <w:vAlign w:val="bottom"/>
          </w:tcPr>
          <w:p w:rsidR="00361BA6" w:rsidRPr="004F78AB" w:rsidRDefault="00361BA6" w:rsidP="00361BA6">
            <w:pPr>
              <w:pStyle w:val="TableBodyText"/>
              <w:jc w:val="left"/>
            </w:pPr>
            <w:r w:rsidRPr="004F78AB">
              <w:t>Machinery and equipment manufacturing</w:t>
            </w:r>
          </w:p>
        </w:tc>
        <w:tc>
          <w:tcPr>
            <w:tcW w:w="808" w:type="pct"/>
            <w:vAlign w:val="bottom"/>
          </w:tcPr>
          <w:p w:rsidR="00361BA6" w:rsidRPr="004F78AB" w:rsidRDefault="00361BA6" w:rsidP="00361BA6">
            <w:pPr>
              <w:pStyle w:val="TableBodyText"/>
            </w:pPr>
            <w:r w:rsidRPr="004F78AB">
              <w:t>628.8</w:t>
            </w:r>
          </w:p>
        </w:tc>
        <w:tc>
          <w:tcPr>
            <w:tcW w:w="887" w:type="pct"/>
            <w:vAlign w:val="bottom"/>
          </w:tcPr>
          <w:p w:rsidR="00361BA6" w:rsidRPr="004F78AB" w:rsidRDefault="00361BA6" w:rsidP="00361BA6">
            <w:pPr>
              <w:pStyle w:val="TableBodyText"/>
            </w:pPr>
            <w:r w:rsidRPr="004F78AB">
              <w:t>-189.5</w:t>
            </w:r>
          </w:p>
        </w:tc>
        <w:tc>
          <w:tcPr>
            <w:tcW w:w="880" w:type="pct"/>
            <w:vAlign w:val="bottom"/>
          </w:tcPr>
          <w:p w:rsidR="00361BA6" w:rsidRPr="004F78AB" w:rsidRDefault="00361BA6" w:rsidP="00361BA6">
            <w:pPr>
              <w:pStyle w:val="TableBodyText"/>
            </w:pPr>
            <w:r w:rsidRPr="004F78AB">
              <w:t>439.3</w:t>
            </w:r>
          </w:p>
        </w:tc>
      </w:tr>
      <w:tr w:rsidR="00ED4BCF" w:rsidRPr="004F78AB" w:rsidTr="00957BD9">
        <w:tc>
          <w:tcPr>
            <w:tcW w:w="2426" w:type="pct"/>
            <w:vAlign w:val="bottom"/>
          </w:tcPr>
          <w:p w:rsidR="00361BA6" w:rsidRPr="004F78AB" w:rsidRDefault="00361BA6" w:rsidP="00361BA6">
            <w:pPr>
              <w:pStyle w:val="TableBodyText"/>
              <w:jc w:val="left"/>
            </w:pPr>
            <w:r w:rsidRPr="004F78AB">
              <w:t>Furniture and other manufacturing</w:t>
            </w:r>
          </w:p>
        </w:tc>
        <w:tc>
          <w:tcPr>
            <w:tcW w:w="808" w:type="pct"/>
            <w:vAlign w:val="bottom"/>
          </w:tcPr>
          <w:p w:rsidR="00361BA6" w:rsidRPr="004F78AB" w:rsidRDefault="00361BA6" w:rsidP="00361BA6">
            <w:pPr>
              <w:pStyle w:val="TableBodyText"/>
            </w:pPr>
            <w:r w:rsidRPr="004F78AB">
              <w:t>209.5</w:t>
            </w:r>
          </w:p>
        </w:tc>
        <w:tc>
          <w:tcPr>
            <w:tcW w:w="887" w:type="pct"/>
            <w:vAlign w:val="bottom"/>
          </w:tcPr>
          <w:p w:rsidR="00361BA6" w:rsidRPr="004F78AB" w:rsidRDefault="00361BA6" w:rsidP="00361BA6">
            <w:pPr>
              <w:pStyle w:val="TableBodyText"/>
            </w:pPr>
            <w:r w:rsidRPr="004F78AB">
              <w:t>-51.0</w:t>
            </w:r>
          </w:p>
        </w:tc>
        <w:tc>
          <w:tcPr>
            <w:tcW w:w="880" w:type="pct"/>
            <w:vAlign w:val="bottom"/>
          </w:tcPr>
          <w:p w:rsidR="00361BA6" w:rsidRPr="004F78AB" w:rsidRDefault="00361BA6" w:rsidP="00361BA6">
            <w:pPr>
              <w:pStyle w:val="TableBodyText"/>
            </w:pPr>
            <w:r w:rsidRPr="004F78AB">
              <w:t>158.4</w:t>
            </w:r>
          </w:p>
        </w:tc>
      </w:tr>
      <w:tr w:rsidR="00ED4BCF" w:rsidRPr="004F78AB" w:rsidTr="00957BD9">
        <w:tc>
          <w:tcPr>
            <w:tcW w:w="2426" w:type="pct"/>
            <w:vAlign w:val="bottom"/>
          </w:tcPr>
          <w:p w:rsidR="00361BA6" w:rsidRPr="004F78AB" w:rsidRDefault="00361BA6" w:rsidP="004F78AB">
            <w:pPr>
              <w:pStyle w:val="TableBodyText"/>
              <w:spacing w:before="60"/>
              <w:jc w:val="left"/>
              <w:rPr>
                <w:b/>
              </w:rPr>
            </w:pPr>
            <w:r w:rsidRPr="004F78AB">
              <w:rPr>
                <w:b/>
              </w:rPr>
              <w:t>Services</w:t>
            </w:r>
          </w:p>
        </w:tc>
        <w:tc>
          <w:tcPr>
            <w:tcW w:w="808" w:type="pct"/>
            <w:vAlign w:val="bottom"/>
          </w:tcPr>
          <w:p w:rsidR="00361BA6" w:rsidRPr="004F78AB" w:rsidRDefault="00361BA6" w:rsidP="004F78AB">
            <w:pPr>
              <w:pStyle w:val="TableBodyText"/>
              <w:spacing w:before="60"/>
              <w:rPr>
                <w:b/>
              </w:rPr>
            </w:pPr>
            <w:r w:rsidRPr="004F78AB">
              <w:t>–</w:t>
            </w:r>
          </w:p>
        </w:tc>
        <w:tc>
          <w:tcPr>
            <w:tcW w:w="887" w:type="pct"/>
            <w:vAlign w:val="bottom"/>
          </w:tcPr>
          <w:p w:rsidR="00361BA6" w:rsidRPr="004F78AB" w:rsidRDefault="00361BA6" w:rsidP="004F78AB">
            <w:pPr>
              <w:pStyle w:val="TableBodyText"/>
              <w:spacing w:before="60"/>
              <w:rPr>
                <w:b/>
              </w:rPr>
            </w:pPr>
            <w:r w:rsidRPr="004F78AB">
              <w:rPr>
                <w:b/>
              </w:rPr>
              <w:t>-4735.5</w:t>
            </w:r>
          </w:p>
        </w:tc>
        <w:tc>
          <w:tcPr>
            <w:tcW w:w="880" w:type="pct"/>
            <w:vAlign w:val="bottom"/>
          </w:tcPr>
          <w:p w:rsidR="00361BA6" w:rsidRPr="004F78AB" w:rsidRDefault="00361BA6" w:rsidP="004F78AB">
            <w:pPr>
              <w:pStyle w:val="TableBodyText"/>
              <w:spacing w:before="60"/>
              <w:rPr>
                <w:b/>
              </w:rPr>
            </w:pPr>
            <w:r w:rsidRPr="004F78AB">
              <w:rPr>
                <w:b/>
              </w:rPr>
              <w:t>-4735.5</w:t>
            </w:r>
          </w:p>
        </w:tc>
      </w:tr>
      <w:tr w:rsidR="00ED4BCF" w:rsidRPr="004F78AB" w:rsidTr="00957BD9">
        <w:tc>
          <w:tcPr>
            <w:tcW w:w="2426" w:type="pct"/>
            <w:vAlign w:val="bottom"/>
          </w:tcPr>
          <w:p w:rsidR="00361BA6" w:rsidRPr="004F78AB" w:rsidRDefault="00361BA6" w:rsidP="00361BA6">
            <w:pPr>
              <w:pStyle w:val="TableBodyText"/>
              <w:jc w:val="left"/>
            </w:pPr>
            <w:r w:rsidRPr="004F78AB">
              <w:t>Electricity, gas, water and waste services</w:t>
            </w:r>
          </w:p>
        </w:tc>
        <w:tc>
          <w:tcPr>
            <w:tcW w:w="808" w:type="pct"/>
            <w:vAlign w:val="bottom"/>
          </w:tcPr>
          <w:p w:rsidR="00361BA6" w:rsidRPr="004F78AB" w:rsidRDefault="00361BA6" w:rsidP="00361BA6">
            <w:pPr>
              <w:pStyle w:val="TableBodyText"/>
            </w:pPr>
            <w:r w:rsidRPr="004F78AB">
              <w:t>–</w:t>
            </w:r>
          </w:p>
        </w:tc>
        <w:tc>
          <w:tcPr>
            <w:tcW w:w="887" w:type="pct"/>
            <w:vAlign w:val="bottom"/>
          </w:tcPr>
          <w:p w:rsidR="00361BA6" w:rsidRPr="004F78AB" w:rsidRDefault="00361BA6" w:rsidP="00361BA6">
            <w:pPr>
              <w:pStyle w:val="TableBodyText"/>
            </w:pPr>
            <w:r w:rsidRPr="004F78AB">
              <w:t>-97.1</w:t>
            </w:r>
          </w:p>
        </w:tc>
        <w:tc>
          <w:tcPr>
            <w:tcW w:w="880" w:type="pct"/>
            <w:vAlign w:val="bottom"/>
          </w:tcPr>
          <w:p w:rsidR="00361BA6" w:rsidRPr="004F78AB" w:rsidRDefault="00361BA6" w:rsidP="00361BA6">
            <w:pPr>
              <w:pStyle w:val="TableBodyText"/>
            </w:pPr>
            <w:r w:rsidRPr="004F78AB">
              <w:t>-97.1</w:t>
            </w:r>
          </w:p>
        </w:tc>
      </w:tr>
      <w:tr w:rsidR="00ED4BCF" w:rsidRPr="004F78AB" w:rsidTr="00957BD9">
        <w:tc>
          <w:tcPr>
            <w:tcW w:w="2426" w:type="pct"/>
            <w:vAlign w:val="bottom"/>
          </w:tcPr>
          <w:p w:rsidR="00361BA6" w:rsidRPr="004F78AB" w:rsidRDefault="00361BA6" w:rsidP="00361BA6">
            <w:pPr>
              <w:pStyle w:val="TableBodyText"/>
              <w:jc w:val="left"/>
            </w:pPr>
            <w:r w:rsidRPr="004F78AB">
              <w:t>Construction</w:t>
            </w:r>
          </w:p>
        </w:tc>
        <w:tc>
          <w:tcPr>
            <w:tcW w:w="808" w:type="pct"/>
            <w:vAlign w:val="bottom"/>
          </w:tcPr>
          <w:p w:rsidR="00361BA6" w:rsidRPr="004F78AB" w:rsidRDefault="00361BA6" w:rsidP="00361BA6">
            <w:pPr>
              <w:pStyle w:val="TableBodyText"/>
            </w:pPr>
            <w:r w:rsidRPr="004F78AB">
              <w:t>–</w:t>
            </w:r>
          </w:p>
        </w:tc>
        <w:tc>
          <w:tcPr>
            <w:tcW w:w="887" w:type="pct"/>
            <w:vAlign w:val="bottom"/>
          </w:tcPr>
          <w:p w:rsidR="00361BA6" w:rsidRPr="004F78AB" w:rsidRDefault="00361BA6" w:rsidP="00361BA6">
            <w:pPr>
              <w:pStyle w:val="TableBodyText"/>
            </w:pPr>
            <w:r w:rsidRPr="004F78AB">
              <w:t>-1698.1</w:t>
            </w:r>
          </w:p>
        </w:tc>
        <w:tc>
          <w:tcPr>
            <w:tcW w:w="880" w:type="pct"/>
            <w:vAlign w:val="bottom"/>
          </w:tcPr>
          <w:p w:rsidR="00361BA6" w:rsidRPr="004F78AB" w:rsidRDefault="00361BA6" w:rsidP="00361BA6">
            <w:pPr>
              <w:pStyle w:val="TableBodyText"/>
            </w:pPr>
            <w:r w:rsidRPr="004F78AB">
              <w:t>-1698.1</w:t>
            </w:r>
          </w:p>
        </w:tc>
      </w:tr>
      <w:tr w:rsidR="00ED4BCF" w:rsidRPr="004F78AB" w:rsidTr="00957BD9">
        <w:tc>
          <w:tcPr>
            <w:tcW w:w="2426" w:type="pct"/>
            <w:vAlign w:val="bottom"/>
          </w:tcPr>
          <w:p w:rsidR="00361BA6" w:rsidRPr="004F78AB" w:rsidRDefault="00361BA6" w:rsidP="00361BA6">
            <w:pPr>
              <w:pStyle w:val="TableBodyText"/>
              <w:jc w:val="left"/>
            </w:pPr>
            <w:r w:rsidRPr="004F78AB">
              <w:t>Wholesale trade</w:t>
            </w:r>
          </w:p>
        </w:tc>
        <w:tc>
          <w:tcPr>
            <w:tcW w:w="808" w:type="pct"/>
            <w:vAlign w:val="bottom"/>
          </w:tcPr>
          <w:p w:rsidR="00361BA6" w:rsidRPr="004F78AB" w:rsidRDefault="00361BA6" w:rsidP="00361BA6">
            <w:pPr>
              <w:pStyle w:val="TableBodyText"/>
            </w:pPr>
            <w:r w:rsidRPr="004F78AB">
              <w:t>–</w:t>
            </w:r>
          </w:p>
        </w:tc>
        <w:tc>
          <w:tcPr>
            <w:tcW w:w="887" w:type="pct"/>
            <w:vAlign w:val="bottom"/>
          </w:tcPr>
          <w:p w:rsidR="00361BA6" w:rsidRPr="004F78AB" w:rsidRDefault="00361BA6" w:rsidP="00361BA6">
            <w:pPr>
              <w:pStyle w:val="TableBodyText"/>
            </w:pPr>
            <w:r w:rsidRPr="004F78AB">
              <w:t>-259.8</w:t>
            </w:r>
          </w:p>
        </w:tc>
        <w:tc>
          <w:tcPr>
            <w:tcW w:w="880" w:type="pct"/>
            <w:vAlign w:val="bottom"/>
          </w:tcPr>
          <w:p w:rsidR="00361BA6" w:rsidRPr="004F78AB" w:rsidRDefault="00361BA6" w:rsidP="00361BA6">
            <w:pPr>
              <w:pStyle w:val="TableBodyText"/>
            </w:pPr>
            <w:r w:rsidRPr="004F78AB">
              <w:t>-259.8</w:t>
            </w:r>
          </w:p>
        </w:tc>
      </w:tr>
      <w:tr w:rsidR="00ED4BCF" w:rsidRPr="004F78AB" w:rsidTr="00957BD9">
        <w:tc>
          <w:tcPr>
            <w:tcW w:w="2426" w:type="pct"/>
            <w:vAlign w:val="bottom"/>
          </w:tcPr>
          <w:p w:rsidR="00361BA6" w:rsidRPr="004F78AB" w:rsidRDefault="00361BA6" w:rsidP="00361BA6">
            <w:pPr>
              <w:pStyle w:val="TableBodyText"/>
              <w:jc w:val="left"/>
            </w:pPr>
            <w:r w:rsidRPr="004F78AB">
              <w:t>Retail trade</w:t>
            </w:r>
          </w:p>
        </w:tc>
        <w:tc>
          <w:tcPr>
            <w:tcW w:w="808" w:type="pct"/>
            <w:vAlign w:val="bottom"/>
          </w:tcPr>
          <w:p w:rsidR="00361BA6" w:rsidRPr="004F78AB" w:rsidRDefault="00361BA6" w:rsidP="00361BA6">
            <w:pPr>
              <w:pStyle w:val="TableBodyText"/>
            </w:pPr>
            <w:r w:rsidRPr="004F78AB">
              <w:t>–</w:t>
            </w:r>
          </w:p>
        </w:tc>
        <w:tc>
          <w:tcPr>
            <w:tcW w:w="887" w:type="pct"/>
            <w:vAlign w:val="bottom"/>
          </w:tcPr>
          <w:p w:rsidR="00361BA6" w:rsidRPr="004F78AB" w:rsidRDefault="00361BA6" w:rsidP="00361BA6">
            <w:pPr>
              <w:pStyle w:val="TableBodyText"/>
            </w:pPr>
            <w:r w:rsidRPr="004F78AB">
              <w:t>-188.0</w:t>
            </w:r>
          </w:p>
        </w:tc>
        <w:tc>
          <w:tcPr>
            <w:tcW w:w="880" w:type="pct"/>
            <w:vAlign w:val="bottom"/>
          </w:tcPr>
          <w:p w:rsidR="00361BA6" w:rsidRPr="004F78AB" w:rsidRDefault="00361BA6" w:rsidP="00361BA6">
            <w:pPr>
              <w:pStyle w:val="TableBodyText"/>
            </w:pPr>
            <w:r w:rsidRPr="004F78AB">
              <w:t>-188.0</w:t>
            </w:r>
          </w:p>
        </w:tc>
      </w:tr>
      <w:tr w:rsidR="00ED4BCF" w:rsidRPr="004F78AB" w:rsidTr="00957BD9">
        <w:tc>
          <w:tcPr>
            <w:tcW w:w="2426" w:type="pct"/>
            <w:vAlign w:val="bottom"/>
          </w:tcPr>
          <w:p w:rsidR="00361BA6" w:rsidRPr="004F78AB" w:rsidRDefault="00361BA6" w:rsidP="00361BA6">
            <w:pPr>
              <w:pStyle w:val="TableBodyText"/>
              <w:jc w:val="left"/>
            </w:pPr>
            <w:r w:rsidRPr="004F78AB">
              <w:t>Accommodation and food services</w:t>
            </w:r>
          </w:p>
        </w:tc>
        <w:tc>
          <w:tcPr>
            <w:tcW w:w="808" w:type="pct"/>
            <w:vAlign w:val="bottom"/>
          </w:tcPr>
          <w:p w:rsidR="00361BA6" w:rsidRPr="004F78AB" w:rsidRDefault="00361BA6" w:rsidP="00361BA6">
            <w:pPr>
              <w:pStyle w:val="TableBodyText"/>
            </w:pPr>
            <w:r w:rsidRPr="004F78AB">
              <w:t>–</w:t>
            </w:r>
          </w:p>
        </w:tc>
        <w:tc>
          <w:tcPr>
            <w:tcW w:w="887" w:type="pct"/>
            <w:vAlign w:val="bottom"/>
          </w:tcPr>
          <w:p w:rsidR="00361BA6" w:rsidRPr="004F78AB" w:rsidRDefault="00361BA6" w:rsidP="00361BA6">
            <w:pPr>
              <w:pStyle w:val="TableBodyText"/>
            </w:pPr>
            <w:r w:rsidRPr="004F78AB">
              <w:t>-523.6</w:t>
            </w:r>
          </w:p>
        </w:tc>
        <w:tc>
          <w:tcPr>
            <w:tcW w:w="880" w:type="pct"/>
            <w:vAlign w:val="bottom"/>
          </w:tcPr>
          <w:p w:rsidR="00361BA6" w:rsidRPr="004F78AB" w:rsidRDefault="00361BA6" w:rsidP="00361BA6">
            <w:pPr>
              <w:pStyle w:val="TableBodyText"/>
            </w:pPr>
            <w:r w:rsidRPr="004F78AB">
              <w:t>-523.6</w:t>
            </w:r>
          </w:p>
        </w:tc>
      </w:tr>
      <w:tr w:rsidR="00ED4BCF" w:rsidRPr="004F78AB" w:rsidTr="00957BD9">
        <w:tc>
          <w:tcPr>
            <w:tcW w:w="2426" w:type="pct"/>
            <w:vAlign w:val="bottom"/>
          </w:tcPr>
          <w:p w:rsidR="00361BA6" w:rsidRPr="004F78AB" w:rsidRDefault="00361BA6" w:rsidP="00361BA6">
            <w:pPr>
              <w:pStyle w:val="TableBodyText"/>
              <w:jc w:val="left"/>
            </w:pPr>
            <w:r w:rsidRPr="004F78AB">
              <w:t>Transport, postal and warehousing</w:t>
            </w:r>
          </w:p>
        </w:tc>
        <w:tc>
          <w:tcPr>
            <w:tcW w:w="808" w:type="pct"/>
            <w:vAlign w:val="bottom"/>
          </w:tcPr>
          <w:p w:rsidR="00361BA6" w:rsidRPr="004F78AB" w:rsidRDefault="00361BA6" w:rsidP="00361BA6">
            <w:pPr>
              <w:pStyle w:val="TableBodyText"/>
            </w:pPr>
            <w:r w:rsidRPr="004F78AB">
              <w:t>–</w:t>
            </w:r>
          </w:p>
        </w:tc>
        <w:tc>
          <w:tcPr>
            <w:tcW w:w="887" w:type="pct"/>
            <w:vAlign w:val="bottom"/>
          </w:tcPr>
          <w:p w:rsidR="00361BA6" w:rsidRPr="004F78AB" w:rsidRDefault="00361BA6" w:rsidP="00361BA6">
            <w:pPr>
              <w:pStyle w:val="TableBodyText"/>
            </w:pPr>
            <w:r w:rsidRPr="004F78AB">
              <w:t>-211.8</w:t>
            </w:r>
          </w:p>
        </w:tc>
        <w:tc>
          <w:tcPr>
            <w:tcW w:w="880" w:type="pct"/>
            <w:vAlign w:val="bottom"/>
          </w:tcPr>
          <w:p w:rsidR="00361BA6" w:rsidRPr="004F78AB" w:rsidRDefault="00361BA6" w:rsidP="00361BA6">
            <w:pPr>
              <w:pStyle w:val="TableBodyText"/>
            </w:pPr>
            <w:r w:rsidRPr="004F78AB">
              <w:t>-211.8</w:t>
            </w:r>
          </w:p>
        </w:tc>
      </w:tr>
      <w:tr w:rsidR="00ED4BCF" w:rsidRPr="004F78AB" w:rsidTr="00957BD9">
        <w:tc>
          <w:tcPr>
            <w:tcW w:w="2426" w:type="pct"/>
            <w:vAlign w:val="bottom"/>
          </w:tcPr>
          <w:p w:rsidR="00361BA6" w:rsidRPr="004F78AB" w:rsidRDefault="00361BA6" w:rsidP="00361BA6">
            <w:pPr>
              <w:pStyle w:val="TableBodyText"/>
              <w:jc w:val="left"/>
            </w:pPr>
            <w:r w:rsidRPr="004F78AB">
              <w:t>Information, media and telecommunications</w:t>
            </w:r>
          </w:p>
        </w:tc>
        <w:tc>
          <w:tcPr>
            <w:tcW w:w="808" w:type="pct"/>
            <w:vAlign w:val="bottom"/>
          </w:tcPr>
          <w:p w:rsidR="00361BA6" w:rsidRPr="004F78AB" w:rsidRDefault="00361BA6" w:rsidP="00361BA6">
            <w:pPr>
              <w:pStyle w:val="TableBodyText"/>
            </w:pPr>
            <w:r w:rsidRPr="004F78AB">
              <w:t>–</w:t>
            </w:r>
          </w:p>
        </w:tc>
        <w:tc>
          <w:tcPr>
            <w:tcW w:w="887" w:type="pct"/>
            <w:vAlign w:val="bottom"/>
          </w:tcPr>
          <w:p w:rsidR="00361BA6" w:rsidRPr="004F78AB" w:rsidRDefault="00361BA6" w:rsidP="00361BA6">
            <w:pPr>
              <w:pStyle w:val="TableBodyText"/>
            </w:pPr>
            <w:r w:rsidRPr="004F78AB">
              <w:t>-145.7</w:t>
            </w:r>
          </w:p>
        </w:tc>
        <w:tc>
          <w:tcPr>
            <w:tcW w:w="880" w:type="pct"/>
            <w:vAlign w:val="bottom"/>
          </w:tcPr>
          <w:p w:rsidR="00361BA6" w:rsidRPr="004F78AB" w:rsidRDefault="00361BA6" w:rsidP="00361BA6">
            <w:pPr>
              <w:pStyle w:val="TableBodyText"/>
            </w:pPr>
            <w:r w:rsidRPr="004F78AB">
              <w:t>-145.7</w:t>
            </w:r>
          </w:p>
        </w:tc>
      </w:tr>
      <w:tr w:rsidR="00ED4BCF" w:rsidRPr="004F78AB" w:rsidTr="00957BD9">
        <w:tc>
          <w:tcPr>
            <w:tcW w:w="2426" w:type="pct"/>
            <w:vAlign w:val="bottom"/>
          </w:tcPr>
          <w:p w:rsidR="00361BA6" w:rsidRPr="004F78AB" w:rsidRDefault="00361BA6" w:rsidP="00361BA6">
            <w:pPr>
              <w:pStyle w:val="TableBodyText"/>
              <w:jc w:val="left"/>
            </w:pPr>
            <w:r w:rsidRPr="004F78AB">
              <w:t>Financial and insurance services</w:t>
            </w:r>
          </w:p>
        </w:tc>
        <w:tc>
          <w:tcPr>
            <w:tcW w:w="808" w:type="pct"/>
            <w:vAlign w:val="bottom"/>
          </w:tcPr>
          <w:p w:rsidR="00361BA6" w:rsidRPr="004F78AB" w:rsidRDefault="00361BA6" w:rsidP="00361BA6">
            <w:pPr>
              <w:pStyle w:val="TableBodyText"/>
            </w:pPr>
            <w:r w:rsidRPr="004F78AB">
              <w:t>–</w:t>
            </w:r>
          </w:p>
        </w:tc>
        <w:tc>
          <w:tcPr>
            <w:tcW w:w="887" w:type="pct"/>
            <w:vAlign w:val="bottom"/>
          </w:tcPr>
          <w:p w:rsidR="00361BA6" w:rsidRPr="004F78AB" w:rsidRDefault="00361BA6" w:rsidP="00361BA6">
            <w:pPr>
              <w:pStyle w:val="TableBodyText"/>
            </w:pPr>
            <w:r w:rsidRPr="004F78AB">
              <w:t>-9.7</w:t>
            </w:r>
          </w:p>
        </w:tc>
        <w:tc>
          <w:tcPr>
            <w:tcW w:w="880" w:type="pct"/>
            <w:vAlign w:val="bottom"/>
          </w:tcPr>
          <w:p w:rsidR="00361BA6" w:rsidRPr="004F78AB" w:rsidRDefault="00361BA6" w:rsidP="00361BA6">
            <w:pPr>
              <w:pStyle w:val="TableBodyText"/>
            </w:pPr>
            <w:r w:rsidRPr="004F78AB">
              <w:t>-9.7</w:t>
            </w:r>
          </w:p>
        </w:tc>
      </w:tr>
      <w:tr w:rsidR="00ED4BCF" w:rsidRPr="004F78AB" w:rsidTr="00957BD9">
        <w:tc>
          <w:tcPr>
            <w:tcW w:w="2426" w:type="pct"/>
            <w:vAlign w:val="bottom"/>
          </w:tcPr>
          <w:p w:rsidR="00361BA6" w:rsidRPr="004F78AB" w:rsidRDefault="00361BA6" w:rsidP="00361BA6">
            <w:pPr>
              <w:pStyle w:val="TableBodyText"/>
              <w:jc w:val="left"/>
            </w:pPr>
            <w:r w:rsidRPr="004F78AB">
              <w:t>Property, professional and admin. services</w:t>
            </w:r>
          </w:p>
        </w:tc>
        <w:tc>
          <w:tcPr>
            <w:tcW w:w="808" w:type="pct"/>
            <w:vAlign w:val="bottom"/>
          </w:tcPr>
          <w:p w:rsidR="00361BA6" w:rsidRPr="004F78AB" w:rsidRDefault="00361BA6" w:rsidP="00361BA6">
            <w:pPr>
              <w:pStyle w:val="TableBodyText"/>
            </w:pPr>
            <w:r w:rsidRPr="004F78AB">
              <w:t>–</w:t>
            </w:r>
          </w:p>
        </w:tc>
        <w:tc>
          <w:tcPr>
            <w:tcW w:w="887" w:type="pct"/>
            <w:vAlign w:val="bottom"/>
          </w:tcPr>
          <w:p w:rsidR="00361BA6" w:rsidRPr="004F78AB" w:rsidRDefault="00361BA6" w:rsidP="00361BA6">
            <w:pPr>
              <w:pStyle w:val="TableBodyText"/>
            </w:pPr>
            <w:r w:rsidRPr="004F78AB">
              <w:t>-620.9</w:t>
            </w:r>
          </w:p>
        </w:tc>
        <w:tc>
          <w:tcPr>
            <w:tcW w:w="880" w:type="pct"/>
            <w:vAlign w:val="bottom"/>
          </w:tcPr>
          <w:p w:rsidR="00361BA6" w:rsidRPr="004F78AB" w:rsidRDefault="00361BA6" w:rsidP="00361BA6">
            <w:pPr>
              <w:pStyle w:val="TableBodyText"/>
            </w:pPr>
            <w:r w:rsidRPr="004F78AB">
              <w:t>-620.9</w:t>
            </w:r>
          </w:p>
        </w:tc>
      </w:tr>
      <w:tr w:rsidR="00ED4BCF" w:rsidRPr="004F78AB" w:rsidTr="00957BD9">
        <w:tc>
          <w:tcPr>
            <w:tcW w:w="2426" w:type="pct"/>
            <w:vAlign w:val="bottom"/>
          </w:tcPr>
          <w:p w:rsidR="00361BA6" w:rsidRPr="004F78AB" w:rsidRDefault="00361BA6" w:rsidP="00361BA6">
            <w:pPr>
              <w:pStyle w:val="TableBodyText"/>
              <w:jc w:val="left"/>
            </w:pPr>
            <w:r w:rsidRPr="004F78AB">
              <w:t>Public administration and safety</w:t>
            </w:r>
          </w:p>
        </w:tc>
        <w:tc>
          <w:tcPr>
            <w:tcW w:w="808" w:type="pct"/>
            <w:vAlign w:val="bottom"/>
          </w:tcPr>
          <w:p w:rsidR="00361BA6" w:rsidRPr="004F78AB" w:rsidRDefault="00361BA6" w:rsidP="00361BA6">
            <w:pPr>
              <w:pStyle w:val="TableBodyText"/>
            </w:pPr>
            <w:r w:rsidRPr="004F78AB">
              <w:t>–</w:t>
            </w:r>
          </w:p>
        </w:tc>
        <w:tc>
          <w:tcPr>
            <w:tcW w:w="887" w:type="pct"/>
            <w:vAlign w:val="bottom"/>
          </w:tcPr>
          <w:p w:rsidR="00361BA6" w:rsidRPr="004F78AB" w:rsidRDefault="00361BA6" w:rsidP="00361BA6">
            <w:pPr>
              <w:pStyle w:val="TableBodyText"/>
            </w:pPr>
            <w:r w:rsidRPr="004F78AB">
              <w:t>-217.8</w:t>
            </w:r>
          </w:p>
        </w:tc>
        <w:tc>
          <w:tcPr>
            <w:tcW w:w="880" w:type="pct"/>
            <w:vAlign w:val="bottom"/>
          </w:tcPr>
          <w:p w:rsidR="00361BA6" w:rsidRPr="004F78AB" w:rsidRDefault="00361BA6" w:rsidP="00361BA6">
            <w:pPr>
              <w:pStyle w:val="TableBodyText"/>
            </w:pPr>
            <w:r w:rsidRPr="004F78AB">
              <w:t>-217.8</w:t>
            </w:r>
          </w:p>
        </w:tc>
      </w:tr>
      <w:tr w:rsidR="00ED4BCF" w:rsidRPr="004F78AB" w:rsidTr="00957BD9">
        <w:tc>
          <w:tcPr>
            <w:tcW w:w="2426" w:type="pct"/>
            <w:vAlign w:val="bottom"/>
          </w:tcPr>
          <w:p w:rsidR="00361BA6" w:rsidRPr="004F78AB" w:rsidRDefault="00361BA6" w:rsidP="00361BA6">
            <w:pPr>
              <w:pStyle w:val="TableBodyText"/>
              <w:jc w:val="left"/>
            </w:pPr>
            <w:r w:rsidRPr="004F78AB">
              <w:t>Education and training</w:t>
            </w:r>
          </w:p>
        </w:tc>
        <w:tc>
          <w:tcPr>
            <w:tcW w:w="808" w:type="pct"/>
            <w:vAlign w:val="bottom"/>
          </w:tcPr>
          <w:p w:rsidR="00361BA6" w:rsidRPr="004F78AB" w:rsidRDefault="00361BA6" w:rsidP="00361BA6">
            <w:pPr>
              <w:pStyle w:val="TableBodyText"/>
            </w:pPr>
            <w:r w:rsidRPr="004F78AB">
              <w:t>–</w:t>
            </w:r>
          </w:p>
        </w:tc>
        <w:tc>
          <w:tcPr>
            <w:tcW w:w="887" w:type="pct"/>
            <w:vAlign w:val="bottom"/>
          </w:tcPr>
          <w:p w:rsidR="00361BA6" w:rsidRPr="004F78AB" w:rsidRDefault="00361BA6" w:rsidP="00361BA6">
            <w:pPr>
              <w:pStyle w:val="TableBodyText"/>
            </w:pPr>
            <w:r w:rsidRPr="004F78AB">
              <w:t>-120.3</w:t>
            </w:r>
          </w:p>
        </w:tc>
        <w:tc>
          <w:tcPr>
            <w:tcW w:w="880" w:type="pct"/>
            <w:vAlign w:val="bottom"/>
          </w:tcPr>
          <w:p w:rsidR="00361BA6" w:rsidRPr="004F78AB" w:rsidRDefault="00361BA6" w:rsidP="00361BA6">
            <w:pPr>
              <w:pStyle w:val="TableBodyText"/>
            </w:pPr>
            <w:r w:rsidRPr="004F78AB">
              <w:t>-120.3</w:t>
            </w:r>
          </w:p>
        </w:tc>
      </w:tr>
      <w:tr w:rsidR="00ED4BCF" w:rsidRPr="004F78AB" w:rsidTr="00957BD9">
        <w:tc>
          <w:tcPr>
            <w:tcW w:w="2426" w:type="pct"/>
            <w:vAlign w:val="bottom"/>
          </w:tcPr>
          <w:p w:rsidR="00361BA6" w:rsidRPr="004F78AB" w:rsidRDefault="00361BA6" w:rsidP="00361BA6">
            <w:pPr>
              <w:pStyle w:val="TableBodyText"/>
              <w:jc w:val="left"/>
            </w:pPr>
            <w:r w:rsidRPr="004F78AB">
              <w:t>Health care and social assistance</w:t>
            </w:r>
          </w:p>
        </w:tc>
        <w:tc>
          <w:tcPr>
            <w:tcW w:w="808" w:type="pct"/>
            <w:vAlign w:val="bottom"/>
          </w:tcPr>
          <w:p w:rsidR="00361BA6" w:rsidRPr="004F78AB" w:rsidRDefault="00361BA6" w:rsidP="00361BA6">
            <w:pPr>
              <w:pStyle w:val="TableBodyText"/>
            </w:pPr>
            <w:r w:rsidRPr="004F78AB">
              <w:t>–</w:t>
            </w:r>
          </w:p>
        </w:tc>
        <w:tc>
          <w:tcPr>
            <w:tcW w:w="887" w:type="pct"/>
            <w:vAlign w:val="bottom"/>
          </w:tcPr>
          <w:p w:rsidR="00361BA6" w:rsidRPr="004F78AB" w:rsidRDefault="00361BA6" w:rsidP="00361BA6">
            <w:pPr>
              <w:pStyle w:val="TableBodyText"/>
            </w:pPr>
            <w:r w:rsidRPr="004F78AB">
              <w:t>-274.9</w:t>
            </w:r>
          </w:p>
        </w:tc>
        <w:tc>
          <w:tcPr>
            <w:tcW w:w="880" w:type="pct"/>
            <w:vAlign w:val="bottom"/>
          </w:tcPr>
          <w:p w:rsidR="00361BA6" w:rsidRPr="004F78AB" w:rsidRDefault="00361BA6" w:rsidP="00361BA6">
            <w:pPr>
              <w:pStyle w:val="TableBodyText"/>
            </w:pPr>
            <w:r w:rsidRPr="004F78AB">
              <w:t>-274.9</w:t>
            </w:r>
          </w:p>
        </w:tc>
      </w:tr>
      <w:tr w:rsidR="00ED4BCF" w:rsidRPr="004F78AB" w:rsidTr="00957BD9">
        <w:tc>
          <w:tcPr>
            <w:tcW w:w="2426" w:type="pct"/>
            <w:vAlign w:val="bottom"/>
          </w:tcPr>
          <w:p w:rsidR="00361BA6" w:rsidRPr="004F78AB" w:rsidRDefault="00361BA6" w:rsidP="00361BA6">
            <w:pPr>
              <w:pStyle w:val="TableBodyText"/>
              <w:jc w:val="left"/>
            </w:pPr>
            <w:r w:rsidRPr="004F78AB">
              <w:t>Arts and recreation services</w:t>
            </w:r>
          </w:p>
        </w:tc>
        <w:tc>
          <w:tcPr>
            <w:tcW w:w="808" w:type="pct"/>
            <w:vAlign w:val="bottom"/>
          </w:tcPr>
          <w:p w:rsidR="00361BA6" w:rsidRPr="004F78AB" w:rsidRDefault="00361BA6" w:rsidP="00361BA6">
            <w:pPr>
              <w:pStyle w:val="TableBodyText"/>
            </w:pPr>
            <w:r w:rsidRPr="004F78AB">
              <w:t>–</w:t>
            </w:r>
          </w:p>
        </w:tc>
        <w:tc>
          <w:tcPr>
            <w:tcW w:w="887" w:type="pct"/>
            <w:vAlign w:val="bottom"/>
          </w:tcPr>
          <w:p w:rsidR="00361BA6" w:rsidRPr="004F78AB" w:rsidRDefault="00361BA6" w:rsidP="00361BA6">
            <w:pPr>
              <w:pStyle w:val="TableBodyText"/>
            </w:pPr>
            <w:r w:rsidRPr="004F78AB">
              <w:t>-79.1</w:t>
            </w:r>
          </w:p>
        </w:tc>
        <w:tc>
          <w:tcPr>
            <w:tcW w:w="880" w:type="pct"/>
            <w:vAlign w:val="bottom"/>
          </w:tcPr>
          <w:p w:rsidR="00361BA6" w:rsidRPr="004F78AB" w:rsidRDefault="00361BA6" w:rsidP="00361BA6">
            <w:pPr>
              <w:pStyle w:val="TableBodyText"/>
            </w:pPr>
            <w:r w:rsidRPr="004F78AB">
              <w:t>-79.1</w:t>
            </w:r>
          </w:p>
        </w:tc>
      </w:tr>
      <w:tr w:rsidR="00ED4BCF" w:rsidRPr="004F78AB" w:rsidTr="00957BD9">
        <w:tc>
          <w:tcPr>
            <w:tcW w:w="2426" w:type="pct"/>
            <w:vAlign w:val="bottom"/>
          </w:tcPr>
          <w:p w:rsidR="00361BA6" w:rsidRPr="004F78AB" w:rsidRDefault="00361BA6" w:rsidP="00361BA6">
            <w:pPr>
              <w:pStyle w:val="TableBodyText"/>
              <w:jc w:val="left"/>
            </w:pPr>
            <w:r w:rsidRPr="004F78AB">
              <w:t>Other services</w:t>
            </w:r>
          </w:p>
        </w:tc>
        <w:tc>
          <w:tcPr>
            <w:tcW w:w="808" w:type="pct"/>
            <w:vAlign w:val="bottom"/>
          </w:tcPr>
          <w:p w:rsidR="00361BA6" w:rsidRPr="004F78AB" w:rsidRDefault="00361BA6" w:rsidP="00361BA6">
            <w:pPr>
              <w:pStyle w:val="TableBodyText"/>
            </w:pPr>
            <w:r w:rsidRPr="004F78AB">
              <w:t>–</w:t>
            </w:r>
          </w:p>
        </w:tc>
        <w:tc>
          <w:tcPr>
            <w:tcW w:w="887" w:type="pct"/>
            <w:vAlign w:val="bottom"/>
          </w:tcPr>
          <w:p w:rsidR="00361BA6" w:rsidRPr="004F78AB" w:rsidRDefault="00361BA6" w:rsidP="00361BA6">
            <w:pPr>
              <w:pStyle w:val="TableBodyText"/>
            </w:pPr>
            <w:r w:rsidRPr="004F78AB">
              <w:t>-288.7</w:t>
            </w:r>
          </w:p>
        </w:tc>
        <w:tc>
          <w:tcPr>
            <w:tcW w:w="880" w:type="pct"/>
            <w:vAlign w:val="bottom"/>
          </w:tcPr>
          <w:p w:rsidR="00361BA6" w:rsidRPr="004F78AB" w:rsidRDefault="00361BA6" w:rsidP="00361BA6">
            <w:pPr>
              <w:pStyle w:val="TableBodyText"/>
            </w:pPr>
            <w:r w:rsidRPr="004F78AB">
              <w:t>-288.7</w:t>
            </w:r>
          </w:p>
        </w:tc>
      </w:tr>
      <w:tr w:rsidR="00ED4BCF" w:rsidRPr="004F78AB" w:rsidTr="00957BD9">
        <w:tc>
          <w:tcPr>
            <w:tcW w:w="2426" w:type="pct"/>
            <w:tcBorders>
              <w:bottom w:val="single" w:sz="6" w:space="0" w:color="auto"/>
            </w:tcBorders>
            <w:shd w:val="clear" w:color="auto" w:fill="auto"/>
            <w:vAlign w:val="bottom"/>
          </w:tcPr>
          <w:p w:rsidR="00361BA6" w:rsidRPr="004F78AB" w:rsidRDefault="00361BA6" w:rsidP="004F78AB">
            <w:pPr>
              <w:pStyle w:val="TableBodyText"/>
              <w:spacing w:before="60"/>
              <w:jc w:val="left"/>
              <w:rPr>
                <w:b/>
              </w:rPr>
            </w:pPr>
            <w:r w:rsidRPr="004F78AB">
              <w:rPr>
                <w:b/>
              </w:rPr>
              <w:t>Total</w:t>
            </w:r>
          </w:p>
        </w:tc>
        <w:tc>
          <w:tcPr>
            <w:tcW w:w="808" w:type="pct"/>
            <w:tcBorders>
              <w:bottom w:val="single" w:sz="6" w:space="0" w:color="auto"/>
            </w:tcBorders>
            <w:shd w:val="clear" w:color="auto" w:fill="auto"/>
            <w:vAlign w:val="bottom"/>
          </w:tcPr>
          <w:p w:rsidR="00361BA6" w:rsidRPr="004F78AB" w:rsidRDefault="00361BA6" w:rsidP="004F78AB">
            <w:pPr>
              <w:pStyle w:val="TableBodyText"/>
              <w:spacing w:before="60"/>
              <w:rPr>
                <w:b/>
              </w:rPr>
            </w:pPr>
            <w:r w:rsidRPr="004F78AB">
              <w:rPr>
                <w:b/>
              </w:rPr>
              <w:t>784</w:t>
            </w:r>
            <w:r w:rsidR="00F965FC" w:rsidRPr="004F78AB">
              <w:rPr>
                <w:b/>
              </w:rPr>
              <w:t>3.1</w:t>
            </w:r>
          </w:p>
        </w:tc>
        <w:tc>
          <w:tcPr>
            <w:tcW w:w="887" w:type="pct"/>
            <w:tcBorders>
              <w:bottom w:val="single" w:sz="6" w:space="0" w:color="auto"/>
            </w:tcBorders>
            <w:vAlign w:val="bottom"/>
          </w:tcPr>
          <w:p w:rsidR="00361BA6" w:rsidRPr="004F78AB" w:rsidRDefault="00361BA6" w:rsidP="004F78AB">
            <w:pPr>
              <w:pStyle w:val="TableBodyText"/>
              <w:spacing w:before="60"/>
              <w:rPr>
                <w:b/>
              </w:rPr>
            </w:pPr>
            <w:r w:rsidRPr="004F78AB">
              <w:rPr>
                <w:b/>
              </w:rPr>
              <w:t>-7</w:t>
            </w:r>
            <w:r w:rsidR="00F965FC" w:rsidRPr="004F78AB">
              <w:rPr>
                <w:b/>
              </w:rPr>
              <w:t>112.4</w:t>
            </w:r>
          </w:p>
        </w:tc>
        <w:tc>
          <w:tcPr>
            <w:tcW w:w="880" w:type="pct"/>
            <w:tcBorders>
              <w:bottom w:val="single" w:sz="6" w:space="0" w:color="auto"/>
            </w:tcBorders>
            <w:shd w:val="clear" w:color="auto" w:fill="auto"/>
            <w:vAlign w:val="bottom"/>
          </w:tcPr>
          <w:p w:rsidR="00361BA6" w:rsidRPr="004F78AB" w:rsidRDefault="00361BA6" w:rsidP="004F78AB">
            <w:pPr>
              <w:pStyle w:val="TableBodyText"/>
              <w:spacing w:before="60"/>
              <w:rPr>
                <w:b/>
              </w:rPr>
            </w:pPr>
            <w:r w:rsidRPr="004F78AB">
              <w:rPr>
                <w:b/>
              </w:rPr>
              <w:t>7</w:t>
            </w:r>
            <w:r w:rsidR="00F965FC" w:rsidRPr="004F78AB">
              <w:rPr>
                <w:b/>
              </w:rPr>
              <w:t>30.7</w:t>
            </w:r>
          </w:p>
        </w:tc>
      </w:tr>
    </w:tbl>
    <w:p w:rsidR="00AD672D" w:rsidRDefault="00361BA6" w:rsidP="00C2755E">
      <w:pPr>
        <w:pStyle w:val="Note"/>
      </w:pPr>
      <w:r w:rsidRPr="00AC2CC6">
        <w:t>– </w:t>
      </w:r>
      <w:r w:rsidR="00D720B5">
        <w:t>N</w:t>
      </w:r>
      <w:r w:rsidRPr="00AC2CC6">
        <w:t>il</w:t>
      </w:r>
      <w:r>
        <w:t xml:space="preserve">. </w:t>
      </w:r>
      <w:r w:rsidRPr="00AC2CC6">
        <w:t xml:space="preserve"> </w:t>
      </w:r>
      <w:r w:rsidR="00AD672D" w:rsidRPr="008E77FE">
        <w:rPr>
          <w:rStyle w:val="NoteLabel"/>
        </w:rPr>
        <w:t>a</w:t>
      </w:r>
      <w:r>
        <w:t> See footnote (a) in table</w:t>
      </w:r>
      <w:r w:rsidR="00812A7A">
        <w:t> </w:t>
      </w:r>
      <w:r>
        <w:t>2.1</w:t>
      </w:r>
      <w:r w:rsidR="00AD672D">
        <w:t>.</w:t>
      </w:r>
      <w:r>
        <w:t xml:space="preserve">  </w:t>
      </w:r>
      <w:r>
        <w:rPr>
          <w:rStyle w:val="NoteLabel"/>
        </w:rPr>
        <w:t>b</w:t>
      </w:r>
      <w:r>
        <w:t xml:space="preserve"> Totals may not add due to rounding. </w:t>
      </w:r>
    </w:p>
    <w:p w:rsidR="00AD672D" w:rsidRDefault="00AD672D" w:rsidP="00C2755E">
      <w:pPr>
        <w:pStyle w:val="Source"/>
      </w:pPr>
      <w:r>
        <w:rPr>
          <w:i/>
        </w:rPr>
        <w:t>Source</w:t>
      </w:r>
      <w:r>
        <w:t>: Commission estimates.</w:t>
      </w:r>
      <w:r w:rsidR="00361BA6">
        <w:t xml:space="preserve"> </w:t>
      </w:r>
    </w:p>
    <w:p w:rsidR="00531C24" w:rsidRDefault="00531C24" w:rsidP="002B07B1">
      <w:pPr>
        <w:pStyle w:val="BodyText"/>
      </w:pPr>
    </w:p>
    <w:p w:rsidR="002B07B1" w:rsidRPr="002E23A0" w:rsidRDefault="002B07B1" w:rsidP="002B07B1">
      <w:pPr>
        <w:pStyle w:val="BodyText"/>
      </w:pPr>
      <w:r w:rsidRPr="002E23A0">
        <w:lastRenderedPageBreak/>
        <w:t>Mining and primary production industries receive little tariff assistance on outputs, and tariffs are not levied on services. On the other hand, tariffs impose input-cost penalties on all industries (because of their cost-raising effects on inputs) (table </w:t>
      </w:r>
      <w:r>
        <w:t>4.2</w:t>
      </w:r>
      <w:r w:rsidRPr="002E23A0">
        <w:t xml:space="preserve"> middle column). </w:t>
      </w:r>
      <w:r>
        <w:t xml:space="preserve">Around two thirds of the input penalty on tariffs is incurred by services industries. </w:t>
      </w:r>
    </w:p>
    <w:p w:rsidR="00C27581" w:rsidRDefault="00C27581" w:rsidP="00C27581">
      <w:pPr>
        <w:pStyle w:val="BodyText"/>
      </w:pPr>
      <w:r w:rsidRPr="002E23A0">
        <w:t>All manufacturing industries are estimated to receive positive net tariff assistance, as the value of tariff assistance on outputs outweighs the cost impost of tariffs on inputs for each industry group (table </w:t>
      </w:r>
      <w:r w:rsidR="00E121B3">
        <w:t>4.2</w:t>
      </w:r>
      <w:r w:rsidRPr="002E23A0">
        <w:t xml:space="preserve"> right hand column). </w:t>
      </w:r>
    </w:p>
    <w:p w:rsidR="00C7272F" w:rsidRDefault="00237371" w:rsidP="00237371">
      <w:pPr>
        <w:pStyle w:val="BodyText"/>
      </w:pPr>
      <w:r>
        <w:t xml:space="preserve">Outside the manufacturing sector, the </w:t>
      </w:r>
      <w:r w:rsidRPr="0026783E">
        <w:rPr>
          <w:i/>
        </w:rPr>
        <w:t>Horticulture and fruit growing</w:t>
      </w:r>
      <w:r>
        <w:t xml:space="preserve"> and </w:t>
      </w:r>
      <w:r w:rsidRPr="0026783E">
        <w:rPr>
          <w:i/>
        </w:rPr>
        <w:t>Forestry and logging</w:t>
      </w:r>
      <w:r>
        <w:t xml:space="preserve"> industries are also estimated to have received positive net tariff assistance in 2012</w:t>
      </w:r>
      <w:r>
        <w:noBreakHyphen/>
        <w:t>13. Some import</w:t>
      </w:r>
      <w:r w:rsidR="00C27581">
        <w:t xml:space="preserve"> </w:t>
      </w:r>
      <w:r w:rsidR="00C7272F">
        <w:t xml:space="preserve">competing </w:t>
      </w:r>
      <w:r>
        <w:t xml:space="preserve">products in these two particular industry groups </w:t>
      </w:r>
      <w:r w:rsidR="00C7272F">
        <w:t xml:space="preserve">are protected by </w:t>
      </w:r>
      <w:r>
        <w:t xml:space="preserve">tariffs </w:t>
      </w:r>
      <w:r w:rsidR="00C7272F">
        <w:t xml:space="preserve">on imports </w:t>
      </w:r>
      <w:r>
        <w:t xml:space="preserve">(for example, grapes and softwood conifers). </w:t>
      </w:r>
    </w:p>
    <w:p w:rsidR="00237371" w:rsidRDefault="00237371" w:rsidP="00237371">
      <w:pPr>
        <w:pStyle w:val="BodyText"/>
      </w:pPr>
      <w:r>
        <w:t xml:space="preserve">The </w:t>
      </w:r>
      <w:r w:rsidRPr="0026783E">
        <w:rPr>
          <w:i/>
        </w:rPr>
        <w:t>Mining</w:t>
      </w:r>
      <w:r>
        <w:t xml:space="preserve"> </w:t>
      </w:r>
      <w:r w:rsidR="00C7272F">
        <w:t>industry</w:t>
      </w:r>
      <w:r w:rsidR="006B09C3">
        <w:t xml:space="preserve"> </w:t>
      </w:r>
      <w:r>
        <w:t xml:space="preserve">together with all </w:t>
      </w:r>
      <w:r w:rsidR="00C7272F">
        <w:t xml:space="preserve">of the </w:t>
      </w:r>
      <w:r>
        <w:t>services industries (and most primary production industries) incurred negative net tariff assistance</w:t>
      </w:r>
      <w:r w:rsidR="000871FB">
        <w:t xml:space="preserve"> in 2012</w:t>
      </w:r>
      <w:r w:rsidR="000871FB">
        <w:noBreakHyphen/>
        <w:t>13</w:t>
      </w:r>
      <w:r>
        <w:t xml:space="preserve">. </w:t>
      </w:r>
    </w:p>
    <w:p w:rsidR="003F68E0" w:rsidRDefault="003F68E0" w:rsidP="003F68E0">
      <w:pPr>
        <w:pStyle w:val="Heading3"/>
      </w:pPr>
      <w:r>
        <w:t>Net tariff assistance by industry sector</w:t>
      </w:r>
    </w:p>
    <w:p w:rsidR="0098056F" w:rsidRDefault="0026783E" w:rsidP="003F68E0">
      <w:pPr>
        <w:pStyle w:val="BodyText"/>
      </w:pPr>
      <w:r>
        <w:t>T</w:t>
      </w:r>
      <w:r w:rsidR="00AD4B8B">
        <w:t xml:space="preserve">he estimated value of net tariff assistance for the manufacturing sector has decreased by around </w:t>
      </w:r>
      <w:r w:rsidR="00B3264E">
        <w:t>14</w:t>
      </w:r>
      <w:r w:rsidR="00AD4B8B">
        <w:t> per cent since 2007</w:t>
      </w:r>
      <w:r w:rsidR="00AD4B8B">
        <w:noBreakHyphen/>
        <w:t xml:space="preserve">08, largely reflecting reductions in tariff assistance to the </w:t>
      </w:r>
      <w:r w:rsidR="00AD4B8B" w:rsidRPr="00455001">
        <w:rPr>
          <w:i/>
        </w:rPr>
        <w:t xml:space="preserve">Textiles, clothing, footwear </w:t>
      </w:r>
      <w:r w:rsidR="00AD4B8B">
        <w:rPr>
          <w:i/>
        </w:rPr>
        <w:t>and</w:t>
      </w:r>
      <w:r w:rsidR="00AD4B8B" w:rsidRPr="00455001">
        <w:rPr>
          <w:i/>
        </w:rPr>
        <w:t xml:space="preserve"> leather</w:t>
      </w:r>
      <w:r w:rsidR="00AD4B8B">
        <w:t xml:space="preserve">, and </w:t>
      </w:r>
      <w:r w:rsidR="00AD4B8B" w:rsidRPr="00455001">
        <w:rPr>
          <w:i/>
        </w:rPr>
        <w:t xml:space="preserve">Motor vehicles </w:t>
      </w:r>
      <w:r w:rsidR="00AD4B8B">
        <w:rPr>
          <w:i/>
        </w:rPr>
        <w:t>and</w:t>
      </w:r>
      <w:r w:rsidR="00AD4B8B" w:rsidRPr="00455001">
        <w:rPr>
          <w:i/>
        </w:rPr>
        <w:t xml:space="preserve"> parts</w:t>
      </w:r>
      <w:r w:rsidR="00AD4B8B">
        <w:t xml:space="preserve"> industries in January 2010 (table </w:t>
      </w:r>
      <w:r w:rsidR="00E121B3">
        <w:t>4.3</w:t>
      </w:r>
      <w:r w:rsidR="00AD4B8B">
        <w:t>). The year-to-year changes are also affected by activity levels in tariff-assisted activities. At the same time, the net tariff penalty on the service</w:t>
      </w:r>
      <w:r w:rsidR="00F04EB2">
        <w:t>s</w:t>
      </w:r>
      <w:r w:rsidR="00AD4B8B">
        <w:t xml:space="preserve"> sector has increased by 2</w:t>
      </w:r>
      <w:r w:rsidR="00B3264E">
        <w:t>2</w:t>
      </w:r>
      <w:r w:rsidR="00AD4B8B">
        <w:t> per cent (to over $4.</w:t>
      </w:r>
      <w:r w:rsidR="00B3264E">
        <w:t>7</w:t>
      </w:r>
      <w:r w:rsidR="00AD4B8B">
        <w:t xml:space="preserve"> billion), reflecting </w:t>
      </w:r>
      <w:r w:rsidR="00EA372C">
        <w:t>growth in the use of tariff assisted manufactures as the sector has expanded</w:t>
      </w:r>
      <w:r w:rsidR="00AD4B8B">
        <w:t>. Similarly, the net tariff penalty on the mining sector has</w:t>
      </w:r>
      <w:r w:rsidR="006B5727">
        <w:t xml:space="preserve"> also </w:t>
      </w:r>
      <w:r w:rsidR="00AD4B8B">
        <w:t xml:space="preserve">increased over the period. </w:t>
      </w:r>
    </w:p>
    <w:p w:rsidR="006157EE" w:rsidRDefault="006157EE" w:rsidP="006157EE">
      <w:pPr>
        <w:pStyle w:val="TableTitle"/>
      </w:pPr>
      <w:r>
        <w:rPr>
          <w:b w:val="0"/>
        </w:rPr>
        <w:lastRenderedPageBreak/>
        <w:t>Table 4.</w:t>
      </w:r>
      <w:r w:rsidR="00000604">
        <w:rPr>
          <w:b w:val="0"/>
          <w:noProof/>
        </w:rPr>
        <w:t>3</w:t>
      </w:r>
      <w:r>
        <w:tab/>
        <w:t>Net tariff assistance by industry sector, 2007</w:t>
      </w:r>
      <w:r>
        <w:noBreakHyphen/>
        <w:t>08 to 2012</w:t>
      </w:r>
      <w:r>
        <w:noBreakHyphen/>
        <w:t>13</w:t>
      </w:r>
      <w:r w:rsidRPr="000871FB">
        <w:rPr>
          <w:rStyle w:val="NoteLabel"/>
        </w:rPr>
        <w:t>a</w:t>
      </w:r>
    </w:p>
    <w:p w:rsidR="006157EE" w:rsidRDefault="00AB19C0" w:rsidP="006157EE">
      <w:pPr>
        <w:pStyle w:val="Subtitle"/>
      </w:pPr>
      <w:r>
        <w:t>$ million (nominal)</w:t>
      </w:r>
    </w:p>
    <w:tbl>
      <w:tblPr>
        <w:tblW w:w="4999" w:type="pct"/>
        <w:tblCellMar>
          <w:left w:w="0" w:type="dxa"/>
          <w:right w:w="0" w:type="dxa"/>
        </w:tblCellMar>
        <w:tblLook w:val="0000" w:firstRow="0" w:lastRow="0" w:firstColumn="0" w:lastColumn="0" w:noHBand="0" w:noVBand="0"/>
      </w:tblPr>
      <w:tblGrid>
        <w:gridCol w:w="2328"/>
        <w:gridCol w:w="1077"/>
        <w:gridCol w:w="1077"/>
        <w:gridCol w:w="1077"/>
        <w:gridCol w:w="1076"/>
        <w:gridCol w:w="1076"/>
        <w:gridCol w:w="1076"/>
      </w:tblGrid>
      <w:tr w:rsidR="006157EE" w:rsidTr="006157EE">
        <w:tc>
          <w:tcPr>
            <w:tcW w:w="1325" w:type="pct"/>
            <w:tcBorders>
              <w:top w:val="single" w:sz="6" w:space="0" w:color="auto"/>
              <w:bottom w:val="single" w:sz="6" w:space="0" w:color="auto"/>
            </w:tcBorders>
            <w:shd w:val="clear" w:color="auto" w:fill="auto"/>
          </w:tcPr>
          <w:p w:rsidR="006157EE" w:rsidRDefault="006157EE" w:rsidP="006157EE">
            <w:pPr>
              <w:pStyle w:val="TableColumnHeading"/>
              <w:jc w:val="left"/>
            </w:pPr>
          </w:p>
        </w:tc>
        <w:tc>
          <w:tcPr>
            <w:tcW w:w="613" w:type="pct"/>
            <w:tcBorders>
              <w:top w:val="single" w:sz="6" w:space="0" w:color="auto"/>
              <w:bottom w:val="single" w:sz="6" w:space="0" w:color="auto"/>
            </w:tcBorders>
            <w:shd w:val="clear" w:color="auto" w:fill="auto"/>
          </w:tcPr>
          <w:p w:rsidR="006157EE" w:rsidRDefault="006157EE" w:rsidP="006157EE">
            <w:pPr>
              <w:pStyle w:val="TableColumnHeading"/>
            </w:pPr>
            <w:r>
              <w:t>2007-08</w:t>
            </w:r>
          </w:p>
        </w:tc>
        <w:tc>
          <w:tcPr>
            <w:tcW w:w="613" w:type="pct"/>
            <w:tcBorders>
              <w:top w:val="single" w:sz="6" w:space="0" w:color="auto"/>
              <w:bottom w:val="single" w:sz="6" w:space="0" w:color="auto"/>
            </w:tcBorders>
          </w:tcPr>
          <w:p w:rsidR="006157EE" w:rsidRDefault="006157EE" w:rsidP="006157EE">
            <w:pPr>
              <w:pStyle w:val="TableColumnHeading"/>
            </w:pPr>
            <w:r>
              <w:t>2008-09</w:t>
            </w:r>
          </w:p>
        </w:tc>
        <w:tc>
          <w:tcPr>
            <w:tcW w:w="613" w:type="pct"/>
            <w:tcBorders>
              <w:top w:val="single" w:sz="6" w:space="0" w:color="auto"/>
              <w:bottom w:val="single" w:sz="6" w:space="0" w:color="auto"/>
            </w:tcBorders>
          </w:tcPr>
          <w:p w:rsidR="006157EE" w:rsidRDefault="006157EE" w:rsidP="006157EE">
            <w:pPr>
              <w:pStyle w:val="TableColumnHeading"/>
            </w:pPr>
            <w:r>
              <w:t>2009-10</w:t>
            </w:r>
          </w:p>
        </w:tc>
        <w:tc>
          <w:tcPr>
            <w:tcW w:w="612" w:type="pct"/>
            <w:tcBorders>
              <w:top w:val="single" w:sz="6" w:space="0" w:color="auto"/>
              <w:bottom w:val="single" w:sz="6" w:space="0" w:color="auto"/>
            </w:tcBorders>
          </w:tcPr>
          <w:p w:rsidR="006157EE" w:rsidRDefault="006157EE" w:rsidP="006157EE">
            <w:pPr>
              <w:pStyle w:val="TableColumnHeading"/>
            </w:pPr>
            <w:r>
              <w:t>2010-11</w:t>
            </w:r>
          </w:p>
        </w:tc>
        <w:tc>
          <w:tcPr>
            <w:tcW w:w="612" w:type="pct"/>
            <w:tcBorders>
              <w:top w:val="single" w:sz="6" w:space="0" w:color="auto"/>
              <w:bottom w:val="single" w:sz="6" w:space="0" w:color="auto"/>
            </w:tcBorders>
          </w:tcPr>
          <w:p w:rsidR="006157EE" w:rsidRDefault="006157EE" w:rsidP="006157EE">
            <w:pPr>
              <w:pStyle w:val="TableColumnHeading"/>
            </w:pPr>
            <w:r>
              <w:t>2011-12</w:t>
            </w:r>
          </w:p>
        </w:tc>
        <w:tc>
          <w:tcPr>
            <w:tcW w:w="612" w:type="pct"/>
            <w:tcBorders>
              <w:top w:val="single" w:sz="6" w:space="0" w:color="auto"/>
              <w:bottom w:val="single" w:sz="6" w:space="0" w:color="auto"/>
            </w:tcBorders>
            <w:shd w:val="clear" w:color="auto" w:fill="auto"/>
          </w:tcPr>
          <w:p w:rsidR="006157EE" w:rsidRDefault="006157EE" w:rsidP="006157EE">
            <w:pPr>
              <w:pStyle w:val="TableColumnHeading"/>
            </w:pPr>
            <w:r>
              <w:t>2012-13</w:t>
            </w:r>
          </w:p>
        </w:tc>
      </w:tr>
      <w:tr w:rsidR="006157EE" w:rsidTr="006157EE">
        <w:tc>
          <w:tcPr>
            <w:tcW w:w="1325" w:type="pct"/>
            <w:tcBorders>
              <w:top w:val="single" w:sz="6" w:space="0" w:color="auto"/>
            </w:tcBorders>
          </w:tcPr>
          <w:p w:rsidR="006157EE" w:rsidRDefault="006157EE" w:rsidP="006157EE">
            <w:pPr>
              <w:pStyle w:val="TableUnitsRow"/>
              <w:spacing w:after="40"/>
              <w:jc w:val="left"/>
            </w:pPr>
            <w:r>
              <w:t>Primary production</w:t>
            </w:r>
          </w:p>
        </w:tc>
        <w:tc>
          <w:tcPr>
            <w:tcW w:w="613" w:type="pct"/>
            <w:tcBorders>
              <w:top w:val="single" w:sz="6" w:space="0" w:color="auto"/>
            </w:tcBorders>
            <w:vAlign w:val="center"/>
          </w:tcPr>
          <w:p w:rsidR="006157EE" w:rsidRDefault="006157EE" w:rsidP="006157EE">
            <w:pPr>
              <w:pStyle w:val="TableBodyText"/>
              <w:spacing w:before="80"/>
            </w:pPr>
            <w:r>
              <w:t>78.1</w:t>
            </w:r>
          </w:p>
        </w:tc>
        <w:tc>
          <w:tcPr>
            <w:tcW w:w="613" w:type="pct"/>
            <w:tcBorders>
              <w:top w:val="single" w:sz="6" w:space="0" w:color="auto"/>
            </w:tcBorders>
            <w:vAlign w:val="center"/>
          </w:tcPr>
          <w:p w:rsidR="006157EE" w:rsidRDefault="006157EE" w:rsidP="006157EE">
            <w:pPr>
              <w:pStyle w:val="TableBodyText"/>
              <w:spacing w:before="80"/>
            </w:pPr>
            <w:r>
              <w:t>125.0</w:t>
            </w:r>
          </w:p>
        </w:tc>
        <w:tc>
          <w:tcPr>
            <w:tcW w:w="613" w:type="pct"/>
            <w:tcBorders>
              <w:top w:val="single" w:sz="6" w:space="0" w:color="auto"/>
            </w:tcBorders>
            <w:vAlign w:val="center"/>
          </w:tcPr>
          <w:p w:rsidR="006157EE" w:rsidRDefault="006157EE" w:rsidP="006157EE">
            <w:pPr>
              <w:pStyle w:val="TableBodyText"/>
              <w:spacing w:before="80"/>
            </w:pPr>
            <w:r>
              <w:t>142.3</w:t>
            </w:r>
          </w:p>
        </w:tc>
        <w:tc>
          <w:tcPr>
            <w:tcW w:w="612" w:type="pct"/>
            <w:tcBorders>
              <w:top w:val="single" w:sz="6" w:space="0" w:color="auto"/>
            </w:tcBorders>
            <w:vAlign w:val="center"/>
          </w:tcPr>
          <w:p w:rsidR="006157EE" w:rsidRDefault="006157EE" w:rsidP="006157EE">
            <w:pPr>
              <w:pStyle w:val="TableBodyText"/>
              <w:spacing w:before="80"/>
            </w:pPr>
            <w:r>
              <w:t>139.3</w:t>
            </w:r>
          </w:p>
        </w:tc>
        <w:tc>
          <w:tcPr>
            <w:tcW w:w="612" w:type="pct"/>
            <w:tcBorders>
              <w:top w:val="single" w:sz="6" w:space="0" w:color="auto"/>
            </w:tcBorders>
            <w:vAlign w:val="center"/>
          </w:tcPr>
          <w:p w:rsidR="006157EE" w:rsidRDefault="006157EE" w:rsidP="006157EE">
            <w:pPr>
              <w:pStyle w:val="TableBodyText"/>
              <w:spacing w:before="80"/>
            </w:pPr>
            <w:r>
              <w:t>145.6</w:t>
            </w:r>
          </w:p>
        </w:tc>
        <w:tc>
          <w:tcPr>
            <w:tcW w:w="612" w:type="pct"/>
            <w:tcBorders>
              <w:top w:val="single" w:sz="6" w:space="0" w:color="auto"/>
            </w:tcBorders>
            <w:vAlign w:val="center"/>
          </w:tcPr>
          <w:p w:rsidR="006157EE" w:rsidRDefault="006157EE" w:rsidP="006157EE">
            <w:pPr>
              <w:pStyle w:val="TableBodyText"/>
              <w:spacing w:before="80"/>
            </w:pPr>
            <w:r>
              <w:t>160.3</w:t>
            </w:r>
          </w:p>
        </w:tc>
      </w:tr>
      <w:tr w:rsidR="006157EE" w:rsidTr="006157EE">
        <w:tc>
          <w:tcPr>
            <w:tcW w:w="1325" w:type="pct"/>
          </w:tcPr>
          <w:p w:rsidR="006157EE" w:rsidRDefault="006157EE" w:rsidP="006157EE">
            <w:pPr>
              <w:pStyle w:val="TableBodyText"/>
              <w:jc w:val="left"/>
            </w:pPr>
            <w:r>
              <w:t>Mining</w:t>
            </w:r>
          </w:p>
        </w:tc>
        <w:tc>
          <w:tcPr>
            <w:tcW w:w="613" w:type="pct"/>
            <w:vAlign w:val="center"/>
          </w:tcPr>
          <w:p w:rsidR="006157EE" w:rsidRDefault="006157EE" w:rsidP="003C1097">
            <w:pPr>
              <w:pStyle w:val="TableBodyText"/>
            </w:pPr>
            <w:r>
              <w:t>-</w:t>
            </w:r>
            <w:r w:rsidR="003C1097">
              <w:t>174.0</w:t>
            </w:r>
          </w:p>
        </w:tc>
        <w:tc>
          <w:tcPr>
            <w:tcW w:w="613" w:type="pct"/>
            <w:vAlign w:val="center"/>
          </w:tcPr>
          <w:p w:rsidR="006157EE" w:rsidRDefault="006157EE" w:rsidP="006157EE">
            <w:pPr>
              <w:pStyle w:val="TableBodyText"/>
            </w:pPr>
            <w:r>
              <w:t>-179.5</w:t>
            </w:r>
          </w:p>
        </w:tc>
        <w:tc>
          <w:tcPr>
            <w:tcW w:w="613" w:type="pct"/>
            <w:vAlign w:val="center"/>
          </w:tcPr>
          <w:p w:rsidR="006157EE" w:rsidRDefault="006157EE" w:rsidP="003C1097">
            <w:pPr>
              <w:pStyle w:val="TableBodyText"/>
            </w:pPr>
            <w:r>
              <w:t>-1</w:t>
            </w:r>
            <w:r w:rsidR="003C1097">
              <w:t>86.9</w:t>
            </w:r>
          </w:p>
        </w:tc>
        <w:tc>
          <w:tcPr>
            <w:tcW w:w="612" w:type="pct"/>
            <w:vAlign w:val="center"/>
          </w:tcPr>
          <w:p w:rsidR="006157EE" w:rsidRDefault="006157EE" w:rsidP="003C1097">
            <w:pPr>
              <w:pStyle w:val="TableBodyText"/>
            </w:pPr>
            <w:r>
              <w:t>-1</w:t>
            </w:r>
            <w:r w:rsidR="003C1097">
              <w:t>84.0</w:t>
            </w:r>
          </w:p>
        </w:tc>
        <w:tc>
          <w:tcPr>
            <w:tcW w:w="612" w:type="pct"/>
            <w:vAlign w:val="center"/>
          </w:tcPr>
          <w:p w:rsidR="006157EE" w:rsidRDefault="006157EE" w:rsidP="003C1097">
            <w:pPr>
              <w:pStyle w:val="TableBodyText"/>
            </w:pPr>
            <w:r>
              <w:t>-19</w:t>
            </w:r>
            <w:r w:rsidR="003C1097">
              <w:t>7.7</w:t>
            </w:r>
          </w:p>
        </w:tc>
        <w:tc>
          <w:tcPr>
            <w:tcW w:w="612" w:type="pct"/>
            <w:vAlign w:val="center"/>
          </w:tcPr>
          <w:p w:rsidR="006157EE" w:rsidRDefault="006157EE" w:rsidP="003C1097">
            <w:pPr>
              <w:pStyle w:val="TableBodyText"/>
            </w:pPr>
            <w:r>
              <w:t>-</w:t>
            </w:r>
            <w:r w:rsidR="003C1097">
              <w:t>215.8</w:t>
            </w:r>
          </w:p>
        </w:tc>
      </w:tr>
      <w:tr w:rsidR="006157EE" w:rsidTr="006157EE">
        <w:tc>
          <w:tcPr>
            <w:tcW w:w="1325" w:type="pct"/>
          </w:tcPr>
          <w:p w:rsidR="006157EE" w:rsidRDefault="006157EE" w:rsidP="006157EE">
            <w:pPr>
              <w:pStyle w:val="TableBodyText"/>
              <w:jc w:val="left"/>
            </w:pPr>
            <w:r>
              <w:t>Manufacturing</w:t>
            </w:r>
          </w:p>
        </w:tc>
        <w:tc>
          <w:tcPr>
            <w:tcW w:w="613" w:type="pct"/>
            <w:vAlign w:val="center"/>
          </w:tcPr>
          <w:p w:rsidR="006157EE" w:rsidRDefault="006157EE" w:rsidP="006157EE">
            <w:pPr>
              <w:pStyle w:val="TableBodyText"/>
            </w:pPr>
            <w:r>
              <w:t>6419.7</w:t>
            </w:r>
          </w:p>
        </w:tc>
        <w:tc>
          <w:tcPr>
            <w:tcW w:w="613" w:type="pct"/>
            <w:vAlign w:val="center"/>
          </w:tcPr>
          <w:p w:rsidR="006157EE" w:rsidRDefault="006157EE" w:rsidP="006157EE">
            <w:pPr>
              <w:pStyle w:val="TableBodyText"/>
            </w:pPr>
            <w:r>
              <w:t>6408.8</w:t>
            </w:r>
          </w:p>
        </w:tc>
        <w:tc>
          <w:tcPr>
            <w:tcW w:w="613" w:type="pct"/>
            <w:vAlign w:val="center"/>
          </w:tcPr>
          <w:p w:rsidR="006157EE" w:rsidRDefault="006157EE" w:rsidP="006157EE">
            <w:pPr>
              <w:pStyle w:val="TableBodyText"/>
            </w:pPr>
            <w:r>
              <w:t>5967.8</w:t>
            </w:r>
          </w:p>
        </w:tc>
        <w:tc>
          <w:tcPr>
            <w:tcW w:w="612" w:type="pct"/>
            <w:vAlign w:val="center"/>
          </w:tcPr>
          <w:p w:rsidR="006157EE" w:rsidRDefault="006157EE" w:rsidP="006157EE">
            <w:pPr>
              <w:pStyle w:val="TableBodyText"/>
            </w:pPr>
            <w:r>
              <w:t>5732.2</w:t>
            </w:r>
          </w:p>
        </w:tc>
        <w:tc>
          <w:tcPr>
            <w:tcW w:w="612" w:type="pct"/>
            <w:vAlign w:val="center"/>
          </w:tcPr>
          <w:p w:rsidR="006157EE" w:rsidRDefault="006157EE" w:rsidP="006157EE">
            <w:pPr>
              <w:pStyle w:val="TableBodyText"/>
            </w:pPr>
            <w:r>
              <w:t>5734.0</w:t>
            </w:r>
          </w:p>
        </w:tc>
        <w:tc>
          <w:tcPr>
            <w:tcW w:w="612" w:type="pct"/>
            <w:vAlign w:val="center"/>
          </w:tcPr>
          <w:p w:rsidR="006157EE" w:rsidRDefault="006157EE" w:rsidP="006157EE">
            <w:pPr>
              <w:pStyle w:val="TableBodyText"/>
            </w:pPr>
            <w:r>
              <w:t>5521.7</w:t>
            </w:r>
          </w:p>
        </w:tc>
      </w:tr>
      <w:tr w:rsidR="006157EE" w:rsidTr="006157EE">
        <w:tc>
          <w:tcPr>
            <w:tcW w:w="1325" w:type="pct"/>
          </w:tcPr>
          <w:p w:rsidR="006157EE" w:rsidRDefault="006157EE" w:rsidP="006157EE">
            <w:pPr>
              <w:pStyle w:val="TableBodyText"/>
              <w:jc w:val="left"/>
            </w:pPr>
            <w:r>
              <w:t>Service</w:t>
            </w:r>
          </w:p>
        </w:tc>
        <w:tc>
          <w:tcPr>
            <w:tcW w:w="613" w:type="pct"/>
            <w:vAlign w:val="center"/>
          </w:tcPr>
          <w:p w:rsidR="006157EE" w:rsidRDefault="006157EE" w:rsidP="006157EE">
            <w:pPr>
              <w:pStyle w:val="TableBodyText"/>
            </w:pPr>
            <w:r>
              <w:t>-3876.6</w:t>
            </w:r>
          </w:p>
        </w:tc>
        <w:tc>
          <w:tcPr>
            <w:tcW w:w="613" w:type="pct"/>
            <w:vAlign w:val="center"/>
          </w:tcPr>
          <w:p w:rsidR="006157EE" w:rsidRDefault="006157EE" w:rsidP="006157EE">
            <w:pPr>
              <w:pStyle w:val="TableBodyText"/>
            </w:pPr>
            <w:r>
              <w:t>-4135.1</w:t>
            </w:r>
          </w:p>
        </w:tc>
        <w:tc>
          <w:tcPr>
            <w:tcW w:w="613" w:type="pct"/>
            <w:vAlign w:val="center"/>
          </w:tcPr>
          <w:p w:rsidR="006157EE" w:rsidRDefault="006157EE" w:rsidP="006157EE">
            <w:pPr>
              <w:pStyle w:val="TableBodyText"/>
            </w:pPr>
            <w:r>
              <w:t>-4192.5</w:t>
            </w:r>
          </w:p>
        </w:tc>
        <w:tc>
          <w:tcPr>
            <w:tcW w:w="612" w:type="pct"/>
            <w:vAlign w:val="center"/>
          </w:tcPr>
          <w:p w:rsidR="006157EE" w:rsidRDefault="006157EE" w:rsidP="006157EE">
            <w:pPr>
              <w:pStyle w:val="TableBodyText"/>
            </w:pPr>
            <w:r>
              <w:t>-4267.4</w:t>
            </w:r>
          </w:p>
        </w:tc>
        <w:tc>
          <w:tcPr>
            <w:tcW w:w="612" w:type="pct"/>
            <w:vAlign w:val="center"/>
          </w:tcPr>
          <w:p w:rsidR="006157EE" w:rsidRDefault="006157EE" w:rsidP="006157EE">
            <w:pPr>
              <w:pStyle w:val="TableBodyText"/>
            </w:pPr>
            <w:r>
              <w:t>-4615.9</w:t>
            </w:r>
          </w:p>
        </w:tc>
        <w:tc>
          <w:tcPr>
            <w:tcW w:w="612" w:type="pct"/>
            <w:vAlign w:val="center"/>
          </w:tcPr>
          <w:p w:rsidR="006157EE" w:rsidRDefault="006157EE" w:rsidP="006157EE">
            <w:pPr>
              <w:pStyle w:val="TableBodyText"/>
            </w:pPr>
            <w:r>
              <w:t>-4735.5</w:t>
            </w:r>
          </w:p>
        </w:tc>
      </w:tr>
      <w:tr w:rsidR="006157EE" w:rsidRPr="00D4077D" w:rsidTr="006157EE">
        <w:tc>
          <w:tcPr>
            <w:tcW w:w="1325" w:type="pct"/>
            <w:tcBorders>
              <w:bottom w:val="single" w:sz="6" w:space="0" w:color="auto"/>
            </w:tcBorders>
            <w:shd w:val="clear" w:color="auto" w:fill="auto"/>
          </w:tcPr>
          <w:p w:rsidR="006157EE" w:rsidRPr="00D4077D" w:rsidRDefault="006157EE" w:rsidP="004F78AB">
            <w:pPr>
              <w:pStyle w:val="TableBodyText"/>
              <w:spacing w:before="60"/>
              <w:jc w:val="left"/>
              <w:rPr>
                <w:b/>
              </w:rPr>
            </w:pPr>
            <w:r w:rsidRPr="00D4077D">
              <w:rPr>
                <w:b/>
              </w:rPr>
              <w:t>Total</w:t>
            </w:r>
          </w:p>
        </w:tc>
        <w:tc>
          <w:tcPr>
            <w:tcW w:w="613" w:type="pct"/>
            <w:tcBorders>
              <w:bottom w:val="single" w:sz="6" w:space="0" w:color="auto"/>
            </w:tcBorders>
            <w:shd w:val="clear" w:color="auto" w:fill="auto"/>
            <w:vAlign w:val="center"/>
          </w:tcPr>
          <w:p w:rsidR="006157EE" w:rsidRDefault="006157EE" w:rsidP="004F78AB">
            <w:pPr>
              <w:pStyle w:val="TableBodyText"/>
              <w:spacing w:before="60"/>
              <w:rPr>
                <w:b/>
                <w:bCs/>
              </w:rPr>
            </w:pPr>
            <w:r>
              <w:rPr>
                <w:b/>
                <w:bCs/>
              </w:rPr>
              <w:t>24</w:t>
            </w:r>
            <w:r w:rsidR="003C1097">
              <w:rPr>
                <w:b/>
                <w:bCs/>
              </w:rPr>
              <w:t>47</w:t>
            </w:r>
            <w:r>
              <w:rPr>
                <w:b/>
                <w:bCs/>
              </w:rPr>
              <w:t>.1</w:t>
            </w:r>
          </w:p>
        </w:tc>
        <w:tc>
          <w:tcPr>
            <w:tcW w:w="613" w:type="pct"/>
            <w:tcBorders>
              <w:bottom w:val="single" w:sz="6" w:space="0" w:color="auto"/>
            </w:tcBorders>
            <w:vAlign w:val="center"/>
          </w:tcPr>
          <w:p w:rsidR="006157EE" w:rsidRDefault="006157EE" w:rsidP="004F78AB">
            <w:pPr>
              <w:pStyle w:val="TableBodyText"/>
              <w:spacing w:before="60"/>
              <w:rPr>
                <w:b/>
                <w:bCs/>
              </w:rPr>
            </w:pPr>
            <w:r>
              <w:rPr>
                <w:b/>
                <w:bCs/>
              </w:rPr>
              <w:t>2219.3</w:t>
            </w:r>
          </w:p>
        </w:tc>
        <w:tc>
          <w:tcPr>
            <w:tcW w:w="613" w:type="pct"/>
            <w:tcBorders>
              <w:bottom w:val="single" w:sz="6" w:space="0" w:color="auto"/>
            </w:tcBorders>
            <w:vAlign w:val="center"/>
          </w:tcPr>
          <w:p w:rsidR="006157EE" w:rsidRDefault="006157EE" w:rsidP="004F78AB">
            <w:pPr>
              <w:pStyle w:val="TableBodyText"/>
              <w:spacing w:before="60"/>
              <w:rPr>
                <w:b/>
                <w:bCs/>
              </w:rPr>
            </w:pPr>
            <w:r>
              <w:rPr>
                <w:b/>
                <w:bCs/>
              </w:rPr>
              <w:t>173</w:t>
            </w:r>
            <w:r w:rsidR="003C1097">
              <w:rPr>
                <w:b/>
                <w:bCs/>
              </w:rPr>
              <w:t>0</w:t>
            </w:r>
            <w:r>
              <w:rPr>
                <w:b/>
                <w:bCs/>
              </w:rPr>
              <w:t>.6</w:t>
            </w:r>
          </w:p>
        </w:tc>
        <w:tc>
          <w:tcPr>
            <w:tcW w:w="612" w:type="pct"/>
            <w:tcBorders>
              <w:bottom w:val="single" w:sz="6" w:space="0" w:color="auto"/>
            </w:tcBorders>
            <w:vAlign w:val="center"/>
          </w:tcPr>
          <w:p w:rsidR="006157EE" w:rsidRDefault="006157EE" w:rsidP="004F78AB">
            <w:pPr>
              <w:pStyle w:val="TableBodyText"/>
              <w:spacing w:before="60"/>
              <w:rPr>
                <w:b/>
                <w:bCs/>
              </w:rPr>
            </w:pPr>
            <w:r>
              <w:rPr>
                <w:b/>
                <w:bCs/>
              </w:rPr>
              <w:t>14</w:t>
            </w:r>
            <w:r w:rsidR="003C1097">
              <w:rPr>
                <w:b/>
                <w:bCs/>
              </w:rPr>
              <w:t>20.1</w:t>
            </w:r>
          </w:p>
        </w:tc>
        <w:tc>
          <w:tcPr>
            <w:tcW w:w="612" w:type="pct"/>
            <w:tcBorders>
              <w:bottom w:val="single" w:sz="6" w:space="0" w:color="auto"/>
            </w:tcBorders>
            <w:vAlign w:val="center"/>
          </w:tcPr>
          <w:p w:rsidR="006157EE" w:rsidRDefault="006157EE" w:rsidP="004F78AB">
            <w:pPr>
              <w:pStyle w:val="TableBodyText"/>
              <w:spacing w:before="60"/>
              <w:rPr>
                <w:b/>
                <w:bCs/>
              </w:rPr>
            </w:pPr>
            <w:r>
              <w:rPr>
                <w:b/>
                <w:bCs/>
              </w:rPr>
              <w:t>106</w:t>
            </w:r>
            <w:r w:rsidR="003C1097">
              <w:rPr>
                <w:b/>
                <w:bCs/>
              </w:rPr>
              <w:t>6.0</w:t>
            </w:r>
          </w:p>
        </w:tc>
        <w:tc>
          <w:tcPr>
            <w:tcW w:w="612" w:type="pct"/>
            <w:tcBorders>
              <w:bottom w:val="single" w:sz="6" w:space="0" w:color="auto"/>
            </w:tcBorders>
            <w:shd w:val="clear" w:color="auto" w:fill="auto"/>
            <w:vAlign w:val="center"/>
          </w:tcPr>
          <w:p w:rsidR="006157EE" w:rsidRDefault="006157EE" w:rsidP="004F78AB">
            <w:pPr>
              <w:pStyle w:val="TableBodyText"/>
              <w:spacing w:before="60"/>
              <w:rPr>
                <w:b/>
                <w:bCs/>
              </w:rPr>
            </w:pPr>
            <w:r>
              <w:rPr>
                <w:b/>
                <w:bCs/>
              </w:rPr>
              <w:t>7</w:t>
            </w:r>
            <w:r w:rsidR="003C1097">
              <w:rPr>
                <w:b/>
                <w:bCs/>
              </w:rPr>
              <w:t>30.7</w:t>
            </w:r>
          </w:p>
        </w:tc>
      </w:tr>
    </w:tbl>
    <w:p w:rsidR="006157EE" w:rsidRDefault="006157EE" w:rsidP="006157EE">
      <w:pPr>
        <w:pStyle w:val="Note"/>
      </w:pPr>
      <w:r w:rsidRPr="008E77FE">
        <w:rPr>
          <w:rStyle w:val="NoteLabel"/>
        </w:rPr>
        <w:t>a</w:t>
      </w:r>
      <w:r>
        <w:t> </w:t>
      </w:r>
      <w:bookmarkStart w:id="8" w:name="OLE_LINK2"/>
      <w:r w:rsidRPr="00D4077D">
        <w:t>Nominal tariff assistance estimates are derived by re-indexing a reference series based on 2008</w:t>
      </w:r>
      <w:r>
        <w:noBreakHyphen/>
      </w:r>
      <w:r w:rsidRPr="00D4077D">
        <w:t>09 ABS input-output data, using ABS Industry Gross Value Added</w:t>
      </w:r>
      <w:r w:rsidR="000B4DA5">
        <w:t xml:space="preserve"> and supporting data</w:t>
      </w:r>
      <w:r w:rsidRPr="00D4077D">
        <w:t xml:space="preserve"> at current prices data</w:t>
      </w:r>
      <w:r w:rsidR="000B4DA5">
        <w:t xml:space="preserve"> for all industries except Mining. For Mining, in order to abstract from the effects of terms of trade changes, the estimates are re-indexed using the ABS Industry Gross Value Added, </w:t>
      </w:r>
      <w:r w:rsidR="000871FB">
        <w:t>c</w:t>
      </w:r>
      <w:r w:rsidR="000B4DA5">
        <w:t xml:space="preserve">hain </w:t>
      </w:r>
      <w:r w:rsidR="000871FB">
        <w:t>v</w:t>
      </w:r>
      <w:r w:rsidR="000B4DA5">
        <w:t>olume measures</w:t>
      </w:r>
      <w:r w:rsidRPr="00D4077D">
        <w:t>. This information is subject to periodic revision by the ABS.</w:t>
      </w:r>
      <w:r>
        <w:t xml:space="preserve"> </w:t>
      </w:r>
      <w:bookmarkEnd w:id="8"/>
    </w:p>
    <w:p w:rsidR="006157EE" w:rsidRPr="008E77FE" w:rsidRDefault="006157EE" w:rsidP="006157EE">
      <w:pPr>
        <w:pStyle w:val="Source"/>
      </w:pPr>
      <w:r>
        <w:rPr>
          <w:i/>
        </w:rPr>
        <w:t>Source</w:t>
      </w:r>
      <w:r>
        <w:t>: Commission estimates.</w:t>
      </w:r>
    </w:p>
    <w:p w:rsidR="00136FE5" w:rsidRDefault="00136FE5" w:rsidP="003F68E0">
      <w:pPr>
        <w:pStyle w:val="BodyText"/>
      </w:pPr>
      <w:r>
        <w:t xml:space="preserve">Although the value of tariff assistance to primary production has trended higher over the period, it has varied from year-to-year with changes in the value of activity in the sector, including changes as a consequence of drought. </w:t>
      </w:r>
      <w:r w:rsidR="0098056F">
        <w:t xml:space="preserve">In particular, </w:t>
      </w:r>
      <w:r w:rsidR="00BF0930">
        <w:t>between 2007</w:t>
      </w:r>
      <w:r w:rsidR="00BF0930">
        <w:noBreakHyphen/>
        <w:t>08 to 2012</w:t>
      </w:r>
      <w:r w:rsidR="00BF0930">
        <w:noBreakHyphen/>
        <w:t xml:space="preserve">13, </w:t>
      </w:r>
      <w:r w:rsidR="0098056F">
        <w:t>the</w:t>
      </w:r>
      <w:r w:rsidR="00BF0930">
        <w:t xml:space="preserve"> </w:t>
      </w:r>
      <w:r w:rsidR="0098056F" w:rsidRPr="0026783E">
        <w:rPr>
          <w:i/>
        </w:rPr>
        <w:t>Horticulture and fruit growing</w:t>
      </w:r>
      <w:r w:rsidR="0098056F">
        <w:t xml:space="preserve"> and </w:t>
      </w:r>
      <w:r w:rsidR="0098056F" w:rsidRPr="0026783E">
        <w:rPr>
          <w:i/>
        </w:rPr>
        <w:t>Forestry and logging</w:t>
      </w:r>
      <w:r w:rsidR="0098056F">
        <w:t xml:space="preserve"> industries</w:t>
      </w:r>
      <w:r w:rsidR="00177A31">
        <w:t xml:space="preserve"> — industries </w:t>
      </w:r>
      <w:r w:rsidR="00677AAB">
        <w:t xml:space="preserve">that </w:t>
      </w:r>
      <w:r w:rsidR="00177A31">
        <w:t xml:space="preserve">receive </w:t>
      </w:r>
      <w:r w:rsidR="0098056F">
        <w:t xml:space="preserve">positive net </w:t>
      </w:r>
      <w:r w:rsidR="0037264A">
        <w:t xml:space="preserve">tariff </w:t>
      </w:r>
      <w:r w:rsidR="0098056F">
        <w:t>assistance</w:t>
      </w:r>
      <w:r w:rsidR="00177A31">
        <w:t xml:space="preserve"> — </w:t>
      </w:r>
      <w:r w:rsidR="0098056F">
        <w:t>ha</w:t>
      </w:r>
      <w:r w:rsidR="00BF0930">
        <w:t xml:space="preserve">ve grown </w:t>
      </w:r>
      <w:r w:rsidR="000871FB">
        <w:t xml:space="preserve">more </w:t>
      </w:r>
      <w:r w:rsidR="00BF0930">
        <w:t xml:space="preserve">in absolute terms </w:t>
      </w:r>
      <w:r w:rsidR="0098056F">
        <w:t xml:space="preserve">than other primary production industries </w:t>
      </w:r>
      <w:r w:rsidR="00177A31">
        <w:t xml:space="preserve">— industries </w:t>
      </w:r>
      <w:r w:rsidR="00677AAB">
        <w:t>that</w:t>
      </w:r>
      <w:r w:rsidR="00A30A07">
        <w:t>,</w:t>
      </w:r>
      <w:r w:rsidR="0098056F">
        <w:t xml:space="preserve"> </w:t>
      </w:r>
      <w:r w:rsidR="00177A31">
        <w:t xml:space="preserve">as a group, </w:t>
      </w:r>
      <w:r w:rsidR="0098056F">
        <w:t xml:space="preserve">incur negative net tariff assistance. </w:t>
      </w:r>
    </w:p>
    <w:p w:rsidR="00CD3AD0" w:rsidRDefault="00361E17" w:rsidP="00067AC5">
      <w:pPr>
        <w:pStyle w:val="Heading2"/>
      </w:pPr>
      <w:r>
        <w:t>4.</w:t>
      </w:r>
      <w:r w:rsidR="00000604">
        <w:rPr>
          <w:noProof/>
        </w:rPr>
        <w:t>2</w:t>
      </w:r>
      <w:r w:rsidR="00067AC5">
        <w:tab/>
        <w:t>Australian Government budgetary assistance</w:t>
      </w:r>
    </w:p>
    <w:p w:rsidR="00FE7058" w:rsidRDefault="00FE7058" w:rsidP="00FE7058">
      <w:pPr>
        <w:pStyle w:val="BodyText"/>
      </w:pPr>
      <w:r>
        <w:t xml:space="preserve">Budgetary assistance includes actual payments (outlays) and </w:t>
      </w:r>
      <w:r w:rsidR="00073C8B">
        <w:t xml:space="preserve">industry and sector specific </w:t>
      </w:r>
      <w:r>
        <w:t xml:space="preserve">tax concessions </w:t>
      </w:r>
      <w:r w:rsidR="00683B5F">
        <w:t>that have</w:t>
      </w:r>
      <w:r w:rsidR="00073C8B">
        <w:t xml:space="preserve"> industry policy objectives </w:t>
      </w:r>
      <w:r>
        <w:t>(figure </w:t>
      </w:r>
      <w:r w:rsidR="00E121B3">
        <w:t>4.1</w:t>
      </w:r>
      <w:r>
        <w:t>)</w:t>
      </w:r>
      <w:r w:rsidR="00073C8B">
        <w:t>.</w:t>
      </w:r>
      <w:r>
        <w:t xml:space="preserve"> Some measures provide assistance directly to firms, such as the Automotive Transformation Scheme and taxation concessions on R&amp;D expenditures, while other budgetary support measures deliver benefits indirectly to an industry via intermediate organisations such as the Rural Industries Research and Development Corporations and the Commonwealth Scientific and Industrial Research Organisation (CSIRO).</w:t>
      </w:r>
    </w:p>
    <w:p w:rsidR="006157EE" w:rsidRDefault="006157EE" w:rsidP="006157EE">
      <w:pPr>
        <w:pStyle w:val="FigureTitle"/>
      </w:pPr>
      <w:r>
        <w:rPr>
          <w:b w:val="0"/>
        </w:rPr>
        <w:lastRenderedPageBreak/>
        <w:t>Figure 4.</w:t>
      </w:r>
      <w:r w:rsidR="00000604">
        <w:rPr>
          <w:b w:val="0"/>
          <w:noProof/>
        </w:rPr>
        <w:t>1</w:t>
      </w:r>
      <w:r>
        <w:tab/>
        <w:t>Forms of budgetary assistance</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6157EE" w:rsidTr="006157EE">
        <w:trPr>
          <w:trHeight w:val="4819"/>
        </w:trPr>
        <w:tc>
          <w:tcPr>
            <w:tcW w:w="8777" w:type="dxa"/>
            <w:vAlign w:val="bottom"/>
          </w:tcPr>
          <w:p w:rsidR="006157EE" w:rsidRDefault="006157EE" w:rsidP="006157EE">
            <w:pPr>
              <w:pStyle w:val="Figure"/>
              <w:jc w:val="right"/>
            </w:pPr>
            <w:r w:rsidRPr="00AC2CC6">
              <w:rPr>
                <w:noProof/>
              </w:rPr>
              <mc:AlternateContent>
                <mc:Choice Requires="wpc">
                  <w:drawing>
                    <wp:anchor distT="0" distB="0" distL="114300" distR="114300" simplePos="0" relativeHeight="251665408" behindDoc="0" locked="0" layoutInCell="1" allowOverlap="1" wp14:anchorId="46DA154F" wp14:editId="3770573C">
                      <wp:simplePos x="0" y="0"/>
                      <wp:positionH relativeFrom="character">
                        <wp:posOffset>-5370830</wp:posOffset>
                      </wp:positionH>
                      <wp:positionV relativeFrom="line">
                        <wp:posOffset>-2599690</wp:posOffset>
                      </wp:positionV>
                      <wp:extent cx="5120640" cy="2877820"/>
                      <wp:effectExtent l="0" t="0" r="0" b="0"/>
                      <wp:wrapNone/>
                      <wp:docPr id="21" name="Canvas 21" descr="Figure 4.1. Forms of budgetary assistance. This picture lists the different types of budgetary assistance divided into outlays and tax concessions. "/>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Text Box 24"/>
                              <wps:cNvSpPr txBox="1">
                                <a:spLocks noChangeArrowheads="1"/>
                              </wps:cNvSpPr>
                              <wps:spPr bwMode="auto">
                                <a:xfrm>
                                  <a:off x="1533860" y="80010"/>
                                  <a:ext cx="2026285" cy="303530"/>
                                </a:xfrm>
                                <a:prstGeom prst="rect">
                                  <a:avLst/>
                                </a:prstGeom>
                                <a:solidFill>
                                  <a:srgbClr val="78A22F"/>
                                </a:solidFill>
                                <a:ln w="9525">
                                  <a:solidFill>
                                    <a:srgbClr val="000000"/>
                                  </a:solidFill>
                                  <a:miter lim="800000"/>
                                  <a:headEnd/>
                                  <a:tailEnd/>
                                </a:ln>
                                <a:extLst/>
                              </wps:spPr>
                              <wps:txbx>
                                <w:txbxContent>
                                  <w:p w:rsidR="00124544" w:rsidRPr="00C2284D" w:rsidRDefault="00124544" w:rsidP="006157EE">
                                    <w:pPr>
                                      <w:autoSpaceDE w:val="0"/>
                                      <w:autoSpaceDN w:val="0"/>
                                      <w:adjustRightInd w:val="0"/>
                                      <w:spacing w:after="60"/>
                                      <w:jc w:val="center"/>
                                      <w:rPr>
                                        <w:rFonts w:ascii="Arial" w:hAnsi="Arial" w:cs="Arial"/>
                                        <w:b/>
                                        <w:bCs/>
                                        <w:color w:val="000000"/>
                                        <w:sz w:val="24"/>
                                      </w:rPr>
                                    </w:pPr>
                                    <w:r w:rsidRPr="00C2284D">
                                      <w:rPr>
                                        <w:rFonts w:ascii="Arial" w:hAnsi="Arial" w:cs="Arial"/>
                                        <w:b/>
                                        <w:bCs/>
                                        <w:color w:val="000000"/>
                                        <w:sz w:val="24"/>
                                      </w:rPr>
                                      <w:t>Budgetary assistance</w:t>
                                    </w:r>
                                  </w:p>
                                </w:txbxContent>
                              </wps:txbx>
                              <wps:bodyPr rot="0" vert="horz" wrap="square" lIns="91440" tIns="45720" rIns="91440" bIns="45720" upright="1">
                                <a:noAutofit/>
                              </wps:bodyPr>
                            </wps:wsp>
                            <wps:wsp>
                              <wps:cNvPr id="2" name="Text Box 25"/>
                              <wps:cNvSpPr txBox="1">
                                <a:spLocks noChangeArrowheads="1"/>
                              </wps:cNvSpPr>
                              <wps:spPr bwMode="auto">
                                <a:xfrm>
                                  <a:off x="531830" y="900430"/>
                                  <a:ext cx="1798955" cy="501650"/>
                                </a:xfrm>
                                <a:prstGeom prst="rect">
                                  <a:avLst/>
                                </a:prstGeom>
                                <a:solidFill>
                                  <a:srgbClr val="B4C98B"/>
                                </a:solidFill>
                                <a:ln w="9525">
                                  <a:solidFill>
                                    <a:srgbClr val="000000"/>
                                  </a:solidFill>
                                  <a:miter lim="800000"/>
                                  <a:headEnd/>
                                  <a:tailEnd/>
                                </a:ln>
                                <a:extLst/>
                              </wps:spPr>
                              <wps:txbx>
                                <w:txbxContent>
                                  <w:p w:rsidR="00124544" w:rsidRPr="001F6519" w:rsidRDefault="00124544" w:rsidP="006157EE">
                                    <w:pPr>
                                      <w:autoSpaceDE w:val="0"/>
                                      <w:autoSpaceDN w:val="0"/>
                                      <w:adjustRightInd w:val="0"/>
                                      <w:rPr>
                                        <w:rFonts w:ascii="Arial" w:hAnsi="Arial" w:cs="Arial"/>
                                        <w:color w:val="000000"/>
                                      </w:rPr>
                                    </w:pPr>
                                    <w:r w:rsidRPr="001F6519">
                                      <w:rPr>
                                        <w:rFonts w:ascii="Arial" w:hAnsi="Arial" w:cs="Arial"/>
                                        <w:color w:val="000000"/>
                                      </w:rPr>
                                      <w:t>Budgetary outlays</w:t>
                                    </w:r>
                                  </w:p>
                                  <w:p w:rsidR="00124544" w:rsidRPr="00C2284D" w:rsidRDefault="00124544" w:rsidP="006157EE">
                                    <w:pPr>
                                      <w:numPr>
                                        <w:ilvl w:val="0"/>
                                        <w:numId w:val="49"/>
                                      </w:numPr>
                                      <w:autoSpaceDE w:val="0"/>
                                      <w:autoSpaceDN w:val="0"/>
                                      <w:adjustRightInd w:val="0"/>
                                      <w:rPr>
                                        <w:rFonts w:ascii="Arial" w:hAnsi="Arial" w:cs="Arial"/>
                                        <w:color w:val="000000"/>
                                        <w:sz w:val="20"/>
                                        <w:szCs w:val="20"/>
                                      </w:rPr>
                                    </w:pPr>
                                    <w:r w:rsidRPr="00C2284D">
                                      <w:rPr>
                                        <w:rFonts w:ascii="Arial" w:hAnsi="Arial" w:cs="Arial"/>
                                        <w:color w:val="000000"/>
                                        <w:sz w:val="20"/>
                                        <w:szCs w:val="20"/>
                                      </w:rPr>
                                      <w:t xml:space="preserve"> industry or sector specific</w:t>
                                    </w:r>
                                  </w:p>
                                </w:txbxContent>
                              </wps:txbx>
                              <wps:bodyPr rot="0" vert="horz" wrap="square" lIns="91440" tIns="45720" rIns="91440" bIns="45720" upright="1">
                                <a:noAutofit/>
                              </wps:bodyPr>
                            </wps:wsp>
                            <wps:wsp>
                              <wps:cNvPr id="3" name="Text Box 26"/>
                              <wps:cNvSpPr txBox="1">
                                <a:spLocks noChangeArrowheads="1"/>
                              </wps:cNvSpPr>
                              <wps:spPr bwMode="auto">
                                <a:xfrm>
                                  <a:off x="3094055" y="900430"/>
                                  <a:ext cx="1709420" cy="457200"/>
                                </a:xfrm>
                                <a:prstGeom prst="rect">
                                  <a:avLst/>
                                </a:prstGeom>
                                <a:solidFill>
                                  <a:srgbClr val="B4C98B"/>
                                </a:solidFill>
                                <a:ln w="9525">
                                  <a:solidFill>
                                    <a:srgbClr val="000000"/>
                                  </a:solidFill>
                                  <a:miter lim="800000"/>
                                  <a:headEnd/>
                                  <a:tailEnd/>
                                </a:ln>
                                <a:extLst/>
                              </wps:spPr>
                              <wps:txbx>
                                <w:txbxContent>
                                  <w:p w:rsidR="00124544" w:rsidRPr="001F6519" w:rsidRDefault="00124544" w:rsidP="006157EE">
                                    <w:pPr>
                                      <w:autoSpaceDE w:val="0"/>
                                      <w:autoSpaceDN w:val="0"/>
                                      <w:adjustRightInd w:val="0"/>
                                      <w:rPr>
                                        <w:rFonts w:ascii="Arial" w:hAnsi="Arial" w:cs="Arial"/>
                                        <w:color w:val="000000"/>
                                      </w:rPr>
                                    </w:pPr>
                                    <w:r w:rsidRPr="001F6519">
                                      <w:rPr>
                                        <w:rFonts w:ascii="Arial" w:hAnsi="Arial" w:cs="Arial"/>
                                        <w:color w:val="000000"/>
                                      </w:rPr>
                                      <w:t>Tax concessions</w:t>
                                    </w:r>
                                  </w:p>
                                  <w:p w:rsidR="00124544" w:rsidRPr="00C154C7" w:rsidRDefault="00124544" w:rsidP="006157EE">
                                    <w:pPr>
                                      <w:numPr>
                                        <w:ilvl w:val="0"/>
                                        <w:numId w:val="49"/>
                                      </w:numPr>
                                      <w:autoSpaceDE w:val="0"/>
                                      <w:autoSpaceDN w:val="0"/>
                                      <w:adjustRightInd w:val="0"/>
                                      <w:rPr>
                                        <w:rFonts w:ascii="Arial" w:hAnsi="Arial" w:cs="Arial"/>
                                        <w:color w:val="000000"/>
                                        <w:sz w:val="20"/>
                                        <w:szCs w:val="20"/>
                                      </w:rPr>
                                    </w:pPr>
                                    <w:r w:rsidRPr="00C154C7">
                                      <w:rPr>
                                        <w:rFonts w:ascii="Arial" w:hAnsi="Arial" w:cs="Arial"/>
                                        <w:color w:val="000000"/>
                                        <w:sz w:val="20"/>
                                        <w:szCs w:val="20"/>
                                      </w:rPr>
                                      <w:t xml:space="preserve"> industry or sector specific</w:t>
                                    </w:r>
                                  </w:p>
                                </w:txbxContent>
                              </wps:txbx>
                              <wps:bodyPr rot="0" vert="horz" wrap="square" lIns="91440" tIns="45720" rIns="91440" bIns="45720" upright="1">
                                <a:noAutofit/>
                              </wps:bodyPr>
                            </wps:wsp>
                            <wps:wsp>
                              <wps:cNvPr id="4" name="Line 27"/>
                              <wps:cNvCnPr/>
                              <wps:spPr bwMode="auto">
                                <a:xfrm>
                                  <a:off x="2541605" y="391795"/>
                                  <a:ext cx="635" cy="2343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Line 28"/>
                              <wps:cNvCnPr/>
                              <wps:spPr bwMode="auto">
                                <a:xfrm>
                                  <a:off x="1223980" y="625475"/>
                                  <a:ext cx="25908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Line 29"/>
                              <wps:cNvCnPr/>
                              <wps:spPr bwMode="auto">
                                <a:xfrm>
                                  <a:off x="1223980" y="628015"/>
                                  <a:ext cx="635" cy="2686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 name="Line 30"/>
                              <wps:cNvCnPr/>
                              <wps:spPr bwMode="auto">
                                <a:xfrm>
                                  <a:off x="3814780" y="628015"/>
                                  <a:ext cx="635" cy="2686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 name="Line 31"/>
                              <wps:cNvCnPr/>
                              <wps:spPr bwMode="auto">
                                <a:xfrm>
                                  <a:off x="340060" y="1022350"/>
                                  <a:ext cx="1784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32"/>
                              <wps:cNvCnPr/>
                              <wps:spPr bwMode="auto">
                                <a:xfrm>
                                  <a:off x="2905460" y="1016000"/>
                                  <a:ext cx="1797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 name="Text Box 33"/>
                              <wps:cNvSpPr txBox="1">
                                <a:spLocks noChangeArrowheads="1"/>
                              </wps:cNvSpPr>
                              <wps:spPr bwMode="auto">
                                <a:xfrm>
                                  <a:off x="567390" y="1452880"/>
                                  <a:ext cx="1864995" cy="106172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4544" w:rsidRPr="001F6519" w:rsidRDefault="00124544" w:rsidP="006157EE">
                                    <w:pPr>
                                      <w:autoSpaceDE w:val="0"/>
                                      <w:autoSpaceDN w:val="0"/>
                                      <w:adjustRightInd w:val="0"/>
                                      <w:rPr>
                                        <w:rFonts w:ascii="Arial" w:hAnsi="Arial" w:cs="Arial"/>
                                        <w:color w:val="000000"/>
                                      </w:rPr>
                                    </w:pPr>
                                    <w:r w:rsidRPr="001F6519">
                                      <w:rPr>
                                        <w:rFonts w:ascii="Arial" w:hAnsi="Arial" w:cs="Arial"/>
                                        <w:color w:val="000000"/>
                                      </w:rPr>
                                      <w:t>Direct financial</w:t>
                                    </w:r>
                                  </w:p>
                                  <w:p w:rsidR="00124544" w:rsidRPr="00190AC4" w:rsidRDefault="00124544" w:rsidP="006157EE">
                                    <w:pPr>
                                      <w:numPr>
                                        <w:ilvl w:val="0"/>
                                        <w:numId w:val="50"/>
                                      </w:numPr>
                                      <w:autoSpaceDE w:val="0"/>
                                      <w:autoSpaceDN w:val="0"/>
                                      <w:adjustRightInd w:val="0"/>
                                      <w:rPr>
                                        <w:rFonts w:ascii="Arial" w:hAnsi="Arial" w:cs="Arial"/>
                                        <w:color w:val="000000"/>
                                        <w:sz w:val="20"/>
                                        <w:szCs w:val="20"/>
                                      </w:rPr>
                                    </w:pPr>
                                    <w:r w:rsidRPr="00190AC4">
                                      <w:rPr>
                                        <w:rFonts w:ascii="Arial" w:hAnsi="Arial" w:cs="Arial"/>
                                        <w:color w:val="000000"/>
                                        <w:sz w:val="20"/>
                                        <w:szCs w:val="20"/>
                                      </w:rPr>
                                      <w:t xml:space="preserve"> bounties, grants, subsidies</w:t>
                                    </w:r>
                                  </w:p>
                                  <w:p w:rsidR="00124544" w:rsidRPr="00190AC4" w:rsidRDefault="00124544" w:rsidP="006157EE">
                                    <w:pPr>
                                      <w:numPr>
                                        <w:ilvl w:val="0"/>
                                        <w:numId w:val="50"/>
                                      </w:numPr>
                                      <w:autoSpaceDE w:val="0"/>
                                      <w:autoSpaceDN w:val="0"/>
                                      <w:adjustRightInd w:val="0"/>
                                      <w:rPr>
                                        <w:rFonts w:ascii="Arial" w:hAnsi="Arial" w:cs="Arial"/>
                                        <w:color w:val="000000"/>
                                        <w:sz w:val="20"/>
                                        <w:szCs w:val="20"/>
                                      </w:rPr>
                                    </w:pPr>
                                    <w:r w:rsidRPr="00AD372E">
                                      <w:rPr>
                                        <w:rFonts w:ascii="Arial" w:hAnsi="Arial" w:cs="Arial"/>
                                        <w:color w:val="000000"/>
                                        <w:sz w:val="16"/>
                                        <w:szCs w:val="16"/>
                                      </w:rPr>
                                      <w:t xml:space="preserve"> </w:t>
                                    </w:r>
                                    <w:r w:rsidRPr="00190AC4">
                                      <w:rPr>
                                        <w:rFonts w:ascii="Arial" w:hAnsi="Arial" w:cs="Arial"/>
                                        <w:color w:val="000000"/>
                                        <w:sz w:val="20"/>
                                        <w:szCs w:val="20"/>
                                      </w:rPr>
                                      <w:t>interest rate subsidies</w:t>
                                    </w:r>
                                  </w:p>
                                  <w:p w:rsidR="00124544" w:rsidRPr="00190AC4" w:rsidRDefault="00124544" w:rsidP="006157EE">
                                    <w:pPr>
                                      <w:numPr>
                                        <w:ilvl w:val="0"/>
                                        <w:numId w:val="50"/>
                                      </w:numPr>
                                      <w:autoSpaceDE w:val="0"/>
                                      <w:autoSpaceDN w:val="0"/>
                                      <w:adjustRightInd w:val="0"/>
                                      <w:rPr>
                                        <w:rFonts w:ascii="Arial" w:hAnsi="Arial" w:cs="Arial"/>
                                        <w:color w:val="000000"/>
                                        <w:sz w:val="20"/>
                                        <w:szCs w:val="20"/>
                                      </w:rPr>
                                    </w:pPr>
                                    <w:r w:rsidRPr="00AD372E">
                                      <w:rPr>
                                        <w:rFonts w:ascii="Arial" w:hAnsi="Arial" w:cs="Arial"/>
                                        <w:color w:val="000000"/>
                                        <w:sz w:val="16"/>
                                        <w:szCs w:val="16"/>
                                      </w:rPr>
                                      <w:t xml:space="preserve"> </w:t>
                                    </w:r>
                                    <w:r w:rsidRPr="00190AC4">
                                      <w:rPr>
                                        <w:rFonts w:ascii="Arial" w:hAnsi="Arial" w:cs="Arial"/>
                                        <w:color w:val="000000"/>
                                        <w:sz w:val="20"/>
                                        <w:szCs w:val="20"/>
                                      </w:rPr>
                                      <w:t>credits, loans</w:t>
                                    </w:r>
                                  </w:p>
                                  <w:p w:rsidR="00124544" w:rsidRPr="00190AC4" w:rsidRDefault="00124544" w:rsidP="006157EE">
                                    <w:pPr>
                                      <w:numPr>
                                        <w:ilvl w:val="0"/>
                                        <w:numId w:val="50"/>
                                      </w:numPr>
                                      <w:autoSpaceDE w:val="0"/>
                                      <w:autoSpaceDN w:val="0"/>
                                      <w:adjustRightInd w:val="0"/>
                                      <w:rPr>
                                        <w:rFonts w:ascii="Arial" w:hAnsi="Arial" w:cs="Arial"/>
                                        <w:color w:val="000000"/>
                                        <w:sz w:val="20"/>
                                        <w:szCs w:val="20"/>
                                      </w:rPr>
                                    </w:pPr>
                                    <w:r w:rsidRPr="00AD372E">
                                      <w:rPr>
                                        <w:rFonts w:ascii="Arial" w:hAnsi="Arial" w:cs="Arial"/>
                                        <w:color w:val="000000"/>
                                        <w:sz w:val="16"/>
                                        <w:szCs w:val="16"/>
                                      </w:rPr>
                                      <w:t xml:space="preserve"> </w:t>
                                    </w:r>
                                    <w:r w:rsidRPr="00190AC4">
                                      <w:rPr>
                                        <w:rFonts w:ascii="Arial" w:hAnsi="Arial" w:cs="Arial"/>
                                        <w:color w:val="000000"/>
                                        <w:sz w:val="20"/>
                                        <w:szCs w:val="20"/>
                                      </w:rPr>
                                      <w:t>loan guarantees, insurance</w:t>
                                    </w:r>
                                  </w:p>
                                  <w:p w:rsidR="00124544" w:rsidRPr="00190AC4" w:rsidRDefault="00124544" w:rsidP="006157EE">
                                    <w:pPr>
                                      <w:numPr>
                                        <w:ilvl w:val="0"/>
                                        <w:numId w:val="50"/>
                                      </w:numPr>
                                      <w:autoSpaceDE w:val="0"/>
                                      <w:autoSpaceDN w:val="0"/>
                                      <w:adjustRightInd w:val="0"/>
                                      <w:rPr>
                                        <w:rFonts w:ascii="Arial" w:hAnsi="Arial" w:cs="Arial"/>
                                        <w:color w:val="000000"/>
                                        <w:sz w:val="20"/>
                                        <w:szCs w:val="20"/>
                                      </w:rPr>
                                    </w:pPr>
                                    <w:r w:rsidRPr="00190AC4">
                                      <w:rPr>
                                        <w:rFonts w:ascii="Arial" w:hAnsi="Arial" w:cs="Arial"/>
                                        <w:color w:val="000000"/>
                                        <w:sz w:val="20"/>
                                        <w:szCs w:val="20"/>
                                      </w:rPr>
                                      <w:t xml:space="preserve"> equity injections</w:t>
                                    </w:r>
                                  </w:p>
                                </w:txbxContent>
                              </wps:txbx>
                              <wps:bodyPr rot="0" vert="horz" wrap="square" lIns="91440" tIns="45720" rIns="91440" bIns="45720" upright="1">
                                <a:noAutofit/>
                              </wps:bodyPr>
                            </wps:wsp>
                            <wps:wsp>
                              <wps:cNvPr id="14" name="Text Box 34"/>
                              <wps:cNvSpPr txBox="1">
                                <a:spLocks noChangeArrowheads="1"/>
                              </wps:cNvSpPr>
                              <wps:spPr bwMode="auto">
                                <a:xfrm>
                                  <a:off x="565485" y="2400300"/>
                                  <a:ext cx="2715895" cy="46418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4544" w:rsidRPr="001F6519" w:rsidRDefault="00124544" w:rsidP="006157EE">
                                    <w:pPr>
                                      <w:autoSpaceDE w:val="0"/>
                                      <w:autoSpaceDN w:val="0"/>
                                      <w:adjustRightInd w:val="0"/>
                                      <w:rPr>
                                        <w:rFonts w:ascii="Arial" w:hAnsi="Arial" w:cs="Arial"/>
                                        <w:color w:val="000000"/>
                                      </w:rPr>
                                    </w:pPr>
                                    <w:r w:rsidRPr="001F6519">
                                      <w:rPr>
                                        <w:rFonts w:ascii="Arial" w:hAnsi="Arial" w:cs="Arial"/>
                                        <w:color w:val="000000"/>
                                      </w:rPr>
                                      <w:t xml:space="preserve">Funding to organisations </w:t>
                                    </w:r>
                                    <w:r>
                                      <w:rPr>
                                        <w:rFonts w:ascii="Arial" w:hAnsi="Arial" w:cs="Arial"/>
                                        <w:color w:val="000000"/>
                                      </w:rPr>
                                      <w:t>that</w:t>
                                    </w:r>
                                    <w:r w:rsidRPr="001F6519">
                                      <w:rPr>
                                        <w:rFonts w:ascii="Arial" w:hAnsi="Arial" w:cs="Arial"/>
                                        <w:color w:val="000000"/>
                                      </w:rPr>
                                      <w:t xml:space="preserve"> perform services of benefit to</w:t>
                                    </w:r>
                                    <w:r w:rsidRPr="00C154C7">
                                      <w:rPr>
                                        <w:rFonts w:ascii="Arial" w:hAnsi="Arial" w:cs="Arial"/>
                                        <w:color w:val="000000"/>
                                        <w:sz w:val="24"/>
                                      </w:rPr>
                                      <w:t xml:space="preserve"> </w:t>
                                    </w:r>
                                    <w:r w:rsidRPr="001F6519">
                                      <w:rPr>
                                        <w:rFonts w:ascii="Arial" w:hAnsi="Arial" w:cs="Arial"/>
                                        <w:color w:val="000000"/>
                                      </w:rPr>
                                      <w:t>industry</w:t>
                                    </w:r>
                                  </w:p>
                                </w:txbxContent>
                              </wps:txbx>
                              <wps:bodyPr rot="0" vert="horz" wrap="square" lIns="91440" tIns="45720" rIns="91440" bIns="45720" anchor="t" anchorCtr="0" upright="1">
                                <a:noAutofit/>
                              </wps:bodyPr>
                            </wps:wsp>
                            <wps:wsp>
                              <wps:cNvPr id="15" name="Line 35"/>
                              <wps:cNvCnPr/>
                              <wps:spPr bwMode="auto">
                                <a:xfrm>
                                  <a:off x="336885" y="1022350"/>
                                  <a:ext cx="0" cy="15049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36"/>
                              <wps:cNvCnPr/>
                              <wps:spPr bwMode="auto">
                                <a:xfrm>
                                  <a:off x="336885" y="2527300"/>
                                  <a:ext cx="24765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 name="Line 37"/>
                              <wps:cNvCnPr/>
                              <wps:spPr bwMode="auto">
                                <a:xfrm>
                                  <a:off x="336885" y="1567815"/>
                                  <a:ext cx="24765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 name="Line 38"/>
                              <wps:cNvCnPr/>
                              <wps:spPr bwMode="auto">
                                <a:xfrm>
                                  <a:off x="2902285" y="1016000"/>
                                  <a:ext cx="0" cy="5461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39"/>
                              <wps:cNvCnPr/>
                              <wps:spPr bwMode="auto">
                                <a:xfrm>
                                  <a:off x="2902285" y="1567815"/>
                                  <a:ext cx="24765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 name="Text Box 40"/>
                              <wps:cNvSpPr txBox="1">
                                <a:spLocks noChangeArrowheads="1"/>
                              </wps:cNvSpPr>
                              <wps:spPr bwMode="auto">
                                <a:xfrm>
                                  <a:off x="3194385" y="1449070"/>
                                  <a:ext cx="1640840" cy="109474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4544" w:rsidRPr="001F6519" w:rsidRDefault="00124544" w:rsidP="006157EE">
                                    <w:pPr>
                                      <w:autoSpaceDE w:val="0"/>
                                      <w:autoSpaceDN w:val="0"/>
                                      <w:adjustRightInd w:val="0"/>
                                      <w:rPr>
                                        <w:rFonts w:ascii="Arial" w:hAnsi="Arial" w:cs="Arial"/>
                                        <w:color w:val="000000"/>
                                      </w:rPr>
                                    </w:pPr>
                                    <w:r w:rsidRPr="001F6519">
                                      <w:rPr>
                                        <w:rFonts w:ascii="Arial" w:hAnsi="Arial" w:cs="Arial"/>
                                        <w:color w:val="000000"/>
                                      </w:rPr>
                                      <w:t>Direct financial</w:t>
                                    </w:r>
                                  </w:p>
                                  <w:p w:rsidR="00124544" w:rsidRPr="00190AC4" w:rsidRDefault="00124544" w:rsidP="006157EE">
                                    <w:pPr>
                                      <w:numPr>
                                        <w:ilvl w:val="0"/>
                                        <w:numId w:val="49"/>
                                      </w:numPr>
                                      <w:autoSpaceDE w:val="0"/>
                                      <w:autoSpaceDN w:val="0"/>
                                      <w:adjustRightInd w:val="0"/>
                                      <w:rPr>
                                        <w:rFonts w:ascii="Arial" w:hAnsi="Arial" w:cs="Arial"/>
                                        <w:color w:val="000000"/>
                                        <w:sz w:val="20"/>
                                        <w:szCs w:val="20"/>
                                      </w:rPr>
                                    </w:pPr>
                                    <w:r w:rsidRPr="00AD372E">
                                      <w:rPr>
                                        <w:rFonts w:ascii="Arial" w:hAnsi="Arial" w:cs="Arial"/>
                                        <w:color w:val="000000"/>
                                        <w:sz w:val="16"/>
                                        <w:szCs w:val="16"/>
                                      </w:rPr>
                                      <w:t xml:space="preserve"> </w:t>
                                    </w:r>
                                    <w:r w:rsidRPr="00190AC4">
                                      <w:rPr>
                                        <w:rFonts w:ascii="Arial" w:hAnsi="Arial" w:cs="Arial"/>
                                        <w:color w:val="000000"/>
                                        <w:sz w:val="20"/>
                                        <w:szCs w:val="20"/>
                                      </w:rPr>
                                      <w:t>exemptions</w:t>
                                    </w:r>
                                  </w:p>
                                  <w:p w:rsidR="00124544" w:rsidRPr="00190AC4" w:rsidRDefault="00124544" w:rsidP="006157EE">
                                    <w:pPr>
                                      <w:numPr>
                                        <w:ilvl w:val="0"/>
                                        <w:numId w:val="49"/>
                                      </w:numPr>
                                      <w:autoSpaceDE w:val="0"/>
                                      <w:autoSpaceDN w:val="0"/>
                                      <w:adjustRightInd w:val="0"/>
                                      <w:rPr>
                                        <w:rFonts w:ascii="Arial" w:hAnsi="Arial" w:cs="Arial"/>
                                        <w:color w:val="000000"/>
                                        <w:sz w:val="20"/>
                                        <w:szCs w:val="20"/>
                                      </w:rPr>
                                    </w:pPr>
                                    <w:r w:rsidRPr="00190AC4">
                                      <w:rPr>
                                        <w:rFonts w:ascii="Arial" w:hAnsi="Arial" w:cs="Arial"/>
                                        <w:color w:val="000000"/>
                                        <w:sz w:val="20"/>
                                        <w:szCs w:val="20"/>
                                      </w:rPr>
                                      <w:t xml:space="preserve"> deductions</w:t>
                                    </w:r>
                                  </w:p>
                                  <w:p w:rsidR="00124544" w:rsidRPr="00190AC4" w:rsidRDefault="00124544" w:rsidP="006157EE">
                                    <w:pPr>
                                      <w:numPr>
                                        <w:ilvl w:val="0"/>
                                        <w:numId w:val="49"/>
                                      </w:numPr>
                                      <w:autoSpaceDE w:val="0"/>
                                      <w:autoSpaceDN w:val="0"/>
                                      <w:adjustRightInd w:val="0"/>
                                      <w:rPr>
                                        <w:rFonts w:ascii="Arial" w:hAnsi="Arial" w:cs="Arial"/>
                                        <w:color w:val="000000"/>
                                        <w:sz w:val="20"/>
                                        <w:szCs w:val="20"/>
                                      </w:rPr>
                                    </w:pPr>
                                    <w:r w:rsidRPr="00AD372E">
                                      <w:rPr>
                                        <w:rFonts w:ascii="Arial" w:hAnsi="Arial" w:cs="Arial"/>
                                        <w:color w:val="000000"/>
                                        <w:sz w:val="16"/>
                                        <w:szCs w:val="16"/>
                                      </w:rPr>
                                      <w:t xml:space="preserve"> </w:t>
                                    </w:r>
                                    <w:r w:rsidRPr="00190AC4">
                                      <w:rPr>
                                        <w:rFonts w:ascii="Arial" w:hAnsi="Arial" w:cs="Arial"/>
                                        <w:color w:val="000000"/>
                                        <w:sz w:val="20"/>
                                        <w:szCs w:val="20"/>
                                      </w:rPr>
                                      <w:t>rebates</w:t>
                                    </w:r>
                                  </w:p>
                                  <w:p w:rsidR="00124544" w:rsidRPr="00190AC4" w:rsidRDefault="00124544" w:rsidP="006157EE">
                                    <w:pPr>
                                      <w:numPr>
                                        <w:ilvl w:val="0"/>
                                        <w:numId w:val="49"/>
                                      </w:numPr>
                                      <w:autoSpaceDE w:val="0"/>
                                      <w:autoSpaceDN w:val="0"/>
                                      <w:adjustRightInd w:val="0"/>
                                      <w:rPr>
                                        <w:rFonts w:ascii="Arial" w:hAnsi="Arial" w:cs="Arial"/>
                                        <w:color w:val="000000"/>
                                        <w:sz w:val="20"/>
                                        <w:szCs w:val="20"/>
                                      </w:rPr>
                                    </w:pPr>
                                    <w:r w:rsidRPr="00190AC4">
                                      <w:rPr>
                                        <w:rFonts w:ascii="Arial" w:hAnsi="Arial" w:cs="Arial"/>
                                        <w:color w:val="000000"/>
                                        <w:sz w:val="20"/>
                                        <w:szCs w:val="20"/>
                                      </w:rPr>
                                      <w:t xml:space="preserve"> preferential tax rates</w:t>
                                    </w:r>
                                  </w:p>
                                  <w:p w:rsidR="00124544" w:rsidRPr="00190AC4" w:rsidRDefault="00124544" w:rsidP="006157EE">
                                    <w:pPr>
                                      <w:numPr>
                                        <w:ilvl w:val="0"/>
                                        <w:numId w:val="49"/>
                                      </w:numPr>
                                      <w:autoSpaceDE w:val="0"/>
                                      <w:autoSpaceDN w:val="0"/>
                                      <w:adjustRightInd w:val="0"/>
                                      <w:rPr>
                                        <w:rFonts w:ascii="Arial" w:hAnsi="Arial" w:cs="Arial"/>
                                        <w:color w:val="000000"/>
                                        <w:sz w:val="20"/>
                                        <w:szCs w:val="20"/>
                                      </w:rPr>
                                    </w:pPr>
                                    <w:r w:rsidRPr="00AD372E">
                                      <w:rPr>
                                        <w:rFonts w:ascii="Arial" w:hAnsi="Arial" w:cs="Arial"/>
                                        <w:color w:val="000000"/>
                                        <w:sz w:val="16"/>
                                        <w:szCs w:val="16"/>
                                      </w:rPr>
                                      <w:t xml:space="preserve"> </w:t>
                                    </w:r>
                                    <w:r w:rsidRPr="00190AC4">
                                      <w:rPr>
                                        <w:rFonts w:ascii="Arial" w:hAnsi="Arial" w:cs="Arial"/>
                                        <w:color w:val="000000"/>
                                        <w:sz w:val="20"/>
                                        <w:szCs w:val="20"/>
                                      </w:rPr>
                                      <w:t>deferr</w:t>
                                    </w:r>
                                    <w:r>
                                      <w:rPr>
                                        <w:rFonts w:ascii="Arial" w:hAnsi="Arial" w:cs="Arial"/>
                                        <w:color w:val="000000"/>
                                        <w:sz w:val="20"/>
                                        <w:szCs w:val="20"/>
                                      </w:rPr>
                                      <w:t>ed tax</w:t>
                                    </w:r>
                                  </w:p>
                                </w:txbxContent>
                              </wps:txbx>
                              <wps:bodyPr rot="0" vert="horz" wrap="square" lIns="91440" tIns="45720" rIns="91440" bIns="45720" upright="1">
                                <a:noAutofit/>
                              </wps:bodyPr>
                            </wps:wsp>
                          </wpc:wpc>
                        </a:graphicData>
                      </a:graphic>
                      <wp14:sizeRelH relativeFrom="page">
                        <wp14:pctWidth>0</wp14:pctWidth>
                      </wp14:sizeRelH>
                      <wp14:sizeRelV relativeFrom="page">
                        <wp14:pctHeight>0</wp14:pctHeight>
                      </wp14:sizeRelV>
                    </wp:anchor>
                  </w:drawing>
                </mc:Choice>
                <mc:Fallback>
                  <w:pict>
                    <v:group id="Canvas 21" o:spid="_x0000_s1026" editas="canvas" alt="Figure 4.1. Forms of budgetary assistance. This picture lists the different types of budgetary assistance divided into outlays and tax concessions. " style="position:absolute;margin-left:-422.9pt;margin-top:-204.7pt;width:403.2pt;height:226.6pt;z-index:251665408;mso-position-horizontal-relative:char;mso-position-vertical-relative:line" coordsize="51206,287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Figure 4.1. Forms of budgetary assistance. This picture lists the different types of budgetary assistance divided into outlays and tax concessions. " style="position:absolute;width:51206;height:28778;visibility:visible;mso-wrap-style:square">
                        <v:fill o:detectmouseclick="t"/>
                        <v:path o:connecttype="none"/>
                      </v:shape>
                      <v:shapetype id="_x0000_t202" coordsize="21600,21600" o:spt="202" path="m,l,21600r21600,l21600,xe">
                        <v:stroke joinstyle="miter"/>
                        <v:path gradientshapeok="t" o:connecttype="rect"/>
                      </v:shapetype>
                      <v:shape id="Text Box 24" o:spid="_x0000_s1028" type="#_x0000_t202" style="position:absolute;left:15338;top:800;width:20263;height:30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tGdsEA&#10;AADaAAAADwAAAGRycy9kb3ducmV2LnhtbERPS4vCMBC+L/gfwgh709Q9SK1GEUXQPbk+Dt7GZvrA&#10;ZtJtoq3/3ggLexo+vufMFp2pxIMaV1pWMBpGIIhTq0vOFZyOm0EMwnlkjZVlUvAkB4t572OGibYt&#10;/9Dj4HMRQtglqKDwvk6kdGlBBt3Q1sSBy2xj0AfY5FI32IZwU8mvKBpLgyWHhgJrWhWU3g53oyCL&#10;v0ft+nLfZzt+bs7LeJxOrr9Kffa75RSEp87/i//cWx3mw/uV95X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FrRnbBAAAA2gAAAA8AAAAAAAAAAAAAAAAAmAIAAGRycy9kb3du&#10;cmV2LnhtbFBLBQYAAAAABAAEAPUAAACGAwAAAAA=&#10;" fillcolor="#78a22f">
                        <v:textbox>
                          <w:txbxContent>
                            <w:p w:rsidR="00124544" w:rsidRPr="00C2284D" w:rsidRDefault="00124544" w:rsidP="006157EE">
                              <w:pPr>
                                <w:autoSpaceDE w:val="0"/>
                                <w:autoSpaceDN w:val="0"/>
                                <w:adjustRightInd w:val="0"/>
                                <w:spacing w:after="60"/>
                                <w:jc w:val="center"/>
                                <w:rPr>
                                  <w:rFonts w:ascii="Arial" w:hAnsi="Arial" w:cs="Arial"/>
                                  <w:b/>
                                  <w:bCs/>
                                  <w:color w:val="000000"/>
                                  <w:sz w:val="24"/>
                                </w:rPr>
                              </w:pPr>
                              <w:r w:rsidRPr="00C2284D">
                                <w:rPr>
                                  <w:rFonts w:ascii="Arial" w:hAnsi="Arial" w:cs="Arial"/>
                                  <w:b/>
                                  <w:bCs/>
                                  <w:color w:val="000000"/>
                                  <w:sz w:val="24"/>
                                </w:rPr>
                                <w:t>Budgetary assistance</w:t>
                              </w:r>
                            </w:p>
                          </w:txbxContent>
                        </v:textbox>
                      </v:shape>
                      <v:shape id="Text Box 25" o:spid="_x0000_s1029" type="#_x0000_t202" style="position:absolute;left:5318;top:9004;width:17989;height:50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9F7zMMA&#10;AADaAAAADwAAAGRycy9kb3ducmV2LnhtbESPQWsCMRSE74L/ITyhN80qtMi6UUQUaw8FbS/eHpu3&#10;m8XkZdmk7tpf3xQKPQ4z8w1TbAZnxZ260HhWMJ9lIIhLrxuuFXx+HKZLECEia7SeScGDAmzW41GB&#10;ufY9n+l+ibVIEA45KjAxtrmUoTTkMMx8S5y8yncOY5JdLXWHfYI7KxdZ9iIdNpwWDLa0M1TeLl9O&#10;wfP72+54tFVP7rT/tq65toO5KvU0GbYrEJGG+B/+a79qBQv4vZJugF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9F7zMMAAADaAAAADwAAAAAAAAAAAAAAAACYAgAAZHJzL2Rv&#10;d25yZXYueG1sUEsFBgAAAAAEAAQA9QAAAIgDAAAAAA==&#10;" fillcolor="#b4c98b">
                        <v:textbox>
                          <w:txbxContent>
                            <w:p w:rsidR="00124544" w:rsidRPr="001F6519" w:rsidRDefault="00124544" w:rsidP="006157EE">
                              <w:pPr>
                                <w:autoSpaceDE w:val="0"/>
                                <w:autoSpaceDN w:val="0"/>
                                <w:adjustRightInd w:val="0"/>
                                <w:rPr>
                                  <w:rFonts w:ascii="Arial" w:hAnsi="Arial" w:cs="Arial"/>
                                  <w:color w:val="000000"/>
                                </w:rPr>
                              </w:pPr>
                              <w:r w:rsidRPr="001F6519">
                                <w:rPr>
                                  <w:rFonts w:ascii="Arial" w:hAnsi="Arial" w:cs="Arial"/>
                                  <w:color w:val="000000"/>
                                </w:rPr>
                                <w:t>Budgetary outlays</w:t>
                              </w:r>
                            </w:p>
                            <w:p w:rsidR="00124544" w:rsidRPr="00C2284D" w:rsidRDefault="00124544" w:rsidP="006157EE">
                              <w:pPr>
                                <w:numPr>
                                  <w:ilvl w:val="0"/>
                                  <w:numId w:val="49"/>
                                </w:numPr>
                                <w:autoSpaceDE w:val="0"/>
                                <w:autoSpaceDN w:val="0"/>
                                <w:adjustRightInd w:val="0"/>
                                <w:rPr>
                                  <w:rFonts w:ascii="Arial" w:hAnsi="Arial" w:cs="Arial"/>
                                  <w:color w:val="000000"/>
                                  <w:sz w:val="20"/>
                                  <w:szCs w:val="20"/>
                                </w:rPr>
                              </w:pPr>
                              <w:r w:rsidRPr="00C2284D">
                                <w:rPr>
                                  <w:rFonts w:ascii="Arial" w:hAnsi="Arial" w:cs="Arial"/>
                                  <w:color w:val="000000"/>
                                  <w:sz w:val="20"/>
                                  <w:szCs w:val="20"/>
                                </w:rPr>
                                <w:t xml:space="preserve"> industry or sector specific</w:t>
                              </w:r>
                            </w:p>
                          </w:txbxContent>
                        </v:textbox>
                      </v:shape>
                      <v:shape id="Text Box 26" o:spid="_x0000_s1030" type="#_x0000_t202" style="position:absolute;left:30940;top:9004;width:17094;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3eV8QA&#10;AADaAAAADwAAAGRycy9kb3ducmV2LnhtbESPQWsCMRSE70L/Q3gFb5ptRZHVrBRpsfVQ0Pbi7bF5&#10;u1lMXpZN6m77641Q8DjMzDfMejM4Ky7UhcazgqdpBoK49LrhWsH319tkCSJEZI3WMyn4pQCb4mG0&#10;xlz7ng90OcZaJAiHHBWYGNtcylAachimviVOXuU7hzHJrpa6wz7BnZXPWbaQDhtOCwZb2hoqz8cf&#10;p2D+ud/udrbqyX28/lnXnNrBnJQaPw4vKxCRhngP/7fftYIZ3K6kGyCL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id3lfEAAAA2gAAAA8AAAAAAAAAAAAAAAAAmAIAAGRycy9k&#10;b3ducmV2LnhtbFBLBQYAAAAABAAEAPUAAACJAwAAAAA=&#10;" fillcolor="#b4c98b">
                        <v:textbox>
                          <w:txbxContent>
                            <w:p w:rsidR="00124544" w:rsidRPr="001F6519" w:rsidRDefault="00124544" w:rsidP="006157EE">
                              <w:pPr>
                                <w:autoSpaceDE w:val="0"/>
                                <w:autoSpaceDN w:val="0"/>
                                <w:adjustRightInd w:val="0"/>
                                <w:rPr>
                                  <w:rFonts w:ascii="Arial" w:hAnsi="Arial" w:cs="Arial"/>
                                  <w:color w:val="000000"/>
                                </w:rPr>
                              </w:pPr>
                              <w:r w:rsidRPr="001F6519">
                                <w:rPr>
                                  <w:rFonts w:ascii="Arial" w:hAnsi="Arial" w:cs="Arial"/>
                                  <w:color w:val="000000"/>
                                </w:rPr>
                                <w:t>Tax concessions</w:t>
                              </w:r>
                            </w:p>
                            <w:p w:rsidR="00124544" w:rsidRPr="00C154C7" w:rsidRDefault="00124544" w:rsidP="006157EE">
                              <w:pPr>
                                <w:numPr>
                                  <w:ilvl w:val="0"/>
                                  <w:numId w:val="49"/>
                                </w:numPr>
                                <w:autoSpaceDE w:val="0"/>
                                <w:autoSpaceDN w:val="0"/>
                                <w:adjustRightInd w:val="0"/>
                                <w:rPr>
                                  <w:rFonts w:ascii="Arial" w:hAnsi="Arial" w:cs="Arial"/>
                                  <w:color w:val="000000"/>
                                  <w:sz w:val="20"/>
                                  <w:szCs w:val="20"/>
                                </w:rPr>
                              </w:pPr>
                              <w:r w:rsidRPr="00C154C7">
                                <w:rPr>
                                  <w:rFonts w:ascii="Arial" w:hAnsi="Arial" w:cs="Arial"/>
                                  <w:color w:val="000000"/>
                                  <w:sz w:val="20"/>
                                  <w:szCs w:val="20"/>
                                </w:rPr>
                                <w:t xml:space="preserve"> industry or sector specific</w:t>
                              </w:r>
                            </w:p>
                          </w:txbxContent>
                        </v:textbox>
                      </v:shape>
                      <v:line id="Line 27" o:spid="_x0000_s1031" style="position:absolute;visibility:visible;mso-wrap-style:square" from="25416,3917" to="25422,62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i0qMUAAADaAAAADwAAAGRycy9kb3ducmV2LnhtbESPT2vCQBTE74V+h+UJvdWNbQk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li0qMUAAADaAAAADwAAAAAAAAAA&#10;AAAAAAChAgAAZHJzL2Rvd25yZXYueG1sUEsFBgAAAAAEAAQA+QAAAJMDAAAAAA==&#10;"/>
                      <v:line id="Line 28" o:spid="_x0000_s1032" style="position:absolute;visibility:visible;mso-wrap-style:square" from="12239,6254" to="38147,62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oq38UAAADaAAAADwAAAGRycy9kb3ducmV2LnhtbESPT2vCQBTE74V+h+UJvdWNLaQSXUVa&#10;Cuqh1D+gx2f2mcRm34bdNUm/vSsUehxm5jfMdN6bWrTkfGVZwWiYgCDOra64ULDffT6PQfiArLG2&#10;TAp+ycN89vgwxUzbjjfUbkMhIoR9hgrKEJpMSp+XZNAPbUMcvbN1BkOUrpDaYRfhppYvSZJKgxXH&#10;hRIbei8p/9lejYKv1++0XazWy/6wSk/5x+Z0vHROqadBv5iACNSH//Bfe6kVvMH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ooq38UAAADaAAAADwAAAAAAAAAA&#10;AAAAAAChAgAAZHJzL2Rvd25yZXYueG1sUEsFBgAAAAAEAAQA+QAAAJMDAAAAAA==&#10;"/>
                      <v:line id="Line 29" o:spid="_x0000_s1033" style="position:absolute;visibility:visible;mso-wrap-style:square" from="12239,6280" to="12246,89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Oc9PsMAAADaAAAADwAAAGRycy9kb3ducmV2LnhtbESPT2sCMRTE7wW/Q3hCbzWrB+1ujVJc&#10;BA+14B88Pzevm6Wbl2UT1/TbN0Khx2FmfsMs19G2YqDeN44VTCcZCOLK6YZrBefT9uUVhA/IGlvH&#10;pOCHPKxXo6clFtrd+UDDMdQiQdgXqMCE0BVS+sqQRT9xHXHyvlxvMSTZ11L3eE9w28pZls2lxYbT&#10;gsGONoaq7+PNKliY8iAXsvw4fZZDM83jPl6uuVLP4/j+BiJQDP/hv/ZOK8jhcSXdALn6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znPT7DAAAA2gAAAA8AAAAAAAAAAAAA&#10;AAAAoQIAAGRycy9kb3ducmV2LnhtbFBLBQYAAAAABAAEAPkAAACRAwAAAAA=&#10;">
                        <v:stroke endarrow="block"/>
                      </v:line>
                      <v:line id="Line 30" o:spid="_x0000_s1034" style="position:absolute;visibility:visible;mso-wrap-style:square" from="38147,6280" to="38154,89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rkIPMUAAADbAAAADwAAAGRycy9kb3ducmV2LnhtbESPT0/DMAzF70h8h8hIu7F0O+xPWTYh&#10;qkkcBtI2xNk0pqlonKoJXfbt8QFpN1vv+b2fN7vsOzXSENvABmbTAhRxHWzLjYGP8/5xBSomZItd&#10;YDJwpQi77f3dBksbLnyk8ZQaJSEcSzTgUupLrWPtyGOchp5YtO8weEyyDo22A14k3Hd6XhQL7bFl&#10;aXDY04uj+uf06w0sXXXUS10dzu/V2M7W+S1/fq2NmTzk5ydQiXK6mf+vX63gC738IgPo7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rkIPMUAAADbAAAADwAAAAAAAAAA&#10;AAAAAAChAgAAZHJzL2Rvd25yZXYueG1sUEsFBgAAAAAEAAQA+QAAAJMDAAAAAA==&#10;">
                        <v:stroke endarrow="block"/>
                      </v:line>
                      <v:line id="Line 31" o:spid="_x0000_s1035" style="position:absolute;visibility:visible;mso-wrap-style:square" from="3400,10223" to="5184,102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32" o:spid="_x0000_s1036" style="position:absolute;visibility:visible;mso-wrap-style:square" from="29054,10160" to="30851,101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shape id="Text Box 33" o:spid="_x0000_s1037" type="#_x0000_t202" style="position:absolute;left:5673;top:14528;width:18650;height:106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exnMQA&#10;AADbAAAADwAAAGRycy9kb3ducmV2LnhtbERPTWvCQBC9F/wPywje6kYtRaJrUFGUHoq1SnucZqdJ&#10;SHY2ZFdN8+vdQqG3ebzPmSetqcSVGldYVjAaRiCIU6sLzhSc3rePUxDOI2usLJOCH3KQLHoPc4y1&#10;vfEbXY8+EyGEXYwKcu/rWEqX5mTQDW1NHLhv2xj0ATaZ1A3eQrip5DiKnqXBgkNDjjWtc0rL48Uo&#10;2B82K3rZdV339Ppxnn59nnZ+XSo16LfLGQhPrf8X/7n3OsyfwO8v4QC5u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h3sZzEAAAA2wAAAA8AAAAAAAAAAAAAAAAAmAIAAGRycy9k&#10;b3ducmV2LnhtbFBLBQYAAAAABAAEAPUAAACJAwAAAAA=&#10;" filled="f" fillcolor="#bbe0e3" stroked="f">
                        <v:textbox>
                          <w:txbxContent>
                            <w:p w:rsidR="00124544" w:rsidRPr="001F6519" w:rsidRDefault="00124544" w:rsidP="006157EE">
                              <w:pPr>
                                <w:autoSpaceDE w:val="0"/>
                                <w:autoSpaceDN w:val="0"/>
                                <w:adjustRightInd w:val="0"/>
                                <w:rPr>
                                  <w:rFonts w:ascii="Arial" w:hAnsi="Arial" w:cs="Arial"/>
                                  <w:color w:val="000000"/>
                                </w:rPr>
                              </w:pPr>
                              <w:r w:rsidRPr="001F6519">
                                <w:rPr>
                                  <w:rFonts w:ascii="Arial" w:hAnsi="Arial" w:cs="Arial"/>
                                  <w:color w:val="000000"/>
                                </w:rPr>
                                <w:t>Direct financial</w:t>
                              </w:r>
                            </w:p>
                            <w:p w:rsidR="00124544" w:rsidRPr="00190AC4" w:rsidRDefault="00124544" w:rsidP="006157EE">
                              <w:pPr>
                                <w:numPr>
                                  <w:ilvl w:val="0"/>
                                  <w:numId w:val="50"/>
                                </w:numPr>
                                <w:autoSpaceDE w:val="0"/>
                                <w:autoSpaceDN w:val="0"/>
                                <w:adjustRightInd w:val="0"/>
                                <w:rPr>
                                  <w:rFonts w:ascii="Arial" w:hAnsi="Arial" w:cs="Arial"/>
                                  <w:color w:val="000000"/>
                                  <w:sz w:val="20"/>
                                  <w:szCs w:val="20"/>
                                </w:rPr>
                              </w:pPr>
                              <w:r w:rsidRPr="00190AC4">
                                <w:rPr>
                                  <w:rFonts w:ascii="Arial" w:hAnsi="Arial" w:cs="Arial"/>
                                  <w:color w:val="000000"/>
                                  <w:sz w:val="20"/>
                                  <w:szCs w:val="20"/>
                                </w:rPr>
                                <w:t xml:space="preserve"> bounties, grants, subsidies</w:t>
                              </w:r>
                            </w:p>
                            <w:p w:rsidR="00124544" w:rsidRPr="00190AC4" w:rsidRDefault="00124544" w:rsidP="006157EE">
                              <w:pPr>
                                <w:numPr>
                                  <w:ilvl w:val="0"/>
                                  <w:numId w:val="50"/>
                                </w:numPr>
                                <w:autoSpaceDE w:val="0"/>
                                <w:autoSpaceDN w:val="0"/>
                                <w:adjustRightInd w:val="0"/>
                                <w:rPr>
                                  <w:rFonts w:ascii="Arial" w:hAnsi="Arial" w:cs="Arial"/>
                                  <w:color w:val="000000"/>
                                  <w:sz w:val="20"/>
                                  <w:szCs w:val="20"/>
                                </w:rPr>
                              </w:pPr>
                              <w:r w:rsidRPr="00AD372E">
                                <w:rPr>
                                  <w:rFonts w:ascii="Arial" w:hAnsi="Arial" w:cs="Arial"/>
                                  <w:color w:val="000000"/>
                                  <w:sz w:val="16"/>
                                  <w:szCs w:val="16"/>
                                </w:rPr>
                                <w:t xml:space="preserve"> </w:t>
                              </w:r>
                              <w:r w:rsidRPr="00190AC4">
                                <w:rPr>
                                  <w:rFonts w:ascii="Arial" w:hAnsi="Arial" w:cs="Arial"/>
                                  <w:color w:val="000000"/>
                                  <w:sz w:val="20"/>
                                  <w:szCs w:val="20"/>
                                </w:rPr>
                                <w:t>interest rate subsidies</w:t>
                              </w:r>
                            </w:p>
                            <w:p w:rsidR="00124544" w:rsidRPr="00190AC4" w:rsidRDefault="00124544" w:rsidP="006157EE">
                              <w:pPr>
                                <w:numPr>
                                  <w:ilvl w:val="0"/>
                                  <w:numId w:val="50"/>
                                </w:numPr>
                                <w:autoSpaceDE w:val="0"/>
                                <w:autoSpaceDN w:val="0"/>
                                <w:adjustRightInd w:val="0"/>
                                <w:rPr>
                                  <w:rFonts w:ascii="Arial" w:hAnsi="Arial" w:cs="Arial"/>
                                  <w:color w:val="000000"/>
                                  <w:sz w:val="20"/>
                                  <w:szCs w:val="20"/>
                                </w:rPr>
                              </w:pPr>
                              <w:r w:rsidRPr="00AD372E">
                                <w:rPr>
                                  <w:rFonts w:ascii="Arial" w:hAnsi="Arial" w:cs="Arial"/>
                                  <w:color w:val="000000"/>
                                  <w:sz w:val="16"/>
                                  <w:szCs w:val="16"/>
                                </w:rPr>
                                <w:t xml:space="preserve"> </w:t>
                              </w:r>
                              <w:r w:rsidRPr="00190AC4">
                                <w:rPr>
                                  <w:rFonts w:ascii="Arial" w:hAnsi="Arial" w:cs="Arial"/>
                                  <w:color w:val="000000"/>
                                  <w:sz w:val="20"/>
                                  <w:szCs w:val="20"/>
                                </w:rPr>
                                <w:t>credits, loans</w:t>
                              </w:r>
                            </w:p>
                            <w:p w:rsidR="00124544" w:rsidRPr="00190AC4" w:rsidRDefault="00124544" w:rsidP="006157EE">
                              <w:pPr>
                                <w:numPr>
                                  <w:ilvl w:val="0"/>
                                  <w:numId w:val="50"/>
                                </w:numPr>
                                <w:autoSpaceDE w:val="0"/>
                                <w:autoSpaceDN w:val="0"/>
                                <w:adjustRightInd w:val="0"/>
                                <w:rPr>
                                  <w:rFonts w:ascii="Arial" w:hAnsi="Arial" w:cs="Arial"/>
                                  <w:color w:val="000000"/>
                                  <w:sz w:val="20"/>
                                  <w:szCs w:val="20"/>
                                </w:rPr>
                              </w:pPr>
                              <w:r w:rsidRPr="00AD372E">
                                <w:rPr>
                                  <w:rFonts w:ascii="Arial" w:hAnsi="Arial" w:cs="Arial"/>
                                  <w:color w:val="000000"/>
                                  <w:sz w:val="16"/>
                                  <w:szCs w:val="16"/>
                                </w:rPr>
                                <w:t xml:space="preserve"> </w:t>
                              </w:r>
                              <w:r w:rsidRPr="00190AC4">
                                <w:rPr>
                                  <w:rFonts w:ascii="Arial" w:hAnsi="Arial" w:cs="Arial"/>
                                  <w:color w:val="000000"/>
                                  <w:sz w:val="20"/>
                                  <w:szCs w:val="20"/>
                                </w:rPr>
                                <w:t>loan guarantees, insurance</w:t>
                              </w:r>
                            </w:p>
                            <w:p w:rsidR="00124544" w:rsidRPr="00190AC4" w:rsidRDefault="00124544" w:rsidP="006157EE">
                              <w:pPr>
                                <w:numPr>
                                  <w:ilvl w:val="0"/>
                                  <w:numId w:val="50"/>
                                </w:numPr>
                                <w:autoSpaceDE w:val="0"/>
                                <w:autoSpaceDN w:val="0"/>
                                <w:adjustRightInd w:val="0"/>
                                <w:rPr>
                                  <w:rFonts w:ascii="Arial" w:hAnsi="Arial" w:cs="Arial"/>
                                  <w:color w:val="000000"/>
                                  <w:sz w:val="20"/>
                                  <w:szCs w:val="20"/>
                                </w:rPr>
                              </w:pPr>
                              <w:r w:rsidRPr="00190AC4">
                                <w:rPr>
                                  <w:rFonts w:ascii="Arial" w:hAnsi="Arial" w:cs="Arial"/>
                                  <w:color w:val="000000"/>
                                  <w:sz w:val="20"/>
                                  <w:szCs w:val="20"/>
                                </w:rPr>
                                <w:t xml:space="preserve"> equity injections</w:t>
                              </w:r>
                            </w:p>
                          </w:txbxContent>
                        </v:textbox>
                      </v:shape>
                      <v:shape id="Text Box 34" o:spid="_x0000_s1038" type="#_x0000_t202" style="position:absolute;left:5654;top:24003;width:27159;height:46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54p6MMA&#10;AADbAAAADwAAAGRycy9kb3ducmV2LnhtbERPTWvCQBC9C/6HZYTezEaRIqmrqFiUHqRaxR6n2TEJ&#10;ZmdDdqtpfn1XELzN433OZNaYUlypdoVlBYMoBkGcWl1wpuDw9d4fg3AeWWNpmRT8kYPZtNuZYKLt&#10;jXd03ftMhBB2CSrIva8SKV2ak0EX2Yo4cGdbG/QB1pnUNd5CuCnlMI5fpcGCQ0OOFS1zSi/7X6Ng&#10;87la0Me6bdvR9nQc/3wf1n55Ueql18zfQHhq/FP8cG90mD+C+y/hADn9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54p6MMAAADbAAAADwAAAAAAAAAAAAAAAACYAgAAZHJzL2Rv&#10;d25yZXYueG1sUEsFBgAAAAAEAAQA9QAAAIgDAAAAAA==&#10;" filled="f" fillcolor="#bbe0e3" stroked="f">
                        <v:textbox>
                          <w:txbxContent>
                            <w:p w:rsidR="00124544" w:rsidRPr="001F6519" w:rsidRDefault="00124544" w:rsidP="006157EE">
                              <w:pPr>
                                <w:autoSpaceDE w:val="0"/>
                                <w:autoSpaceDN w:val="0"/>
                                <w:adjustRightInd w:val="0"/>
                                <w:rPr>
                                  <w:rFonts w:ascii="Arial" w:hAnsi="Arial" w:cs="Arial"/>
                                  <w:color w:val="000000"/>
                                </w:rPr>
                              </w:pPr>
                              <w:r w:rsidRPr="001F6519">
                                <w:rPr>
                                  <w:rFonts w:ascii="Arial" w:hAnsi="Arial" w:cs="Arial"/>
                                  <w:color w:val="000000"/>
                                </w:rPr>
                                <w:t xml:space="preserve">Funding to organisations </w:t>
                              </w:r>
                              <w:r>
                                <w:rPr>
                                  <w:rFonts w:ascii="Arial" w:hAnsi="Arial" w:cs="Arial"/>
                                  <w:color w:val="000000"/>
                                </w:rPr>
                                <w:t>that</w:t>
                              </w:r>
                              <w:r w:rsidRPr="001F6519">
                                <w:rPr>
                                  <w:rFonts w:ascii="Arial" w:hAnsi="Arial" w:cs="Arial"/>
                                  <w:color w:val="000000"/>
                                </w:rPr>
                                <w:t xml:space="preserve"> perform services of benefit to</w:t>
                              </w:r>
                              <w:r w:rsidRPr="00C154C7">
                                <w:rPr>
                                  <w:rFonts w:ascii="Arial" w:hAnsi="Arial" w:cs="Arial"/>
                                  <w:color w:val="000000"/>
                                  <w:sz w:val="24"/>
                                </w:rPr>
                                <w:t xml:space="preserve"> </w:t>
                              </w:r>
                              <w:r w:rsidRPr="001F6519">
                                <w:rPr>
                                  <w:rFonts w:ascii="Arial" w:hAnsi="Arial" w:cs="Arial"/>
                                  <w:color w:val="000000"/>
                                </w:rPr>
                                <w:t>industry</w:t>
                              </w:r>
                            </w:p>
                          </w:txbxContent>
                        </v:textbox>
                      </v:shape>
                      <v:line id="Line 35" o:spid="_x0000_s1039" style="position:absolute;visibility:visible;mso-wrap-style:square" from="3368,10223" to="3368,252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aoEMQAAADbAAAADwAAAGRycy9kb3ducmV2LnhtbERPS2vCQBC+F/oflhF6qxtbG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VqgQxAAAANsAAAAPAAAAAAAAAAAA&#10;AAAAAKECAABkcnMvZG93bnJldi54bWxQSwUGAAAAAAQABAD5AAAAkgMAAAAA&#10;"/>
                      <v:line id="Line 36" o:spid="_x0000_s1040" style="position:absolute;visibility:visible;mso-wrap-style:square" from="3368,25273" to="5845,252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hw108EAAADbAAAADwAAAGRycy9kb3ducmV2LnhtbERPTWsCMRC9F/wPYYTealYPWlejiIvg&#10;oRbU0vO4GTeLm8myiWv67xuh0Ns83ucs19E2oqfO144VjEcZCOLS6ZorBV/n3ds7CB+QNTaOScEP&#10;eVivBi9LzLV78JH6U6hECmGfowITQptL6UtDFv3ItcSJu7rOYkiwq6Tu8JHCbSMnWTaVFmtODQZb&#10;2hoqb6e7VTAzxVHOZPFx/iz6ejyPh/h9mSv1OoybBYhAMfyL/9x7neZP4flLOkCuf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SHDXTwQAAANsAAAAPAAAAAAAAAAAAAAAA&#10;AKECAABkcnMvZG93bnJldi54bWxQSwUGAAAAAAQABAD5AAAAjwMAAAAA&#10;">
                        <v:stroke endarrow="block"/>
                      </v:line>
                      <v:line id="Line 37" o:spid="_x0000_s1041" style="position:absolute;visibility:visible;mso-wrap-style:square" from="3368,15678" to="5845,156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VCQSMIAAADbAAAADwAAAGRycy9kb3ducmV2LnhtbERPS2sCMRC+F/wPYYTealYPbt0apbgI&#10;HmrBB57HzXSzdDNZNnFN/30jFHqbj+85y3W0rRio941jBdNJBoK4crrhWsH5tH15BeEDssbWMSn4&#10;IQ/r1ehpiYV2dz7QcAy1SCHsC1RgQugKKX1lyKKfuI44cV+utxgS7Gupe7yncNvKWZbNpcWGU4PB&#10;jjaGqu/jzSrITXmQuSw/Tp/l0EwXcR8v14VSz+P4/gYiUAz/4j/3Tqf5OTx+SQfI1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VCQSMIAAADbAAAADwAAAAAAAAAAAAAA&#10;AAChAgAAZHJzL2Rvd25yZXYueG1sUEsFBgAAAAAEAAQA+QAAAJADAAAAAA==&#10;">
                        <v:stroke endarrow="block"/>
                      </v:line>
                      <v:line id="Line 38" o:spid="_x0000_s1042" style="position:absolute;visibility:visible;mso-wrap-style:square" from="29022,10160" to="29022,156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cHjsYAAADbAAAADwAAAGRycy9kb3ducmV2LnhtbESPQUvDQBCF74L/YRmhN7vRQiix21IU&#10;oe2h2CrocZodk2h2Nuxuk/TfO4eCtxnem/e+WaxG16qeQmw8G3iYZqCIS28brgx8vL/ez0HFhGyx&#10;9UwGLhRhtby9WWBh/cAH6o+pUhLCsUADdUpdoXUsa3IYp74jFu3bB4dJ1lBpG3CQcNfqxyzLtcOG&#10;paHGjp5rKn+PZ2dgP3vL+/V2txk/t/mpfDmcvn6GYMzkblw/gUo0pn/z9XpjBV9g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VXB47GAAAA2wAAAA8AAAAAAAAA&#10;AAAAAAAAoQIAAGRycy9kb3ducmV2LnhtbFBLBQYAAAAABAAEAPkAAACUAwAAAAA=&#10;"/>
                      <v:line id="Line 39" o:spid="_x0000_s1043" style="position:absolute;visibility:visible;mso-wrap-style:square" from="29022,15678" to="31499,156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4OhocIAAADbAAAADwAAAGRycy9kb3ducmV2LnhtbERPS2sCMRC+F/wPYYTealYP2t0apbgI&#10;HmrBB57HzXSzdDNZNnFN/30jFHqbj+85y3W0rRio941jBdNJBoK4crrhWsH5tH15BeEDssbWMSn4&#10;IQ/r1ehpiYV2dz7QcAy1SCHsC1RgQugKKX1lyKKfuI44cV+utxgS7Gupe7yncNvKWZbNpcWGU4PB&#10;jjaGqu/jzSpYmPIgF7L8OH2WQzPN4z5errlSz+P4/gYiUAz/4j/3Tqf5OTx+SQfI1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4OhocIAAADbAAAADwAAAAAAAAAAAAAA&#10;AAChAgAAZHJzL2Rvd25yZXYueG1sUEsFBgAAAAAEAAQA+QAAAJADAAAAAA==&#10;">
                        <v:stroke endarrow="block"/>
                      </v:line>
                      <v:shape id="Text Box 40" o:spid="_x0000_s1044" type="#_x0000_t202" style="position:absolute;left:31943;top:14490;width:16409;height:109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nlVsIA&#10;AADbAAAADwAAAGRycy9kb3ducmV2LnhtbERPy4rCMBTdD/gP4QruxlSRQapRVBTFhcz4QJfX5toW&#10;m5vSRO30681iYJaH8x5Pa1OIJ1Uut6yg141AECdW55wqOB5Wn0MQziNrLCyTgl9yMJ20PsYYa/vi&#10;H3rufSpCCLsYFWTel7GULsnIoOvakjhwN1sZ9AFWqdQVvkK4KWQ/ir6kwZxDQ4YlLTJK7vuHUbD5&#10;Xs5pu26aZrA7n4bXy3HtF3elOu16NgLhqfb/4j/3Rivoh/XhS/gBcv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yeVWwgAAANsAAAAPAAAAAAAAAAAAAAAAAJgCAABkcnMvZG93&#10;bnJldi54bWxQSwUGAAAAAAQABAD1AAAAhwMAAAAA&#10;" filled="f" fillcolor="#bbe0e3" stroked="f">
                        <v:textbox>
                          <w:txbxContent>
                            <w:p w:rsidR="00124544" w:rsidRPr="001F6519" w:rsidRDefault="00124544" w:rsidP="006157EE">
                              <w:pPr>
                                <w:autoSpaceDE w:val="0"/>
                                <w:autoSpaceDN w:val="0"/>
                                <w:adjustRightInd w:val="0"/>
                                <w:rPr>
                                  <w:rFonts w:ascii="Arial" w:hAnsi="Arial" w:cs="Arial"/>
                                  <w:color w:val="000000"/>
                                </w:rPr>
                              </w:pPr>
                              <w:r w:rsidRPr="001F6519">
                                <w:rPr>
                                  <w:rFonts w:ascii="Arial" w:hAnsi="Arial" w:cs="Arial"/>
                                  <w:color w:val="000000"/>
                                </w:rPr>
                                <w:t>Direct financial</w:t>
                              </w:r>
                            </w:p>
                            <w:p w:rsidR="00124544" w:rsidRPr="00190AC4" w:rsidRDefault="00124544" w:rsidP="006157EE">
                              <w:pPr>
                                <w:numPr>
                                  <w:ilvl w:val="0"/>
                                  <w:numId w:val="49"/>
                                </w:numPr>
                                <w:autoSpaceDE w:val="0"/>
                                <w:autoSpaceDN w:val="0"/>
                                <w:adjustRightInd w:val="0"/>
                                <w:rPr>
                                  <w:rFonts w:ascii="Arial" w:hAnsi="Arial" w:cs="Arial"/>
                                  <w:color w:val="000000"/>
                                  <w:sz w:val="20"/>
                                  <w:szCs w:val="20"/>
                                </w:rPr>
                              </w:pPr>
                              <w:r w:rsidRPr="00AD372E">
                                <w:rPr>
                                  <w:rFonts w:ascii="Arial" w:hAnsi="Arial" w:cs="Arial"/>
                                  <w:color w:val="000000"/>
                                  <w:sz w:val="16"/>
                                  <w:szCs w:val="16"/>
                                </w:rPr>
                                <w:t xml:space="preserve"> </w:t>
                              </w:r>
                              <w:r w:rsidRPr="00190AC4">
                                <w:rPr>
                                  <w:rFonts w:ascii="Arial" w:hAnsi="Arial" w:cs="Arial"/>
                                  <w:color w:val="000000"/>
                                  <w:sz w:val="20"/>
                                  <w:szCs w:val="20"/>
                                </w:rPr>
                                <w:t>exemptions</w:t>
                              </w:r>
                            </w:p>
                            <w:p w:rsidR="00124544" w:rsidRPr="00190AC4" w:rsidRDefault="00124544" w:rsidP="006157EE">
                              <w:pPr>
                                <w:numPr>
                                  <w:ilvl w:val="0"/>
                                  <w:numId w:val="49"/>
                                </w:numPr>
                                <w:autoSpaceDE w:val="0"/>
                                <w:autoSpaceDN w:val="0"/>
                                <w:adjustRightInd w:val="0"/>
                                <w:rPr>
                                  <w:rFonts w:ascii="Arial" w:hAnsi="Arial" w:cs="Arial"/>
                                  <w:color w:val="000000"/>
                                  <w:sz w:val="20"/>
                                  <w:szCs w:val="20"/>
                                </w:rPr>
                              </w:pPr>
                              <w:r w:rsidRPr="00190AC4">
                                <w:rPr>
                                  <w:rFonts w:ascii="Arial" w:hAnsi="Arial" w:cs="Arial"/>
                                  <w:color w:val="000000"/>
                                  <w:sz w:val="20"/>
                                  <w:szCs w:val="20"/>
                                </w:rPr>
                                <w:t xml:space="preserve"> deductions</w:t>
                              </w:r>
                            </w:p>
                            <w:p w:rsidR="00124544" w:rsidRPr="00190AC4" w:rsidRDefault="00124544" w:rsidP="006157EE">
                              <w:pPr>
                                <w:numPr>
                                  <w:ilvl w:val="0"/>
                                  <w:numId w:val="49"/>
                                </w:numPr>
                                <w:autoSpaceDE w:val="0"/>
                                <w:autoSpaceDN w:val="0"/>
                                <w:adjustRightInd w:val="0"/>
                                <w:rPr>
                                  <w:rFonts w:ascii="Arial" w:hAnsi="Arial" w:cs="Arial"/>
                                  <w:color w:val="000000"/>
                                  <w:sz w:val="20"/>
                                  <w:szCs w:val="20"/>
                                </w:rPr>
                              </w:pPr>
                              <w:r w:rsidRPr="00AD372E">
                                <w:rPr>
                                  <w:rFonts w:ascii="Arial" w:hAnsi="Arial" w:cs="Arial"/>
                                  <w:color w:val="000000"/>
                                  <w:sz w:val="16"/>
                                  <w:szCs w:val="16"/>
                                </w:rPr>
                                <w:t xml:space="preserve"> </w:t>
                              </w:r>
                              <w:r w:rsidRPr="00190AC4">
                                <w:rPr>
                                  <w:rFonts w:ascii="Arial" w:hAnsi="Arial" w:cs="Arial"/>
                                  <w:color w:val="000000"/>
                                  <w:sz w:val="20"/>
                                  <w:szCs w:val="20"/>
                                </w:rPr>
                                <w:t>rebates</w:t>
                              </w:r>
                            </w:p>
                            <w:p w:rsidR="00124544" w:rsidRPr="00190AC4" w:rsidRDefault="00124544" w:rsidP="006157EE">
                              <w:pPr>
                                <w:numPr>
                                  <w:ilvl w:val="0"/>
                                  <w:numId w:val="49"/>
                                </w:numPr>
                                <w:autoSpaceDE w:val="0"/>
                                <w:autoSpaceDN w:val="0"/>
                                <w:adjustRightInd w:val="0"/>
                                <w:rPr>
                                  <w:rFonts w:ascii="Arial" w:hAnsi="Arial" w:cs="Arial"/>
                                  <w:color w:val="000000"/>
                                  <w:sz w:val="20"/>
                                  <w:szCs w:val="20"/>
                                </w:rPr>
                              </w:pPr>
                              <w:r w:rsidRPr="00190AC4">
                                <w:rPr>
                                  <w:rFonts w:ascii="Arial" w:hAnsi="Arial" w:cs="Arial"/>
                                  <w:color w:val="000000"/>
                                  <w:sz w:val="20"/>
                                  <w:szCs w:val="20"/>
                                </w:rPr>
                                <w:t xml:space="preserve"> preferential tax rates</w:t>
                              </w:r>
                            </w:p>
                            <w:p w:rsidR="00124544" w:rsidRPr="00190AC4" w:rsidRDefault="00124544" w:rsidP="006157EE">
                              <w:pPr>
                                <w:numPr>
                                  <w:ilvl w:val="0"/>
                                  <w:numId w:val="49"/>
                                </w:numPr>
                                <w:autoSpaceDE w:val="0"/>
                                <w:autoSpaceDN w:val="0"/>
                                <w:adjustRightInd w:val="0"/>
                                <w:rPr>
                                  <w:rFonts w:ascii="Arial" w:hAnsi="Arial" w:cs="Arial"/>
                                  <w:color w:val="000000"/>
                                  <w:sz w:val="20"/>
                                  <w:szCs w:val="20"/>
                                </w:rPr>
                              </w:pPr>
                              <w:r w:rsidRPr="00AD372E">
                                <w:rPr>
                                  <w:rFonts w:ascii="Arial" w:hAnsi="Arial" w:cs="Arial"/>
                                  <w:color w:val="000000"/>
                                  <w:sz w:val="16"/>
                                  <w:szCs w:val="16"/>
                                </w:rPr>
                                <w:t xml:space="preserve"> </w:t>
                              </w:r>
                              <w:r w:rsidRPr="00190AC4">
                                <w:rPr>
                                  <w:rFonts w:ascii="Arial" w:hAnsi="Arial" w:cs="Arial"/>
                                  <w:color w:val="000000"/>
                                  <w:sz w:val="20"/>
                                  <w:szCs w:val="20"/>
                                </w:rPr>
                                <w:t>deferr</w:t>
                              </w:r>
                              <w:r>
                                <w:rPr>
                                  <w:rFonts w:ascii="Arial" w:hAnsi="Arial" w:cs="Arial"/>
                                  <w:color w:val="000000"/>
                                  <w:sz w:val="20"/>
                                  <w:szCs w:val="20"/>
                                </w:rPr>
                                <w:t>ed tax</w:t>
                              </w:r>
                            </w:p>
                          </w:txbxContent>
                        </v:textbox>
                      </v:shape>
                      <w10:wrap anchory="line"/>
                    </v:group>
                  </w:pict>
                </mc:Fallback>
              </mc:AlternateContent>
            </w:r>
          </w:p>
        </w:tc>
      </w:tr>
    </w:tbl>
    <w:p w:rsidR="006157EE" w:rsidRDefault="00FE7058" w:rsidP="00120072">
      <w:pPr>
        <w:pStyle w:val="BodyText"/>
      </w:pPr>
      <w:r>
        <w:t>The budgetary assistance estimates are derived primarily from actual expenditures shown in departmental and agency annual reports, and the Australian Treasury Tax Expenditures Statement (TES). Industry and sectoral disaggregations are based primarily on supplementary information provided by relevant departments or agencies.</w:t>
      </w:r>
      <w:r w:rsidR="00873282">
        <w:t xml:space="preserve"> </w:t>
      </w:r>
    </w:p>
    <w:p w:rsidR="00D42BA5" w:rsidRDefault="00D42BA5" w:rsidP="00073C8B">
      <w:pPr>
        <w:pStyle w:val="Heading3"/>
      </w:pPr>
      <w:r>
        <w:t>Aggregate budgetary assistance</w:t>
      </w:r>
    </w:p>
    <w:p w:rsidR="00854D68" w:rsidRDefault="00854D68" w:rsidP="00510514">
      <w:pPr>
        <w:pStyle w:val="BodyText"/>
      </w:pPr>
      <w:r>
        <w:t>The estimated gross value of budgetary assistance to Australian industry was around $7.</w:t>
      </w:r>
      <w:r w:rsidR="00242A6D">
        <w:t>8 </w:t>
      </w:r>
      <w:r>
        <w:t>billion in 2012</w:t>
      </w:r>
      <w:r>
        <w:noBreakHyphen/>
        <w:t>13</w:t>
      </w:r>
      <w:r w:rsidR="000871FB">
        <w:t>,</w:t>
      </w:r>
      <w:r w:rsidR="00AC0B10">
        <w:rPr>
          <w:rStyle w:val="FootnoteReference"/>
        </w:rPr>
        <w:footnoteReference w:id="2"/>
      </w:r>
      <w:r>
        <w:t xml:space="preserve"> compared with $</w:t>
      </w:r>
      <w:r w:rsidR="00242A6D">
        <w:t>10</w:t>
      </w:r>
      <w:r>
        <w:t>.</w:t>
      </w:r>
      <w:r w:rsidR="00242A6D">
        <w:t>0 </w:t>
      </w:r>
      <w:r>
        <w:t>billion in 2011</w:t>
      </w:r>
      <w:r>
        <w:noBreakHyphen/>
        <w:t>12 and $8.4 billion in 2007</w:t>
      </w:r>
      <w:r>
        <w:noBreakHyphen/>
        <w:t>08 in nominal terms (figure </w:t>
      </w:r>
      <w:r w:rsidR="00E121B3">
        <w:t>4.2</w:t>
      </w:r>
      <w:r>
        <w:t xml:space="preserve">). In real terms, this represents a decline of </w:t>
      </w:r>
      <w:r w:rsidR="002B79DD">
        <w:t>22 </w:t>
      </w:r>
      <w:r>
        <w:t>per cent since 2011</w:t>
      </w:r>
      <w:r>
        <w:noBreakHyphen/>
        <w:t xml:space="preserve">12 and </w:t>
      </w:r>
      <w:r w:rsidR="001D1EDD">
        <w:t>20</w:t>
      </w:r>
      <w:r w:rsidR="002B79DD">
        <w:t> </w:t>
      </w:r>
      <w:r>
        <w:t>per cent since 2007</w:t>
      </w:r>
      <w:r>
        <w:noBreakHyphen/>
        <w:t>08.</w:t>
      </w:r>
      <w:r w:rsidR="00EE4B43">
        <w:t xml:space="preserve"> </w:t>
      </w:r>
    </w:p>
    <w:p w:rsidR="00D42BA5" w:rsidRDefault="00D42BA5">
      <w:pPr>
        <w:pStyle w:val="FigureTitle"/>
      </w:pPr>
      <w:r>
        <w:rPr>
          <w:b w:val="0"/>
        </w:rPr>
        <w:lastRenderedPageBreak/>
        <w:t xml:space="preserve">Figure </w:t>
      </w:r>
      <w:bookmarkStart w:id="9" w:name="OLE_LINK3"/>
      <w:r w:rsidR="00361E17">
        <w:rPr>
          <w:b w:val="0"/>
        </w:rPr>
        <w:t>4.</w:t>
      </w:r>
      <w:r w:rsidR="00000604">
        <w:rPr>
          <w:b w:val="0"/>
          <w:noProof/>
        </w:rPr>
        <w:t>2</w:t>
      </w:r>
      <w:bookmarkEnd w:id="9"/>
      <w:r>
        <w:tab/>
        <w:t>Budgetary assistance to industry, 2007</w:t>
      </w:r>
      <w:r>
        <w:noBreakHyphen/>
        <w:t>08 to 2012</w:t>
      </w:r>
      <w:r>
        <w:noBreakHyphen/>
        <w:t>13</w:t>
      </w:r>
    </w:p>
    <w:p w:rsidR="00D42BA5" w:rsidRDefault="00D42BA5">
      <w:pPr>
        <w:pStyle w:val="Subtitle"/>
      </w:pPr>
      <w:r>
        <w:t xml:space="preserve">$ </w:t>
      </w:r>
      <w:r w:rsidR="009D3AB3">
        <w:t>b</w:t>
      </w:r>
      <w:r>
        <w:t>illion (nominal)</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D42BA5" w:rsidTr="00916402">
        <w:tc>
          <w:tcPr>
            <w:tcW w:w="8777" w:type="dxa"/>
          </w:tcPr>
          <w:p w:rsidR="00D42BA5" w:rsidRDefault="00916402" w:rsidP="0079071B">
            <w:pPr>
              <w:pStyle w:val="Figure"/>
            </w:pPr>
            <w:r>
              <w:rPr>
                <w:noProof/>
              </w:rPr>
              <w:drawing>
                <wp:inline distT="0" distB="0" distL="0" distR="0" wp14:anchorId="6BCF62F9" wp14:editId="0E14E3EB">
                  <wp:extent cx="5457825" cy="3762376"/>
                  <wp:effectExtent l="0" t="0" r="0" b="0"/>
                  <wp:docPr id="6" name="Chart 6" descr="Figure 4.2. Budgetary assistance to industry, 2007-08 to 2012-13. This figure presents budgetary assistance split into outlays and tax concessions. The proportions are roughly equal each year. This figure is described in the surrounding text. "/>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rsidR="00D42BA5" w:rsidRDefault="00D42BA5">
      <w:pPr>
        <w:pStyle w:val="Source"/>
      </w:pPr>
      <w:r>
        <w:rPr>
          <w:i/>
        </w:rPr>
        <w:t>Sources</w:t>
      </w:r>
      <w:r w:rsidRPr="00167F06">
        <w:t xml:space="preserve">: </w:t>
      </w:r>
      <w:r w:rsidR="000732AC">
        <w:t xml:space="preserve">Commonwealth Budget and </w:t>
      </w:r>
      <w:r w:rsidR="00ED193C">
        <w:t>b</w:t>
      </w:r>
      <w:r w:rsidR="000732AC">
        <w:t>udget</w:t>
      </w:r>
      <w:r w:rsidR="00ED193C">
        <w:t>-</w:t>
      </w:r>
      <w:r w:rsidR="000732AC">
        <w:t xml:space="preserve">related papers (various years); departmental annual reports (various years); Australian Government (2014); Commission estimates. </w:t>
      </w:r>
    </w:p>
    <w:p w:rsidR="00510514" w:rsidRDefault="00510514" w:rsidP="00510514">
      <w:pPr>
        <w:pStyle w:val="BodyText"/>
      </w:pPr>
      <w:r>
        <w:t xml:space="preserve">The main reasons for the reduction in aggregate budgetary assistance in </w:t>
      </w:r>
      <w:r w:rsidR="003A63C4">
        <w:t>2012</w:t>
      </w:r>
      <w:r w:rsidR="003A63C4">
        <w:noBreakHyphen/>
        <w:t>13</w:t>
      </w:r>
      <w:r>
        <w:t xml:space="preserve"> are:</w:t>
      </w:r>
    </w:p>
    <w:p w:rsidR="00510514" w:rsidRDefault="00510514" w:rsidP="00510514">
      <w:pPr>
        <w:pStyle w:val="ListBullet"/>
      </w:pPr>
      <w:bookmarkStart w:id="10" w:name="OLE_LINK9"/>
      <w:r>
        <w:t>the cessation of transitional assistance afforded by the Energy Security Fund ($1 billion</w:t>
      </w:r>
      <w:r w:rsidR="006D700D">
        <w:t xml:space="preserve"> in 2011</w:t>
      </w:r>
      <w:r w:rsidR="006D700D">
        <w:noBreakHyphen/>
        <w:t>12</w:t>
      </w:r>
      <w:r>
        <w:t>), Coal Sector Jobs Package ($21</w:t>
      </w:r>
      <w:r w:rsidR="00F87305">
        <w:t>9</w:t>
      </w:r>
      <w:r>
        <w:t> million</w:t>
      </w:r>
      <w:r w:rsidR="006D700D">
        <w:t xml:space="preserve"> in 2011</w:t>
      </w:r>
      <w:r w:rsidR="006D700D">
        <w:noBreakHyphen/>
        <w:t>12</w:t>
      </w:r>
      <w:r>
        <w:t>) and Steel Transformation Plan ($164 million</w:t>
      </w:r>
      <w:r w:rsidR="006D700D">
        <w:t xml:space="preserve"> in 2011</w:t>
      </w:r>
      <w:r w:rsidR="006D700D">
        <w:noBreakHyphen/>
        <w:t>12</w:t>
      </w:r>
      <w:r>
        <w:t xml:space="preserve">), together with a number of other programs that </w:t>
      </w:r>
      <w:r w:rsidR="00BF0930">
        <w:t xml:space="preserve">were </w:t>
      </w:r>
      <w:r>
        <w:t>afforded around $200 million in budgetary assistance in 2011</w:t>
      </w:r>
      <w:r>
        <w:noBreakHyphen/>
        <w:t>12</w:t>
      </w:r>
      <w:r w:rsidR="00EE4B43">
        <w:t>;</w:t>
      </w:r>
      <w:r>
        <w:t xml:space="preserve"> </w:t>
      </w:r>
    </w:p>
    <w:bookmarkEnd w:id="10"/>
    <w:p w:rsidR="00510514" w:rsidRDefault="00510514" w:rsidP="00510514">
      <w:pPr>
        <w:pStyle w:val="ListBullet"/>
      </w:pPr>
      <w:r>
        <w:t>a decrease of around $</w:t>
      </w:r>
      <w:r w:rsidR="006F574D">
        <w:t>500</w:t>
      </w:r>
      <w:r>
        <w:t> </w:t>
      </w:r>
      <w:r w:rsidR="006F574D">
        <w:t>m</w:t>
      </w:r>
      <w:r>
        <w:t>illion in assistance afforded by the Small Business and General Business Tax Break;</w:t>
      </w:r>
      <w:r w:rsidR="00EE4B43">
        <w:t xml:space="preserve"> </w:t>
      </w:r>
    </w:p>
    <w:p w:rsidR="00510514" w:rsidRDefault="00510514" w:rsidP="00510514">
      <w:pPr>
        <w:pStyle w:val="ListBullet"/>
      </w:pPr>
      <w:r>
        <w:t>decreases of around $80 million each in assistance afforded by the Farm Management Deposits Scheme and the Green Car Innovation Fund; and</w:t>
      </w:r>
      <w:r w:rsidR="00EE4B43">
        <w:t xml:space="preserve"> </w:t>
      </w:r>
    </w:p>
    <w:p w:rsidR="00510514" w:rsidRDefault="00510514" w:rsidP="00510514">
      <w:pPr>
        <w:pStyle w:val="ListBullet"/>
      </w:pPr>
      <w:r>
        <w:t>decreases of around $50 million and $45 million</w:t>
      </w:r>
      <w:r w:rsidR="00A36B99">
        <w:t>, respectively,</w:t>
      </w:r>
      <w:r>
        <w:t xml:space="preserve"> in assistance afforded by the Sustainable Rural Water Use and Infrastructure Program and the Income tax averaging provisions scheme. </w:t>
      </w:r>
    </w:p>
    <w:p w:rsidR="008C56E9" w:rsidRDefault="008C56E9" w:rsidP="008C56E9">
      <w:pPr>
        <w:pStyle w:val="BodyText"/>
      </w:pPr>
      <w:r>
        <w:lastRenderedPageBreak/>
        <w:t>On the other hand, there were some increases in budgetary assistance in 2012</w:t>
      </w:r>
      <w:r>
        <w:noBreakHyphen/>
        <w:t xml:space="preserve">13, including: </w:t>
      </w:r>
    </w:p>
    <w:p w:rsidR="008C56E9" w:rsidRDefault="008C56E9" w:rsidP="008C56E9">
      <w:pPr>
        <w:pStyle w:val="ListBullet"/>
      </w:pPr>
      <w:r>
        <w:t>around $50 million and $40 million</w:t>
      </w:r>
      <w:r w:rsidR="00A36B99">
        <w:t>, respectively,</w:t>
      </w:r>
      <w:r>
        <w:t xml:space="preserve"> in assistance under the Small Business Capital Gains Tax 50 Per Cent Reduction and the Offshore Banking Unit Tax Concession; and</w:t>
      </w:r>
      <w:r w:rsidR="00EE4B43">
        <w:t xml:space="preserve"> </w:t>
      </w:r>
    </w:p>
    <w:p w:rsidR="008C56E9" w:rsidRDefault="008C56E9" w:rsidP="008C56E9">
      <w:pPr>
        <w:pStyle w:val="ListBullet"/>
      </w:pPr>
      <w:r>
        <w:t>increases of around $3</w:t>
      </w:r>
      <w:r w:rsidR="00213E52">
        <w:t>4</w:t>
      </w:r>
      <w:r>
        <w:t>0 million in other on-going programs.</w:t>
      </w:r>
      <w:r w:rsidR="00092726">
        <w:t xml:space="preserve"> </w:t>
      </w:r>
    </w:p>
    <w:p w:rsidR="00A36B99" w:rsidRPr="00C40274" w:rsidRDefault="009A5DE2" w:rsidP="00C40274">
      <w:pPr>
        <w:pStyle w:val="BodyText"/>
      </w:pPr>
      <w:r>
        <w:t>There were also c</w:t>
      </w:r>
      <w:r w:rsidR="000B4DA5">
        <w:t xml:space="preserve">hanges in R&amp;D arrangements </w:t>
      </w:r>
      <w:r>
        <w:t xml:space="preserve">that </w:t>
      </w:r>
      <w:r w:rsidR="000B4DA5">
        <w:t xml:space="preserve">involved a reduction of </w:t>
      </w:r>
      <w:r w:rsidR="00C40274" w:rsidRPr="00C40274">
        <w:t xml:space="preserve">$940 million </w:t>
      </w:r>
      <w:r w:rsidR="00A36B99" w:rsidRPr="00C40274">
        <w:t xml:space="preserve">in </w:t>
      </w:r>
      <w:r w:rsidR="00C40274" w:rsidRPr="00C40274">
        <w:t xml:space="preserve">industry </w:t>
      </w:r>
      <w:r w:rsidR="00A36B99" w:rsidRPr="00C40274">
        <w:t xml:space="preserve">assistance </w:t>
      </w:r>
      <w:r w:rsidR="00C40274" w:rsidRPr="00C40274">
        <w:t>afforded by the R&amp;D Tax Concession and Premium R&amp;D Tax Concession in 2012</w:t>
      </w:r>
      <w:r w:rsidR="00C40274" w:rsidRPr="00C40274">
        <w:noBreakHyphen/>
        <w:t>13</w:t>
      </w:r>
      <w:r w:rsidR="00A30A07">
        <w:t>,</w:t>
      </w:r>
      <w:r w:rsidR="00C40274" w:rsidRPr="00C40274">
        <w:t xml:space="preserve"> </w:t>
      </w:r>
      <w:r w:rsidR="000B4DA5">
        <w:t>and a</w:t>
      </w:r>
      <w:r w:rsidR="00C40274">
        <w:t xml:space="preserve"> </w:t>
      </w:r>
      <w:r w:rsidR="00C40274" w:rsidRPr="00C40274">
        <w:t>largely offset</w:t>
      </w:r>
      <w:r w:rsidR="000B4DA5">
        <w:t>ting increase of</w:t>
      </w:r>
      <w:r w:rsidR="00C40274" w:rsidRPr="00C40274">
        <w:t xml:space="preserve"> $931 million provided through the R&amp;D Tax Offsets scheme. The R&amp;D Tax Offsets scheme includes the R&amp;D Tax Incentive, the replacement scheme for the R&amp;D Tax Concession and Premium R&amp;D Tax Concession. </w:t>
      </w:r>
    </w:p>
    <w:p w:rsidR="00C96D53" w:rsidRPr="00C40274" w:rsidRDefault="00C96D53" w:rsidP="00C40274">
      <w:pPr>
        <w:pStyle w:val="BodyText"/>
      </w:pPr>
      <w:r w:rsidRPr="00C40274">
        <w:t>Not all taxation concessions affording assistance to industry are quantified in the Treasury’s annual TES. In cases where quantification is not practicable, the TES generally provides indicative ranges within which the value of the concession may fall. The 2013 TES identifies 50 business income tax measures which involve ‘differential’ tax treatment from the ‘norm’</w:t>
      </w:r>
      <w:r w:rsidR="004273AD">
        <w:t xml:space="preserve">, some which may be considered industry assistance such as </w:t>
      </w:r>
      <w:r w:rsidR="00484B4D">
        <w:t xml:space="preserve">tax write-offs for horticulture plants, </w:t>
      </w:r>
      <w:r w:rsidR="004273AD">
        <w:t xml:space="preserve">and </w:t>
      </w:r>
      <w:r w:rsidR="00484B4D">
        <w:t>tax deductions for horse breeding stock</w:t>
      </w:r>
      <w:r w:rsidR="004273AD">
        <w:t>.</w:t>
      </w:r>
    </w:p>
    <w:p w:rsidR="00D42BA5" w:rsidRDefault="00D42BA5">
      <w:pPr>
        <w:pStyle w:val="Heading3"/>
      </w:pPr>
      <w:r>
        <w:t>Activities targeted</w:t>
      </w:r>
    </w:p>
    <w:p w:rsidR="002551BA" w:rsidRDefault="002551BA" w:rsidP="002551BA">
      <w:pPr>
        <w:pStyle w:val="BodyText"/>
      </w:pPr>
      <w:r>
        <w:t xml:space="preserve">Budgetary assistance is often designed to encourage particular activities (such as R&amp;D or exports) or to support particular firms, industries or sectors. To provide an indication of the distribution of assistance among activities and to facilitate more detailed assessments of changes in the composition and nature of assistance, the Commission categorises its estimates of Australian Government budgetary assistance into: </w:t>
      </w:r>
    </w:p>
    <w:p w:rsidR="002551BA" w:rsidRDefault="002551BA" w:rsidP="002551BA">
      <w:pPr>
        <w:pStyle w:val="ListBullet"/>
      </w:pPr>
      <w:r w:rsidRPr="00FB3D2B">
        <w:rPr>
          <w:i/>
        </w:rPr>
        <w:t>R&amp;D</w:t>
      </w:r>
      <w:r w:rsidRPr="00FB3D2B">
        <w:t xml:space="preserve"> measures</w:t>
      </w:r>
      <w:r>
        <w:t>, including that undertaken by CSIRO, C</w:t>
      </w:r>
      <w:r w:rsidR="00277194">
        <w:t xml:space="preserve">ooperative </w:t>
      </w:r>
      <w:r>
        <w:t>R</w:t>
      </w:r>
      <w:r w:rsidR="00277194">
        <w:t xml:space="preserve">esearch </w:t>
      </w:r>
      <w:r>
        <w:t>C</w:t>
      </w:r>
      <w:r w:rsidR="00277194">
        <w:t>entre</w:t>
      </w:r>
      <w:r>
        <w:t xml:space="preserve">s and rural R&amp;D corporations, as well as R&amp;D taxation concessions; </w:t>
      </w:r>
    </w:p>
    <w:p w:rsidR="002551BA" w:rsidRDefault="002551BA" w:rsidP="002551BA">
      <w:pPr>
        <w:pStyle w:val="ListBullet"/>
      </w:pPr>
      <w:r w:rsidRPr="00FB3D2B">
        <w:rPr>
          <w:i/>
        </w:rPr>
        <w:t>Export</w:t>
      </w:r>
      <w:r w:rsidRPr="00FB3D2B">
        <w:t xml:space="preserve"> measures</w:t>
      </w:r>
      <w:r>
        <w:t xml:space="preserve">, including through Export Market Development Grants, import duty drawback, TRADEX and Austrade; </w:t>
      </w:r>
    </w:p>
    <w:p w:rsidR="002551BA" w:rsidRDefault="002551BA" w:rsidP="002551BA">
      <w:pPr>
        <w:pStyle w:val="ListBullet"/>
      </w:pPr>
      <w:r w:rsidRPr="00FB3D2B">
        <w:rPr>
          <w:i/>
        </w:rPr>
        <w:t>Investment</w:t>
      </w:r>
      <w:r w:rsidRPr="00FB3D2B">
        <w:t xml:space="preserve"> measures</w:t>
      </w:r>
      <w:r>
        <w:t xml:space="preserve">, including development allowances and several former investment attraction packages; </w:t>
      </w:r>
    </w:p>
    <w:p w:rsidR="002551BA" w:rsidRDefault="002551BA" w:rsidP="002551BA">
      <w:pPr>
        <w:pStyle w:val="ListBullet"/>
      </w:pPr>
      <w:r w:rsidRPr="00FB3D2B">
        <w:rPr>
          <w:i/>
        </w:rPr>
        <w:t>Industry-specific</w:t>
      </w:r>
      <w:r w:rsidRPr="00FB3D2B">
        <w:t xml:space="preserve"> measures</w:t>
      </w:r>
      <w:r>
        <w:t xml:space="preserve">, including the Automotive Transformation Scheme, the Clothing and </w:t>
      </w:r>
      <w:r w:rsidR="0099584E">
        <w:t xml:space="preserve">Household Textile Building Innovative Capability </w:t>
      </w:r>
      <w:r>
        <w:t xml:space="preserve">Program, film industry measures and the Offshore Banking Unit Taxation Concession; </w:t>
      </w:r>
    </w:p>
    <w:p w:rsidR="002551BA" w:rsidRDefault="002551BA" w:rsidP="002551BA">
      <w:pPr>
        <w:pStyle w:val="ListBullet"/>
      </w:pPr>
      <w:r w:rsidRPr="00FB3D2B">
        <w:rPr>
          <w:i/>
        </w:rPr>
        <w:lastRenderedPageBreak/>
        <w:t>Sector-wide</w:t>
      </w:r>
      <w:r w:rsidRPr="00FB3D2B">
        <w:t xml:space="preserve"> measures</w:t>
      </w:r>
      <w:r>
        <w:t xml:space="preserve">, such as ‘exceptional circumstances’ drought relief payments and the tax concessions under the Farm Management Deposits Scheme, in the case of the primary sector; </w:t>
      </w:r>
    </w:p>
    <w:p w:rsidR="002551BA" w:rsidRDefault="002551BA" w:rsidP="002551BA">
      <w:pPr>
        <w:pStyle w:val="ListBullet"/>
      </w:pPr>
      <w:r w:rsidRPr="00FB3D2B">
        <w:rPr>
          <w:i/>
        </w:rPr>
        <w:t>Small business</w:t>
      </w:r>
      <w:r w:rsidRPr="00FB3D2B">
        <w:t xml:space="preserve"> programs</w:t>
      </w:r>
      <w:r>
        <w:t>, such as the Small Business and General Business Tax Break, the small business capital gains tax concessions, the 25</w:t>
      </w:r>
      <w:r w:rsidR="00415EC1">
        <w:t> </w:t>
      </w:r>
      <w:r>
        <w:t>per</w:t>
      </w:r>
      <w:r w:rsidR="00415EC1">
        <w:t> </w:t>
      </w:r>
      <w:r>
        <w:t xml:space="preserve">cent Entrepreneurs’ Tax Offset and the Small Business Advisory Services Program; </w:t>
      </w:r>
    </w:p>
    <w:p w:rsidR="002551BA" w:rsidRDefault="002551BA" w:rsidP="0099584E">
      <w:pPr>
        <w:pStyle w:val="ListBullet"/>
      </w:pPr>
      <w:r w:rsidRPr="00FB3D2B">
        <w:rPr>
          <w:i/>
        </w:rPr>
        <w:t>Regional</w:t>
      </w:r>
      <w:r w:rsidRPr="00FB3D2B">
        <w:t xml:space="preserve"> assistance</w:t>
      </w:r>
      <w:r>
        <w:t xml:space="preserve">, including the Tasmanian Freight Equalisation Scheme, </w:t>
      </w:r>
      <w:r w:rsidR="0099584E" w:rsidRPr="0099584E">
        <w:t>Bass Straight Passenger Vehicle Equalisation</w:t>
      </w:r>
      <w:r>
        <w:t xml:space="preserve"> </w:t>
      </w:r>
      <w:r w:rsidR="00277194">
        <w:t xml:space="preserve">Scheme </w:t>
      </w:r>
      <w:r>
        <w:t xml:space="preserve">and various structural adjustment programs with a regional focus; and </w:t>
      </w:r>
    </w:p>
    <w:p w:rsidR="002551BA" w:rsidRDefault="002551BA" w:rsidP="002551BA">
      <w:pPr>
        <w:pStyle w:val="ListBullet"/>
      </w:pPr>
      <w:r>
        <w:t xml:space="preserve">a residual </w:t>
      </w:r>
      <w:r w:rsidRPr="00FB3D2B">
        <w:t>‘</w:t>
      </w:r>
      <w:r w:rsidR="00A30A07" w:rsidRPr="00A30A07">
        <w:rPr>
          <w:i/>
        </w:rPr>
        <w:t>O</w:t>
      </w:r>
      <w:r w:rsidRPr="00A30A07">
        <w:rPr>
          <w:i/>
        </w:rPr>
        <w:t>t</w:t>
      </w:r>
      <w:r w:rsidRPr="00FB3D2B">
        <w:rPr>
          <w:i/>
        </w:rPr>
        <w:t>her</w:t>
      </w:r>
      <w:r w:rsidRPr="00FB3D2B">
        <w:t>’</w:t>
      </w:r>
      <w:r>
        <w:t xml:space="preserve"> category, including the Textiles, Leather, Clothing and Footwear Corporate Wear Program, the Pooled Development Funds initiative, and the Enterprise Connect Innovation Centres Initiative. </w:t>
      </w:r>
    </w:p>
    <w:p w:rsidR="00D42BA5" w:rsidRDefault="002551BA" w:rsidP="0000351C">
      <w:pPr>
        <w:pStyle w:val="BodyText"/>
      </w:pPr>
      <w:r>
        <w:t>The majority of budgetary assistance in 201</w:t>
      </w:r>
      <w:r w:rsidR="0034639A">
        <w:t>2</w:t>
      </w:r>
      <w:r>
        <w:noBreakHyphen/>
        <w:t>1</w:t>
      </w:r>
      <w:r w:rsidR="0034639A">
        <w:t>3</w:t>
      </w:r>
      <w:r>
        <w:t xml:space="preserve"> was directed to </w:t>
      </w:r>
      <w:r w:rsidR="0034639A">
        <w:t>R&amp;D</w:t>
      </w:r>
      <w:r>
        <w:t xml:space="preserve"> (</w:t>
      </w:r>
      <w:r w:rsidR="00955B12">
        <w:t>3</w:t>
      </w:r>
      <w:r w:rsidR="00D14E3E">
        <w:t>8</w:t>
      </w:r>
      <w:r>
        <w:t xml:space="preserve"> per cent); </w:t>
      </w:r>
      <w:r w:rsidR="0034639A">
        <w:t>small business (2</w:t>
      </w:r>
      <w:r w:rsidR="00B7280F">
        <w:t>2</w:t>
      </w:r>
      <w:r w:rsidR="0034639A">
        <w:t> per cent);</w:t>
      </w:r>
      <w:r w:rsidR="00436AF8">
        <w:t xml:space="preserve"> and</w:t>
      </w:r>
      <w:r w:rsidR="0034639A">
        <w:t xml:space="preserve"> specific industries</w:t>
      </w:r>
      <w:r>
        <w:t xml:space="preserve"> (</w:t>
      </w:r>
      <w:r w:rsidR="00955B12">
        <w:t>21</w:t>
      </w:r>
      <w:r>
        <w:t> per cent) (figure </w:t>
      </w:r>
      <w:r w:rsidR="00E121B3">
        <w:t>4.3</w:t>
      </w:r>
      <w:r>
        <w:t xml:space="preserve">). </w:t>
      </w:r>
    </w:p>
    <w:p w:rsidR="00277BDF" w:rsidRDefault="00277BDF">
      <w:pPr>
        <w:pStyle w:val="FigureTitle"/>
      </w:pPr>
      <w:r>
        <w:rPr>
          <w:b w:val="0"/>
        </w:rPr>
        <w:t>Figure 4.</w:t>
      </w:r>
      <w:r w:rsidR="00000604">
        <w:rPr>
          <w:b w:val="0"/>
          <w:noProof/>
        </w:rPr>
        <w:t>3</w:t>
      </w:r>
      <w:r>
        <w:tab/>
        <w:t>Budgetary assistance by category, 2007</w:t>
      </w:r>
      <w:r>
        <w:noBreakHyphen/>
        <w:t xml:space="preserve">08 </w:t>
      </w:r>
      <w:r w:rsidR="003447CD">
        <w:t>to 2</w:t>
      </w:r>
      <w:r>
        <w:t>012</w:t>
      </w:r>
      <w:r>
        <w:noBreakHyphen/>
        <w:t>13</w:t>
      </w:r>
    </w:p>
    <w:p w:rsidR="00277BDF" w:rsidRDefault="006443DC">
      <w:pPr>
        <w:pStyle w:val="Subtitle"/>
      </w:pPr>
      <w:r>
        <w:t xml:space="preserve">$ </w:t>
      </w:r>
      <w:r w:rsidR="006157EE">
        <w:t>b</w:t>
      </w:r>
      <w:r>
        <w:t>illion (nominal)</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277BDF" w:rsidTr="00916402">
        <w:tc>
          <w:tcPr>
            <w:tcW w:w="8777" w:type="dxa"/>
          </w:tcPr>
          <w:p w:rsidR="00277BDF" w:rsidRDefault="002F5388" w:rsidP="00916402">
            <w:pPr>
              <w:pStyle w:val="Figure"/>
            </w:pPr>
            <w:r>
              <w:rPr>
                <w:noProof/>
              </w:rPr>
              <mc:AlternateContent>
                <mc:Choice Requires="wps">
                  <w:drawing>
                    <wp:anchor distT="0" distB="0" distL="114300" distR="114300" simplePos="0" relativeHeight="251670528" behindDoc="0" locked="0" layoutInCell="1" allowOverlap="1" wp14:anchorId="527872C8" wp14:editId="71D83646">
                      <wp:simplePos x="0" y="0"/>
                      <wp:positionH relativeFrom="column">
                        <wp:posOffset>5018405</wp:posOffset>
                      </wp:positionH>
                      <wp:positionV relativeFrom="paragraph">
                        <wp:posOffset>426085</wp:posOffset>
                      </wp:positionV>
                      <wp:extent cx="247650" cy="247650"/>
                      <wp:effectExtent l="0" t="0" r="0" b="0"/>
                      <wp:wrapNone/>
                      <wp:docPr id="5" name="TextBox 1"/>
                      <wp:cNvGraphicFramePr/>
                      <a:graphic xmlns:a="http://schemas.openxmlformats.org/drawingml/2006/main">
                        <a:graphicData uri="http://schemas.microsoft.com/office/word/2010/wordprocessingShape">
                          <wps:wsp>
                            <wps:cNvSpPr txBox="1"/>
                            <wps:spPr>
                              <a:xfrm>
                                <a:off x="0" y="0"/>
                                <a:ext cx="247650" cy="247650"/>
                              </a:xfrm>
                              <a:prstGeom prst="rect">
                                <a:avLst/>
                              </a:prstGeom>
                            </wps:spPr>
                            <wps:txbx>
                              <w:txbxContent>
                                <w:p w:rsidR="00124544" w:rsidRPr="00835264" w:rsidRDefault="00124544" w:rsidP="002F5388">
                                  <w:pPr>
                                    <w:pStyle w:val="NormalWeb"/>
                                    <w:spacing w:before="0" w:beforeAutospacing="0" w:after="0" w:afterAutospacing="0"/>
                                    <w:rPr>
                                      <w:b/>
                                    </w:rPr>
                                  </w:pPr>
                                  <w:r w:rsidRPr="00835264">
                                    <w:rPr>
                                      <w:rFonts w:ascii="Arial" w:hAnsi="Arial" w:cs="Arial"/>
                                      <w:b/>
                                      <w:bCs/>
                                      <w:sz w:val="16"/>
                                      <w:szCs w:val="16"/>
                                    </w:rPr>
                                    <w:t>a</w:t>
                                  </w:r>
                                </w:p>
                              </w:txbxContent>
                            </wps:txbx>
                            <wps:bodyPr wrap="square" rtlCol="0"/>
                          </wps:wsp>
                        </a:graphicData>
                      </a:graphic>
                    </wp:anchor>
                  </w:drawing>
                </mc:Choice>
                <mc:Fallback>
                  <w:pict>
                    <v:shape id="TextBox 1" o:spid="_x0000_s1045" type="#_x0000_t202" style="position:absolute;left:0;text-align:left;margin-left:395.15pt;margin-top:33.55pt;width:19.5pt;height:19.5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" filled="f" stroked="f">
                      <v:textbox>
                        <w:txbxContent>
                          <w:p w:rsidR="00124544" w:rsidRPr="00835264" w:rsidRDefault="00124544" w:rsidP="002F5388">
                            <w:pPr>
                              <w:pStyle w:val="NormalWeb"/>
                              <w:spacing w:before="0" w:beforeAutospacing="0" w:after="0" w:afterAutospacing="0"/>
                              <w:rPr>
                                <w:b/>
                              </w:rPr>
                            </w:pPr>
                            <w:r w:rsidRPr="00835264">
                              <w:rPr>
                                <w:rFonts w:ascii="Arial" w:hAnsi="Arial" w:cs="Arial"/>
                                <w:b/>
                                <w:bCs/>
                                <w:sz w:val="16"/>
                                <w:szCs w:val="16"/>
                              </w:rPr>
                              <w:t>a</w:t>
                            </w:r>
                          </w:p>
                        </w:txbxContent>
                      </v:textbox>
                    </v:shape>
                  </w:pict>
                </mc:Fallback>
              </mc:AlternateContent>
            </w:r>
            <w:r w:rsidR="00916402">
              <w:rPr>
                <w:noProof/>
              </w:rPr>
              <w:drawing>
                <wp:inline distT="0" distB="0" distL="0" distR="0" wp14:anchorId="0EA7108C" wp14:editId="3A327ABD">
                  <wp:extent cx="5400000" cy="2880000"/>
                  <wp:effectExtent l="0" t="0" r="0" b="0"/>
                  <wp:docPr id="24" name="Chart 24" descr="Figure 4.3. Budgetary assistance by category, 2007-08 to 2012-13. This figure shows budgetary assistance split into different assistance activities or categories. This figure is described in the surrounding text. "/>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bl>
    <w:p w:rsidR="00A30A07" w:rsidRDefault="00A30A07">
      <w:pPr>
        <w:pStyle w:val="Source"/>
        <w:rPr>
          <w:i/>
        </w:rPr>
      </w:pPr>
      <w:r w:rsidRPr="008E77FE">
        <w:rPr>
          <w:rStyle w:val="NoteLabel"/>
        </w:rPr>
        <w:t>a</w:t>
      </w:r>
      <w:r>
        <w:t> </w:t>
      </w:r>
      <w:r w:rsidR="003C7500">
        <w:t>Includes</w:t>
      </w:r>
      <w:r w:rsidR="003C7500" w:rsidRPr="006E26FB">
        <w:t xml:space="preserve"> </w:t>
      </w:r>
      <w:r w:rsidR="00437C63" w:rsidRPr="006E26FB">
        <w:t>I</w:t>
      </w:r>
      <w:r w:rsidR="003C7500" w:rsidRPr="006E26FB">
        <w:t xml:space="preserve">nvestment </w:t>
      </w:r>
      <w:r w:rsidR="003C7500">
        <w:t xml:space="preserve">measures. </w:t>
      </w:r>
    </w:p>
    <w:p w:rsidR="00277BDF" w:rsidRDefault="006443DC">
      <w:pPr>
        <w:pStyle w:val="Source"/>
      </w:pPr>
      <w:r>
        <w:rPr>
          <w:i/>
        </w:rPr>
        <w:t>S</w:t>
      </w:r>
      <w:r w:rsidR="00277BDF">
        <w:rPr>
          <w:i/>
        </w:rPr>
        <w:t>ource</w:t>
      </w:r>
      <w:r w:rsidR="00277BDF" w:rsidRPr="00167F06">
        <w:t xml:space="preserve">: </w:t>
      </w:r>
      <w:r>
        <w:t xml:space="preserve">Commission estimates. </w:t>
      </w:r>
    </w:p>
    <w:p w:rsidR="0000351C" w:rsidRDefault="0000351C" w:rsidP="0000351C">
      <w:pPr>
        <w:pStyle w:val="BodyText"/>
      </w:pPr>
      <w:r>
        <w:t>This compares with a distribution of budgetary assistance comprised of R&amp;D (24 per cent); specific industries (24 per cent); and small business (21 per cent) in 2007</w:t>
      </w:r>
      <w:r>
        <w:noBreakHyphen/>
        <w:t>08. Over the six year period 2007</w:t>
      </w:r>
      <w:r>
        <w:noBreakHyphen/>
        <w:t>08 to 2012</w:t>
      </w:r>
      <w:r>
        <w:noBreakHyphen/>
        <w:t xml:space="preserve">13, changes in the shares of budgetary assistance to different activities are largely accounted for by significant </w:t>
      </w:r>
      <w:r>
        <w:lastRenderedPageBreak/>
        <w:t>increases in concessions under the Small Business and General Business Tax Break up to 2010</w:t>
      </w:r>
      <w:r>
        <w:noBreakHyphen/>
        <w:t>11 followed by sharp decreases in 2011</w:t>
      </w:r>
      <w:r>
        <w:noBreakHyphen/>
        <w:t>12 and 2012</w:t>
      </w:r>
      <w:r>
        <w:noBreakHyphen/>
        <w:t>13, an overall reduction in drought related programs over the period, and a significant increase in transitional assistance in relation to the carbon pricing mechanism in 2011</w:t>
      </w:r>
      <w:r>
        <w:noBreakHyphen/>
        <w:t xml:space="preserve">12 and their subsequent </w:t>
      </w:r>
      <w:r w:rsidR="00380AF1">
        <w:t>winding down</w:t>
      </w:r>
      <w:r>
        <w:t xml:space="preserve"> in 2012</w:t>
      </w:r>
      <w:r>
        <w:noBreakHyphen/>
        <w:t xml:space="preserve">13. </w:t>
      </w:r>
    </w:p>
    <w:p w:rsidR="0000351C" w:rsidRDefault="0000351C" w:rsidP="0000351C">
      <w:pPr>
        <w:pStyle w:val="BodyText"/>
      </w:pPr>
      <w:r>
        <w:t>A number of budgetary measures included in the estimates relate to carbon emissions reduction, renewable energy and energy goals. These measures support a range of activities that span R&amp;D, industry-specific, sector-specific and other measures. The measures amounted to around $326 million (4 per cent) of estimated budgetary assistance in 2012</w:t>
      </w:r>
      <w:r>
        <w:noBreakHyphen/>
        <w:t>13, around $1.4 billion lower than in 2011</w:t>
      </w:r>
      <w:r>
        <w:noBreakHyphen/>
        <w:t xml:space="preserve">12. </w:t>
      </w:r>
    </w:p>
    <w:p w:rsidR="0000351C" w:rsidRDefault="0000351C" w:rsidP="0000351C">
      <w:pPr>
        <w:pStyle w:val="BodyText"/>
      </w:pPr>
      <w:r>
        <w:t xml:space="preserve">Some caution is required when interpreting these shares. While programs have been allocated to one category only (based on the nature of the support and main activities assessed as receiving that support), some have characteristics that relate to more than one category. For example, the R&amp;D category includes rural R&amp;D, which could also be considered sector specific. </w:t>
      </w:r>
    </w:p>
    <w:p w:rsidR="00896075" w:rsidRDefault="00896075" w:rsidP="00896075">
      <w:pPr>
        <w:pStyle w:val="Heading3"/>
      </w:pPr>
      <w:r>
        <w:t>Sectoral and industry distribution</w:t>
      </w:r>
    </w:p>
    <w:p w:rsidR="00896075" w:rsidRDefault="00896075" w:rsidP="00896075">
      <w:pPr>
        <w:pStyle w:val="BodyText"/>
      </w:pPr>
      <w:r>
        <w:t>The Commission records the incidence of budgetary assistance by the initial benefiting industry, that is, the industry to which the assistance first accrues. Estimates are presented for 34 industry groupings, while four ‘unallocated’ categories are used for programs for which it has not been possible to confidently identify the initial benefiting industry or sector.</w:t>
      </w:r>
      <w:r w:rsidR="0028759F">
        <w:t xml:space="preserve"> </w:t>
      </w:r>
    </w:p>
    <w:p w:rsidR="00195128" w:rsidRDefault="00195128" w:rsidP="00195128">
      <w:pPr>
        <w:pStyle w:val="BodyText"/>
      </w:pPr>
      <w:r>
        <w:t>In 2012</w:t>
      </w:r>
      <w:r>
        <w:noBreakHyphen/>
        <w:t xml:space="preserve">13, most budgetary assistance was afforded through outlays for the primary production, mining and manufacturing sectors while for services, the majority of </w:t>
      </w:r>
      <w:r w:rsidR="00E32786">
        <w:t xml:space="preserve">budgetary </w:t>
      </w:r>
      <w:r>
        <w:t xml:space="preserve">assistance was provided through tax concessions. </w:t>
      </w:r>
    </w:p>
    <w:p w:rsidR="00606DFE" w:rsidRDefault="00896075" w:rsidP="00EE08FD">
      <w:pPr>
        <w:pStyle w:val="BodyText"/>
      </w:pPr>
      <w:r>
        <w:t>In 2012</w:t>
      </w:r>
      <w:r>
        <w:noBreakHyphen/>
        <w:t>13, the services sector is estimated to have received around 4</w:t>
      </w:r>
      <w:r w:rsidR="0051126B">
        <w:t>3</w:t>
      </w:r>
      <w:r>
        <w:t> per cent of estimated budgetary assistance</w:t>
      </w:r>
      <w:r w:rsidR="00180046">
        <w:t xml:space="preserve"> —</w:t>
      </w:r>
      <w:r>
        <w:t xml:space="preserve"> up from around 38 per cent in 2007</w:t>
      </w:r>
      <w:r>
        <w:noBreakHyphen/>
        <w:t>08 (figure </w:t>
      </w:r>
      <w:r w:rsidR="00E121B3">
        <w:t>4.4</w:t>
      </w:r>
      <w:r>
        <w:t xml:space="preserve">). The manufacturing and primary production sectors, which together contribute about </w:t>
      </w:r>
      <w:r w:rsidR="00C15657">
        <w:t>9</w:t>
      </w:r>
      <w:r>
        <w:t> per cent of value added, received around one third of total estimated budgetary assistance in 201</w:t>
      </w:r>
      <w:r w:rsidR="00EC5EF9">
        <w:t>2</w:t>
      </w:r>
      <w:r>
        <w:noBreakHyphen/>
        <w:t>1</w:t>
      </w:r>
      <w:r w:rsidR="00EC5EF9">
        <w:t>3</w:t>
      </w:r>
      <w:r>
        <w:t>, while the mining sector received relatively little measured budgetary assistance. While it has been practicable to assign an initial benefiting industry to over 80 per cent of budgetary assistance, the proportion not assigned to a benefiting industry has increased</w:t>
      </w:r>
      <w:r w:rsidR="0028759F">
        <w:t xml:space="preserve"> since 2007</w:t>
      </w:r>
      <w:r w:rsidR="0028759F">
        <w:noBreakHyphen/>
        <w:t>08</w:t>
      </w:r>
      <w:r>
        <w:t>.</w:t>
      </w:r>
    </w:p>
    <w:p w:rsidR="00EE08FD" w:rsidRDefault="00EE08FD" w:rsidP="00EE08FD">
      <w:pPr>
        <w:pStyle w:val="FigureTitle"/>
      </w:pPr>
      <w:r>
        <w:rPr>
          <w:b w:val="0"/>
        </w:rPr>
        <w:lastRenderedPageBreak/>
        <w:t xml:space="preserve">Figure </w:t>
      </w:r>
      <w:bookmarkStart w:id="11" w:name="OLE_LINK4"/>
      <w:r w:rsidR="00361E17">
        <w:rPr>
          <w:b w:val="0"/>
        </w:rPr>
        <w:t>4.</w:t>
      </w:r>
      <w:r w:rsidR="00000604">
        <w:rPr>
          <w:b w:val="0"/>
          <w:noProof/>
        </w:rPr>
        <w:t>4</w:t>
      </w:r>
      <w:bookmarkEnd w:id="11"/>
      <w:r>
        <w:tab/>
        <w:t>Budgetary assistance</w:t>
      </w:r>
      <w:r w:rsidR="00716C0B">
        <w:t xml:space="preserve"> and value added shares</w:t>
      </w:r>
      <w:r>
        <w:t xml:space="preserve"> by </w:t>
      </w:r>
      <w:r w:rsidR="00716C0B">
        <w:br/>
      </w:r>
      <w:r>
        <w:t>industry sector, 2007</w:t>
      </w:r>
      <w:r>
        <w:noBreakHyphen/>
        <w:t>08 and 2012</w:t>
      </w:r>
      <w:r>
        <w:noBreakHyphen/>
        <w:t>13</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4388"/>
        <w:gridCol w:w="4389"/>
      </w:tblGrid>
      <w:tr w:rsidR="00EE08FD" w:rsidTr="00C15576">
        <w:trPr>
          <w:trHeight w:val="267"/>
        </w:trPr>
        <w:tc>
          <w:tcPr>
            <w:tcW w:w="4388" w:type="dxa"/>
          </w:tcPr>
          <w:p w:rsidR="00EE08FD" w:rsidRPr="002F23BE" w:rsidRDefault="002F23BE" w:rsidP="00194D23">
            <w:pPr>
              <w:pStyle w:val="Figure"/>
              <w:spacing w:before="80" w:after="80"/>
              <w:rPr>
                <w:rFonts w:ascii="Arial" w:hAnsi="Arial" w:cs="Arial"/>
                <w:i/>
                <w:sz w:val="20"/>
              </w:rPr>
            </w:pPr>
            <w:r w:rsidRPr="002F23BE">
              <w:rPr>
                <w:rFonts w:ascii="Arial" w:hAnsi="Arial" w:cs="Arial"/>
                <w:i/>
                <w:sz w:val="20"/>
              </w:rPr>
              <w:t>2007-08</w:t>
            </w:r>
          </w:p>
        </w:tc>
        <w:tc>
          <w:tcPr>
            <w:tcW w:w="4389" w:type="dxa"/>
          </w:tcPr>
          <w:p w:rsidR="00EE08FD" w:rsidRPr="002F23BE" w:rsidRDefault="002F23BE" w:rsidP="00194D23">
            <w:pPr>
              <w:pStyle w:val="Figure"/>
              <w:spacing w:before="80" w:after="80"/>
              <w:rPr>
                <w:rFonts w:ascii="Arial" w:hAnsi="Arial" w:cs="Arial"/>
                <w:i/>
                <w:sz w:val="20"/>
              </w:rPr>
            </w:pPr>
            <w:r w:rsidRPr="002F23BE">
              <w:rPr>
                <w:rFonts w:ascii="Arial" w:hAnsi="Arial" w:cs="Arial"/>
                <w:i/>
                <w:sz w:val="20"/>
              </w:rPr>
              <w:t>2012-13</w:t>
            </w:r>
          </w:p>
        </w:tc>
      </w:tr>
      <w:tr w:rsidR="000810EA" w:rsidTr="00194D23">
        <w:tblPrEx>
          <w:tblCellMar>
            <w:left w:w="108" w:type="dxa"/>
            <w:right w:w="108" w:type="dxa"/>
          </w:tblCellMar>
        </w:tblPrEx>
        <w:trPr>
          <w:trHeight w:val="170"/>
        </w:trPr>
        <w:tc>
          <w:tcPr>
            <w:tcW w:w="8777" w:type="dxa"/>
            <w:gridSpan w:val="2"/>
          </w:tcPr>
          <w:p w:rsidR="000810EA" w:rsidRDefault="000810EA" w:rsidP="00194D23">
            <w:pPr>
              <w:pStyle w:val="TableColumnHeading"/>
              <w:spacing w:before="40" w:after="40"/>
              <w:jc w:val="center"/>
            </w:pPr>
            <w:r>
              <w:t>Budgetary assistance</w:t>
            </w:r>
          </w:p>
        </w:tc>
      </w:tr>
      <w:tr w:rsidR="00EE08FD" w:rsidTr="006A5E92">
        <w:tblPrEx>
          <w:tblCellMar>
            <w:left w:w="108" w:type="dxa"/>
            <w:right w:w="108" w:type="dxa"/>
          </w:tblCellMar>
        </w:tblPrEx>
        <w:trPr>
          <w:trHeight w:val="267"/>
        </w:trPr>
        <w:tc>
          <w:tcPr>
            <w:tcW w:w="4388" w:type="dxa"/>
          </w:tcPr>
          <w:p w:rsidR="00EE08FD" w:rsidRDefault="006A5E92" w:rsidP="00606DFE">
            <w:pPr>
              <w:pStyle w:val="Figure"/>
              <w:spacing w:before="80" w:after="80"/>
            </w:pPr>
            <w:r w:rsidRPr="006A5E92">
              <w:rPr>
                <w:noProof/>
              </w:rPr>
              <w:drawing>
                <wp:inline distT="0" distB="0" distL="0" distR="0" wp14:anchorId="78A64108" wp14:editId="1D19CF49">
                  <wp:extent cx="2736000" cy="3211435"/>
                  <wp:effectExtent l="0" t="0" r="7620" b="8255"/>
                  <wp:docPr id="33" name="Chart 33" descr="Figure 4.4. Budgetary assistance and value added shares by industry sector 2007-08 and 2012-13. This figure shows the shares of budgetary assistance and value added, according to industry sector, in 2007-08 and 2012-13. This figure is described in the surrounding text. "/>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c>
          <w:tcPr>
            <w:tcW w:w="4389" w:type="dxa"/>
          </w:tcPr>
          <w:p w:rsidR="00EE08FD" w:rsidRDefault="006A5E92" w:rsidP="00606DFE">
            <w:pPr>
              <w:pStyle w:val="Figure"/>
              <w:spacing w:before="80" w:after="80"/>
            </w:pPr>
            <w:r w:rsidRPr="006A5E92">
              <w:rPr>
                <w:noProof/>
              </w:rPr>
              <w:drawing>
                <wp:inline distT="0" distB="0" distL="0" distR="0" wp14:anchorId="5F87D5B7" wp14:editId="791EA3CB">
                  <wp:extent cx="2736000" cy="3229376"/>
                  <wp:effectExtent l="0" t="0" r="7620" b="0"/>
                  <wp:docPr id="34" name="Chart 34" descr="Figure 4.4. Budgetary assistance and value added shares by industry sector 2007-08 and 2012-13. This figure shows the shares of budgetary assistance and value added, according to industry sector, in 2007-08 and 2012-13. This figure is described in the surrounding text. "/>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r w:rsidR="000810EA" w:rsidRPr="000810EA" w:rsidTr="00EB0877">
        <w:tblPrEx>
          <w:tblCellMar>
            <w:left w:w="108" w:type="dxa"/>
            <w:right w:w="108" w:type="dxa"/>
          </w:tblCellMar>
        </w:tblPrEx>
        <w:trPr>
          <w:trHeight w:val="267"/>
        </w:trPr>
        <w:tc>
          <w:tcPr>
            <w:tcW w:w="8777" w:type="dxa"/>
            <w:gridSpan w:val="2"/>
          </w:tcPr>
          <w:p w:rsidR="000810EA" w:rsidRDefault="000810EA" w:rsidP="00C15657">
            <w:pPr>
              <w:pStyle w:val="TableColumnHeading"/>
              <w:spacing w:before="40" w:after="40"/>
              <w:jc w:val="center"/>
            </w:pPr>
            <w:r>
              <w:t>Industry value added (current prices)</w:t>
            </w:r>
          </w:p>
        </w:tc>
      </w:tr>
      <w:tr w:rsidR="00AE6029" w:rsidTr="006A5E92">
        <w:tblPrEx>
          <w:tblCellMar>
            <w:left w:w="108" w:type="dxa"/>
            <w:right w:w="108" w:type="dxa"/>
          </w:tblCellMar>
        </w:tblPrEx>
        <w:trPr>
          <w:trHeight w:val="267"/>
        </w:trPr>
        <w:tc>
          <w:tcPr>
            <w:tcW w:w="4388" w:type="dxa"/>
          </w:tcPr>
          <w:p w:rsidR="00AE6029" w:rsidRDefault="006A5E92" w:rsidP="00E52A5D">
            <w:pPr>
              <w:pStyle w:val="Figure"/>
              <w:tabs>
                <w:tab w:val="left" w:pos="2565"/>
              </w:tabs>
              <w:spacing w:before="80" w:after="80"/>
              <w:jc w:val="left"/>
              <w:rPr>
                <w:i/>
              </w:rPr>
            </w:pPr>
            <w:r w:rsidRPr="006A5E92">
              <w:rPr>
                <w:noProof/>
              </w:rPr>
              <w:drawing>
                <wp:inline distT="0" distB="0" distL="0" distR="0" wp14:anchorId="41AE0578" wp14:editId="4C14B68B">
                  <wp:extent cx="2736000" cy="3229376"/>
                  <wp:effectExtent l="0" t="0" r="7620" b="0"/>
                  <wp:docPr id="37" name="Chart 37" descr="Figure 4.4. Budgetary assistance and value added shares by industry sector 2007-08 and 2012-13. This figure shows the shares of budgetary assistance and value added, according to industry sector, in 2007-08 and 2012-13. This figure is described in the surrounding text. "/>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c>
          <w:tcPr>
            <w:tcW w:w="4389" w:type="dxa"/>
          </w:tcPr>
          <w:p w:rsidR="00AE6029" w:rsidRDefault="006A5E92" w:rsidP="00606DFE">
            <w:pPr>
              <w:pStyle w:val="Figure"/>
              <w:spacing w:before="80" w:after="80"/>
            </w:pPr>
            <w:r w:rsidRPr="006A5E92">
              <w:rPr>
                <w:noProof/>
              </w:rPr>
              <w:drawing>
                <wp:inline distT="0" distB="0" distL="0" distR="0" wp14:anchorId="1B2F8F5E" wp14:editId="0A9BB8A8">
                  <wp:extent cx="2736000" cy="3229376"/>
                  <wp:effectExtent l="0" t="0" r="7620" b="0"/>
                  <wp:docPr id="38" name="Chart 38" descr="Figure 4.4. Budgetary assistance and value added shares by industry sector 2007-08 and 2012-13. This figure shows the shares of budgetary assistance and value added, according to industry sector, in 2007-08 and 2012-13. This figure is described in the surrounding text. "/>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r>
    </w:tbl>
    <w:p w:rsidR="00EE08FD" w:rsidRDefault="00EE08FD" w:rsidP="00EE08FD">
      <w:pPr>
        <w:pStyle w:val="Source"/>
      </w:pPr>
      <w:r>
        <w:rPr>
          <w:i/>
        </w:rPr>
        <w:t>Source</w:t>
      </w:r>
      <w:r w:rsidR="004632AD">
        <w:rPr>
          <w:i/>
        </w:rPr>
        <w:t>s</w:t>
      </w:r>
      <w:r w:rsidRPr="00167F06">
        <w:t xml:space="preserve">: </w:t>
      </w:r>
      <w:r w:rsidR="00606DFE">
        <w:t xml:space="preserve">ABS (2013); </w:t>
      </w:r>
      <w:r>
        <w:t>Commission estimates.</w:t>
      </w:r>
    </w:p>
    <w:p w:rsidR="008F425C" w:rsidRDefault="008D7C1A" w:rsidP="00DA68BE">
      <w:pPr>
        <w:pStyle w:val="BodyText"/>
      </w:pPr>
      <w:r>
        <w:lastRenderedPageBreak/>
        <w:t xml:space="preserve">The three </w:t>
      </w:r>
      <w:r w:rsidR="00DA68BE">
        <w:t xml:space="preserve">industry groups </w:t>
      </w:r>
      <w:r w:rsidR="00472A17">
        <w:t xml:space="preserve">receiving the largest levels of budgetary assistance </w:t>
      </w:r>
      <w:r w:rsidR="00DA68BE">
        <w:t xml:space="preserve">accounted for around </w:t>
      </w:r>
      <w:r>
        <w:t xml:space="preserve">a quarter </w:t>
      </w:r>
      <w:r w:rsidR="00DA68BE">
        <w:t>of estimated budgetary assistance to industry in 2012</w:t>
      </w:r>
      <w:r w:rsidR="00DA68BE">
        <w:noBreakHyphen/>
        <w:t>13 (table </w:t>
      </w:r>
      <w:r w:rsidR="00E121B3">
        <w:t>4.4</w:t>
      </w:r>
      <w:r w:rsidR="00DA68BE">
        <w:t>).</w:t>
      </w:r>
    </w:p>
    <w:p w:rsidR="008F425C" w:rsidRDefault="008F425C" w:rsidP="008F425C">
      <w:pPr>
        <w:pStyle w:val="ListBullet"/>
      </w:pPr>
      <w:r>
        <w:t xml:space="preserve">Budgetary assistance was highest for the </w:t>
      </w:r>
      <w:r w:rsidRPr="008F425C">
        <w:rPr>
          <w:i/>
        </w:rPr>
        <w:t>Property, professional and administrative services</w:t>
      </w:r>
      <w:r>
        <w:t xml:space="preserve"> industry ($</w:t>
      </w:r>
      <w:r w:rsidR="0058677A">
        <w:t>6</w:t>
      </w:r>
      <w:r w:rsidR="00863130">
        <w:t>77.5</w:t>
      </w:r>
      <w:r w:rsidR="0058677A">
        <w:t> </w:t>
      </w:r>
      <w:r>
        <w:t>million)</w:t>
      </w:r>
      <w:r w:rsidR="00324AEC">
        <w:t xml:space="preserve"> consisting </w:t>
      </w:r>
      <w:r>
        <w:t xml:space="preserve">mainly of </w:t>
      </w:r>
      <w:r w:rsidR="00324AEC">
        <w:t xml:space="preserve">the </w:t>
      </w:r>
      <w:r>
        <w:t>R&amp;D tax concession programs and Small Business Capital Gains Tax concession measures;</w:t>
      </w:r>
    </w:p>
    <w:p w:rsidR="00DA68BE" w:rsidRDefault="00DA68BE" w:rsidP="00DA68BE">
      <w:pPr>
        <w:pStyle w:val="ListBullet"/>
      </w:pPr>
      <w:r w:rsidRPr="001811B6">
        <w:rPr>
          <w:i/>
        </w:rPr>
        <w:t>Financ</w:t>
      </w:r>
      <w:r>
        <w:rPr>
          <w:i/>
        </w:rPr>
        <w:t xml:space="preserve">ial </w:t>
      </w:r>
      <w:r w:rsidRPr="001811B6">
        <w:rPr>
          <w:i/>
        </w:rPr>
        <w:t xml:space="preserve">and </w:t>
      </w:r>
      <w:r>
        <w:rPr>
          <w:i/>
        </w:rPr>
        <w:t>insurance services</w:t>
      </w:r>
      <w:r>
        <w:t xml:space="preserve"> was the next highest recipient ($</w:t>
      </w:r>
      <w:r w:rsidR="0058677A">
        <w:t>6</w:t>
      </w:r>
      <w:r w:rsidR="00863130">
        <w:t>40.3</w:t>
      </w:r>
      <w:r>
        <w:t> million),</w:t>
      </w:r>
      <w:r w:rsidR="00324AEC">
        <w:t xml:space="preserve"> including </w:t>
      </w:r>
      <w:r>
        <w:t xml:space="preserve">the </w:t>
      </w:r>
      <w:r w:rsidR="007C2B74">
        <w:t xml:space="preserve">R&amp;D tax concession programs, </w:t>
      </w:r>
      <w:r w:rsidR="00A51E43">
        <w:t xml:space="preserve">Offshore Banking Unit Taxation Concession and </w:t>
      </w:r>
      <w:r>
        <w:t xml:space="preserve">the </w:t>
      </w:r>
      <w:r w:rsidRPr="00B23473">
        <w:t xml:space="preserve">Concessional </w:t>
      </w:r>
      <w:r>
        <w:t>R</w:t>
      </w:r>
      <w:r w:rsidRPr="00B23473">
        <w:t xml:space="preserve">ate of </w:t>
      </w:r>
      <w:r>
        <w:t>W</w:t>
      </w:r>
      <w:r w:rsidRPr="00B23473">
        <w:t xml:space="preserve">ithholding </w:t>
      </w:r>
      <w:r>
        <w:t>T</w:t>
      </w:r>
      <w:r w:rsidRPr="00B23473">
        <w:t>ax</w:t>
      </w:r>
      <w:r>
        <w:t xml:space="preserve"> c</w:t>
      </w:r>
      <w:r w:rsidR="007C2B74">
        <w:t>oncession</w:t>
      </w:r>
      <w:r>
        <w:t>.</w:t>
      </w:r>
      <w:r>
        <w:rPr>
          <w:rStyle w:val="FootnoteReference"/>
        </w:rPr>
        <w:footnoteReference w:id="3"/>
      </w:r>
    </w:p>
    <w:p w:rsidR="00AE4A49" w:rsidRDefault="00AE4A49" w:rsidP="00AE4A49">
      <w:pPr>
        <w:pStyle w:val="ListBullet"/>
      </w:pPr>
      <w:r>
        <w:rPr>
          <w:i/>
        </w:rPr>
        <w:t>Mining</w:t>
      </w:r>
      <w:r w:rsidRPr="000F2ECC">
        <w:t xml:space="preserve"> </w:t>
      </w:r>
      <w:r>
        <w:t>accounted for $</w:t>
      </w:r>
      <w:r w:rsidR="0082676A">
        <w:t>54</w:t>
      </w:r>
      <w:r w:rsidR="00435389">
        <w:t>6</w:t>
      </w:r>
      <w:r w:rsidR="0082676A">
        <w:t>.</w:t>
      </w:r>
      <w:r w:rsidR="00863130">
        <w:t>5</w:t>
      </w:r>
      <w:r>
        <w:t xml:space="preserve"> million, mainly in the form of R&amp;D tax concession programs and assistance </w:t>
      </w:r>
      <w:r w:rsidR="00A824B2">
        <w:t>through</w:t>
      </w:r>
      <w:r>
        <w:t xml:space="preserve"> CSIRO. </w:t>
      </w:r>
    </w:p>
    <w:p w:rsidR="00195128" w:rsidRDefault="0037264A" w:rsidP="00195128">
      <w:pPr>
        <w:pStyle w:val="BodyText"/>
      </w:pPr>
      <w:r w:rsidRPr="0037264A">
        <w:t xml:space="preserve">Although </w:t>
      </w:r>
      <w:r w:rsidR="008D7C1A" w:rsidRPr="008D7C1A">
        <w:rPr>
          <w:i/>
        </w:rPr>
        <w:t>Motor vehicles and parts</w:t>
      </w:r>
      <w:r w:rsidR="008D7C1A">
        <w:t xml:space="preserve"> was the fourth largest industry group accounting for $4</w:t>
      </w:r>
      <w:r w:rsidR="0082676A">
        <w:t>6</w:t>
      </w:r>
      <w:r w:rsidR="00863130">
        <w:t>1</w:t>
      </w:r>
      <w:r w:rsidR="0082676A">
        <w:t>.</w:t>
      </w:r>
      <w:r w:rsidR="00863130">
        <w:t>8</w:t>
      </w:r>
      <w:r w:rsidR="008D7C1A">
        <w:t> million in budgetary assistance in 2012</w:t>
      </w:r>
      <w:r w:rsidR="008D7C1A">
        <w:noBreakHyphen/>
        <w:t xml:space="preserve">13, it has the highest effective rate of assistance of all industry groups (see below). </w:t>
      </w:r>
    </w:p>
    <w:p w:rsidR="00D42BA5" w:rsidRDefault="00DA68BE" w:rsidP="00120072">
      <w:pPr>
        <w:pStyle w:val="BodyText"/>
      </w:pPr>
      <w:r>
        <w:t xml:space="preserve">Budgetary assistance not assigned to an industry sector is reported in the </w:t>
      </w:r>
      <w:r w:rsidRPr="00DB266B">
        <w:rPr>
          <w:i/>
        </w:rPr>
        <w:t>Unallocated other</w:t>
      </w:r>
      <w:r>
        <w:t xml:space="preserve"> category. That assistance accounted for around 1</w:t>
      </w:r>
      <w:r w:rsidR="0082676A">
        <w:t>5</w:t>
      </w:r>
      <w:r>
        <w:t> per cent of total estimated budgetary assistance in 201</w:t>
      </w:r>
      <w:r w:rsidR="0019756F">
        <w:t>2</w:t>
      </w:r>
      <w:r>
        <w:noBreakHyphen/>
        <w:t>1</w:t>
      </w:r>
      <w:r w:rsidR="0019756F">
        <w:t>3</w:t>
      </w:r>
      <w:r>
        <w:t xml:space="preserve">. The </w:t>
      </w:r>
      <w:r w:rsidR="00754222">
        <w:t xml:space="preserve">small business capital gains tax concessions </w:t>
      </w:r>
      <w:r>
        <w:t>($</w:t>
      </w:r>
      <w:r w:rsidR="00863130">
        <w:t>695</w:t>
      </w:r>
      <w:r>
        <w:t> million),</w:t>
      </w:r>
      <w:r w:rsidRPr="006F66B1">
        <w:t xml:space="preserve"> </w:t>
      </w:r>
      <w:r>
        <w:t>for which Industry allocation data is currently not available through taxation st</w:t>
      </w:r>
      <w:r w:rsidR="009E628D">
        <w:t>atistics, accounts for</w:t>
      </w:r>
      <w:r w:rsidR="00754222">
        <w:t xml:space="preserve"> over</w:t>
      </w:r>
      <w:r w:rsidR="009E628D">
        <w:t xml:space="preserve"> </w:t>
      </w:r>
      <w:r w:rsidR="00324AEC">
        <w:t xml:space="preserve">half </w:t>
      </w:r>
      <w:r w:rsidR="0076162E">
        <w:t>of</w:t>
      </w:r>
      <w:r>
        <w:t xml:space="preserve"> the category. Other budgetary assistance not classified to industry included </w:t>
      </w:r>
      <w:r w:rsidR="00754222">
        <w:t xml:space="preserve">the Small </w:t>
      </w:r>
      <w:r w:rsidR="009B0AEB">
        <w:t xml:space="preserve">Business </w:t>
      </w:r>
      <w:r w:rsidR="00754222">
        <w:t xml:space="preserve">and General Business Tax Break, </w:t>
      </w:r>
      <w:r w:rsidR="009E628D">
        <w:t xml:space="preserve">Austrade, </w:t>
      </w:r>
      <w:r w:rsidR="00754222">
        <w:t xml:space="preserve">and </w:t>
      </w:r>
      <w:r>
        <w:t>the TCF Corporate Wear Program.</w:t>
      </w:r>
      <w:r w:rsidR="006B6505">
        <w:t xml:space="preserve"> </w:t>
      </w:r>
    </w:p>
    <w:p w:rsidR="00D42BA5" w:rsidRDefault="00D42BA5">
      <w:pPr>
        <w:pStyle w:val="TableTitle"/>
      </w:pPr>
      <w:r>
        <w:rPr>
          <w:b w:val="0"/>
        </w:rPr>
        <w:lastRenderedPageBreak/>
        <w:t xml:space="preserve">Table </w:t>
      </w:r>
      <w:bookmarkStart w:id="12" w:name="OLE_LINK14"/>
      <w:r w:rsidR="00361E17">
        <w:rPr>
          <w:b w:val="0"/>
        </w:rPr>
        <w:t>4.</w:t>
      </w:r>
      <w:r w:rsidR="00000604">
        <w:rPr>
          <w:b w:val="0"/>
          <w:noProof/>
        </w:rPr>
        <w:t>4</w:t>
      </w:r>
      <w:bookmarkEnd w:id="12"/>
      <w:r>
        <w:tab/>
        <w:t>Budgetary assistance by industry grouping, 2012</w:t>
      </w:r>
      <w:r>
        <w:noBreakHyphen/>
        <w:t>13</w:t>
      </w:r>
    </w:p>
    <w:p w:rsidR="00D42BA5" w:rsidRDefault="00D42BA5">
      <w:pPr>
        <w:pStyle w:val="Subtitle"/>
      </w:pPr>
      <w:r>
        <w:t>$ million (nominal)</w:t>
      </w:r>
    </w:p>
    <w:tbl>
      <w:tblPr>
        <w:tblW w:w="5000" w:type="pct"/>
        <w:tblCellMar>
          <w:left w:w="0" w:type="dxa"/>
          <w:right w:w="0" w:type="dxa"/>
        </w:tblCellMar>
        <w:tblLook w:val="0000" w:firstRow="0" w:lastRow="0" w:firstColumn="0" w:lastColumn="0" w:noHBand="0" w:noVBand="0"/>
      </w:tblPr>
      <w:tblGrid>
        <w:gridCol w:w="4119"/>
        <w:gridCol w:w="1557"/>
        <w:gridCol w:w="1557"/>
        <w:gridCol w:w="1556"/>
      </w:tblGrid>
      <w:tr w:rsidR="008C3984" w:rsidTr="006D3C68">
        <w:tc>
          <w:tcPr>
            <w:tcW w:w="2343" w:type="pct"/>
            <w:tcBorders>
              <w:top w:val="single" w:sz="6" w:space="0" w:color="auto"/>
              <w:bottom w:val="single" w:sz="6" w:space="0" w:color="auto"/>
            </w:tcBorders>
            <w:shd w:val="clear" w:color="auto" w:fill="auto"/>
          </w:tcPr>
          <w:p w:rsidR="008C3984" w:rsidRDefault="008C3984" w:rsidP="009B0AEB">
            <w:pPr>
              <w:pStyle w:val="TableColumnHeading"/>
              <w:jc w:val="left"/>
            </w:pPr>
          </w:p>
        </w:tc>
        <w:tc>
          <w:tcPr>
            <w:tcW w:w="886" w:type="pct"/>
            <w:tcBorders>
              <w:top w:val="single" w:sz="6" w:space="0" w:color="auto"/>
              <w:bottom w:val="single" w:sz="6" w:space="0" w:color="auto"/>
            </w:tcBorders>
            <w:vAlign w:val="bottom"/>
          </w:tcPr>
          <w:p w:rsidR="008C3984" w:rsidRDefault="008C3984" w:rsidP="009B0AEB">
            <w:pPr>
              <w:pStyle w:val="TableColumnHeading"/>
            </w:pPr>
            <w:r>
              <w:t>Outlays</w:t>
            </w:r>
          </w:p>
        </w:tc>
        <w:tc>
          <w:tcPr>
            <w:tcW w:w="886" w:type="pct"/>
            <w:tcBorders>
              <w:top w:val="single" w:sz="6" w:space="0" w:color="auto"/>
              <w:bottom w:val="single" w:sz="6" w:space="0" w:color="auto"/>
            </w:tcBorders>
            <w:shd w:val="clear" w:color="auto" w:fill="auto"/>
            <w:vAlign w:val="bottom"/>
          </w:tcPr>
          <w:p w:rsidR="008C3984" w:rsidRDefault="008C3984" w:rsidP="009B0AEB">
            <w:pPr>
              <w:pStyle w:val="TableColumnHeading"/>
            </w:pPr>
            <w:r>
              <w:t>Tax concessions</w:t>
            </w:r>
          </w:p>
        </w:tc>
        <w:tc>
          <w:tcPr>
            <w:tcW w:w="885" w:type="pct"/>
            <w:tcBorders>
              <w:top w:val="single" w:sz="6" w:space="0" w:color="auto"/>
              <w:bottom w:val="single" w:sz="6" w:space="0" w:color="auto"/>
            </w:tcBorders>
            <w:shd w:val="clear" w:color="auto" w:fill="auto"/>
            <w:vAlign w:val="bottom"/>
          </w:tcPr>
          <w:p w:rsidR="008C3984" w:rsidRDefault="008C3984" w:rsidP="009B0AEB">
            <w:pPr>
              <w:pStyle w:val="TableColumnHeading"/>
              <w:ind w:right="28"/>
            </w:pPr>
            <w:r>
              <w:t>Total budgetary assistance</w:t>
            </w:r>
          </w:p>
        </w:tc>
      </w:tr>
      <w:tr w:rsidR="00863130" w:rsidRPr="009B0AEB" w:rsidTr="008B1657">
        <w:tc>
          <w:tcPr>
            <w:tcW w:w="2343" w:type="pct"/>
            <w:tcBorders>
              <w:top w:val="single" w:sz="6" w:space="0" w:color="auto"/>
            </w:tcBorders>
            <w:vAlign w:val="center"/>
          </w:tcPr>
          <w:p w:rsidR="00863130" w:rsidRPr="009B0AEB" w:rsidRDefault="00863130" w:rsidP="00857376">
            <w:pPr>
              <w:pStyle w:val="TableUnitsRow"/>
              <w:spacing w:before="0" w:after="40"/>
              <w:jc w:val="left"/>
              <w:rPr>
                <w:sz w:val="18"/>
                <w:szCs w:val="18"/>
              </w:rPr>
            </w:pPr>
            <w:r w:rsidRPr="009B0AEB">
              <w:rPr>
                <w:b/>
                <w:sz w:val="18"/>
                <w:szCs w:val="18"/>
              </w:rPr>
              <w:t>Primary production</w:t>
            </w:r>
          </w:p>
        </w:tc>
        <w:tc>
          <w:tcPr>
            <w:tcW w:w="886" w:type="pct"/>
            <w:tcBorders>
              <w:top w:val="single" w:sz="6" w:space="0" w:color="auto"/>
            </w:tcBorders>
          </w:tcPr>
          <w:p w:rsidR="00863130" w:rsidRPr="00863130" w:rsidRDefault="00863130" w:rsidP="003B6DAB">
            <w:pPr>
              <w:pStyle w:val="TableUnitsRow"/>
              <w:spacing w:before="0" w:after="40"/>
              <w:rPr>
                <w:b/>
                <w:sz w:val="18"/>
                <w:szCs w:val="18"/>
              </w:rPr>
            </w:pPr>
            <w:r w:rsidRPr="008B1657">
              <w:rPr>
                <w:b/>
                <w:sz w:val="18"/>
                <w:szCs w:val="18"/>
              </w:rPr>
              <w:t>762.7</w:t>
            </w:r>
          </w:p>
        </w:tc>
        <w:tc>
          <w:tcPr>
            <w:tcW w:w="886" w:type="pct"/>
            <w:tcBorders>
              <w:top w:val="single" w:sz="6" w:space="0" w:color="auto"/>
            </w:tcBorders>
          </w:tcPr>
          <w:p w:rsidR="00863130" w:rsidRPr="00863130" w:rsidRDefault="00863130" w:rsidP="00857376">
            <w:pPr>
              <w:pStyle w:val="TableUnitsRow"/>
              <w:spacing w:before="0" w:after="40"/>
              <w:rPr>
                <w:b/>
                <w:sz w:val="18"/>
                <w:szCs w:val="18"/>
              </w:rPr>
            </w:pPr>
            <w:r w:rsidRPr="008B1657">
              <w:rPr>
                <w:b/>
                <w:sz w:val="18"/>
                <w:szCs w:val="18"/>
              </w:rPr>
              <w:t>370.0</w:t>
            </w:r>
          </w:p>
        </w:tc>
        <w:tc>
          <w:tcPr>
            <w:tcW w:w="885" w:type="pct"/>
            <w:tcBorders>
              <w:top w:val="single" w:sz="6" w:space="0" w:color="auto"/>
            </w:tcBorders>
          </w:tcPr>
          <w:p w:rsidR="00863130" w:rsidRPr="00863130" w:rsidRDefault="00863130" w:rsidP="00857376">
            <w:pPr>
              <w:pStyle w:val="TableUnitsRow"/>
              <w:spacing w:before="0" w:after="40"/>
              <w:rPr>
                <w:b/>
                <w:sz w:val="18"/>
                <w:szCs w:val="18"/>
              </w:rPr>
            </w:pPr>
            <w:r w:rsidRPr="008B1657">
              <w:rPr>
                <w:b/>
                <w:sz w:val="18"/>
                <w:szCs w:val="18"/>
              </w:rPr>
              <w:t>1132.7</w:t>
            </w:r>
          </w:p>
        </w:tc>
      </w:tr>
      <w:tr w:rsidR="00863130" w:rsidRPr="009B0AEB" w:rsidTr="0082676A">
        <w:tc>
          <w:tcPr>
            <w:tcW w:w="2343" w:type="pct"/>
            <w:vAlign w:val="center"/>
          </w:tcPr>
          <w:p w:rsidR="00863130" w:rsidRPr="009B0AEB" w:rsidRDefault="00863130" w:rsidP="00897C19">
            <w:pPr>
              <w:pStyle w:val="TableBodyText"/>
              <w:spacing w:after="20"/>
              <w:jc w:val="left"/>
              <w:rPr>
                <w:sz w:val="18"/>
                <w:szCs w:val="18"/>
              </w:rPr>
            </w:pPr>
            <w:r w:rsidRPr="009B0AEB">
              <w:rPr>
                <w:sz w:val="18"/>
                <w:szCs w:val="18"/>
              </w:rPr>
              <w:t>Horticulture and fruit growing</w:t>
            </w:r>
          </w:p>
        </w:tc>
        <w:tc>
          <w:tcPr>
            <w:tcW w:w="886" w:type="pct"/>
          </w:tcPr>
          <w:p w:rsidR="00863130" w:rsidRPr="00863130" w:rsidRDefault="00863130" w:rsidP="003B6DAB">
            <w:pPr>
              <w:pStyle w:val="TableBodyText"/>
              <w:rPr>
                <w:sz w:val="18"/>
                <w:szCs w:val="18"/>
              </w:rPr>
            </w:pPr>
            <w:r w:rsidRPr="008B1657">
              <w:rPr>
                <w:sz w:val="18"/>
                <w:szCs w:val="18"/>
              </w:rPr>
              <w:t>82.9</w:t>
            </w:r>
          </w:p>
        </w:tc>
        <w:tc>
          <w:tcPr>
            <w:tcW w:w="886" w:type="pct"/>
          </w:tcPr>
          <w:p w:rsidR="00863130" w:rsidRPr="00863130" w:rsidRDefault="00863130" w:rsidP="003B6DAB">
            <w:pPr>
              <w:pStyle w:val="TableBodyText"/>
              <w:rPr>
                <w:sz w:val="18"/>
                <w:szCs w:val="18"/>
              </w:rPr>
            </w:pPr>
            <w:r w:rsidRPr="008B1657">
              <w:rPr>
                <w:sz w:val="18"/>
                <w:szCs w:val="18"/>
              </w:rPr>
              <w:t>43.0</w:t>
            </w:r>
          </w:p>
        </w:tc>
        <w:tc>
          <w:tcPr>
            <w:tcW w:w="885" w:type="pct"/>
          </w:tcPr>
          <w:p w:rsidR="00863130" w:rsidRPr="00863130" w:rsidRDefault="00863130" w:rsidP="003B6DAB">
            <w:pPr>
              <w:pStyle w:val="TableBodyText"/>
              <w:rPr>
                <w:sz w:val="18"/>
                <w:szCs w:val="18"/>
              </w:rPr>
            </w:pPr>
            <w:r w:rsidRPr="008B1657">
              <w:rPr>
                <w:sz w:val="18"/>
                <w:szCs w:val="18"/>
              </w:rPr>
              <w:t>125.9</w:t>
            </w:r>
          </w:p>
        </w:tc>
      </w:tr>
      <w:tr w:rsidR="00863130" w:rsidRPr="009B0AEB" w:rsidTr="0082676A">
        <w:tc>
          <w:tcPr>
            <w:tcW w:w="2343" w:type="pct"/>
            <w:vAlign w:val="center"/>
          </w:tcPr>
          <w:p w:rsidR="00863130" w:rsidRPr="009B0AEB" w:rsidRDefault="00863130" w:rsidP="00897C19">
            <w:pPr>
              <w:pStyle w:val="TableBodyText"/>
              <w:spacing w:after="20"/>
              <w:jc w:val="left"/>
              <w:rPr>
                <w:sz w:val="18"/>
                <w:szCs w:val="18"/>
              </w:rPr>
            </w:pPr>
            <w:r w:rsidRPr="009B0AEB">
              <w:rPr>
                <w:sz w:val="18"/>
                <w:szCs w:val="18"/>
              </w:rPr>
              <w:t>Sheep, beef cattle and grain farming</w:t>
            </w:r>
          </w:p>
        </w:tc>
        <w:tc>
          <w:tcPr>
            <w:tcW w:w="886" w:type="pct"/>
          </w:tcPr>
          <w:p w:rsidR="00863130" w:rsidRPr="00863130" w:rsidRDefault="00863130" w:rsidP="003B6DAB">
            <w:pPr>
              <w:pStyle w:val="TableBodyText"/>
              <w:rPr>
                <w:sz w:val="18"/>
                <w:szCs w:val="18"/>
              </w:rPr>
            </w:pPr>
            <w:r w:rsidRPr="008B1657">
              <w:rPr>
                <w:sz w:val="18"/>
                <w:szCs w:val="18"/>
              </w:rPr>
              <w:t>216.3</w:t>
            </w:r>
          </w:p>
        </w:tc>
        <w:tc>
          <w:tcPr>
            <w:tcW w:w="886" w:type="pct"/>
          </w:tcPr>
          <w:p w:rsidR="00863130" w:rsidRPr="00863130" w:rsidRDefault="00863130" w:rsidP="003B6DAB">
            <w:pPr>
              <w:pStyle w:val="TableBodyText"/>
              <w:rPr>
                <w:sz w:val="18"/>
                <w:szCs w:val="18"/>
              </w:rPr>
            </w:pPr>
            <w:r w:rsidRPr="008B1657">
              <w:rPr>
                <w:sz w:val="18"/>
                <w:szCs w:val="18"/>
              </w:rPr>
              <w:t>237.6</w:t>
            </w:r>
          </w:p>
        </w:tc>
        <w:tc>
          <w:tcPr>
            <w:tcW w:w="885" w:type="pct"/>
          </w:tcPr>
          <w:p w:rsidR="00863130" w:rsidRPr="00863130" w:rsidRDefault="00863130" w:rsidP="003B6DAB">
            <w:pPr>
              <w:pStyle w:val="TableBodyText"/>
              <w:rPr>
                <w:sz w:val="18"/>
                <w:szCs w:val="18"/>
              </w:rPr>
            </w:pPr>
            <w:r w:rsidRPr="008B1657">
              <w:rPr>
                <w:sz w:val="18"/>
                <w:szCs w:val="18"/>
              </w:rPr>
              <w:t>454.0</w:t>
            </w:r>
          </w:p>
        </w:tc>
      </w:tr>
      <w:tr w:rsidR="00863130" w:rsidRPr="009B0AEB" w:rsidTr="0082676A">
        <w:tc>
          <w:tcPr>
            <w:tcW w:w="2343" w:type="pct"/>
            <w:vAlign w:val="center"/>
          </w:tcPr>
          <w:p w:rsidR="00863130" w:rsidRPr="009B0AEB" w:rsidRDefault="00863130" w:rsidP="00897C19">
            <w:pPr>
              <w:pStyle w:val="TableBodyText"/>
              <w:spacing w:after="20"/>
              <w:jc w:val="left"/>
              <w:rPr>
                <w:sz w:val="18"/>
                <w:szCs w:val="18"/>
              </w:rPr>
            </w:pPr>
            <w:r w:rsidRPr="009B0AEB">
              <w:rPr>
                <w:sz w:val="18"/>
                <w:szCs w:val="18"/>
              </w:rPr>
              <w:t>Other crop growing</w:t>
            </w:r>
          </w:p>
        </w:tc>
        <w:tc>
          <w:tcPr>
            <w:tcW w:w="886" w:type="pct"/>
          </w:tcPr>
          <w:p w:rsidR="00863130" w:rsidRPr="00863130" w:rsidRDefault="00863130" w:rsidP="003B6DAB">
            <w:pPr>
              <w:pStyle w:val="TableBodyText"/>
              <w:rPr>
                <w:sz w:val="18"/>
                <w:szCs w:val="18"/>
              </w:rPr>
            </w:pPr>
            <w:r w:rsidRPr="008B1657">
              <w:rPr>
                <w:sz w:val="18"/>
                <w:szCs w:val="18"/>
              </w:rPr>
              <w:t>41.7</w:t>
            </w:r>
          </w:p>
        </w:tc>
        <w:tc>
          <w:tcPr>
            <w:tcW w:w="886" w:type="pct"/>
          </w:tcPr>
          <w:p w:rsidR="00863130" w:rsidRPr="00863130" w:rsidRDefault="00863130" w:rsidP="003B6DAB">
            <w:pPr>
              <w:pStyle w:val="TableBodyText"/>
              <w:rPr>
                <w:sz w:val="18"/>
                <w:szCs w:val="18"/>
              </w:rPr>
            </w:pPr>
            <w:r w:rsidRPr="008B1657">
              <w:rPr>
                <w:sz w:val="18"/>
                <w:szCs w:val="18"/>
              </w:rPr>
              <w:t>19.2</w:t>
            </w:r>
          </w:p>
        </w:tc>
        <w:tc>
          <w:tcPr>
            <w:tcW w:w="885" w:type="pct"/>
          </w:tcPr>
          <w:p w:rsidR="00863130" w:rsidRPr="00863130" w:rsidRDefault="00863130" w:rsidP="003B6DAB">
            <w:pPr>
              <w:pStyle w:val="TableBodyText"/>
              <w:rPr>
                <w:sz w:val="18"/>
                <w:szCs w:val="18"/>
              </w:rPr>
            </w:pPr>
            <w:r w:rsidRPr="008B1657">
              <w:rPr>
                <w:sz w:val="18"/>
                <w:szCs w:val="18"/>
              </w:rPr>
              <w:t>60.9</w:t>
            </w:r>
          </w:p>
        </w:tc>
      </w:tr>
      <w:tr w:rsidR="00863130" w:rsidRPr="009B0AEB" w:rsidTr="0082676A">
        <w:tc>
          <w:tcPr>
            <w:tcW w:w="2343" w:type="pct"/>
            <w:vAlign w:val="center"/>
          </w:tcPr>
          <w:p w:rsidR="00863130" w:rsidRPr="009B0AEB" w:rsidRDefault="00863130" w:rsidP="00897C19">
            <w:pPr>
              <w:pStyle w:val="TableBodyText"/>
              <w:spacing w:after="20"/>
              <w:jc w:val="left"/>
              <w:rPr>
                <w:sz w:val="18"/>
                <w:szCs w:val="18"/>
              </w:rPr>
            </w:pPr>
            <w:r w:rsidRPr="009B0AEB">
              <w:rPr>
                <w:sz w:val="18"/>
                <w:szCs w:val="18"/>
              </w:rPr>
              <w:t>Dairy cattle farming</w:t>
            </w:r>
          </w:p>
        </w:tc>
        <w:tc>
          <w:tcPr>
            <w:tcW w:w="886" w:type="pct"/>
          </w:tcPr>
          <w:p w:rsidR="00863130" w:rsidRPr="00863130" w:rsidRDefault="00863130" w:rsidP="003B6DAB">
            <w:pPr>
              <w:pStyle w:val="TableBodyText"/>
              <w:rPr>
                <w:sz w:val="18"/>
                <w:szCs w:val="18"/>
              </w:rPr>
            </w:pPr>
            <w:r w:rsidRPr="008B1657">
              <w:rPr>
                <w:sz w:val="18"/>
                <w:szCs w:val="18"/>
              </w:rPr>
              <w:t>26.8</w:t>
            </w:r>
          </w:p>
        </w:tc>
        <w:tc>
          <w:tcPr>
            <w:tcW w:w="886" w:type="pct"/>
          </w:tcPr>
          <w:p w:rsidR="00863130" w:rsidRPr="00863130" w:rsidRDefault="00863130" w:rsidP="003B6DAB">
            <w:pPr>
              <w:pStyle w:val="TableBodyText"/>
              <w:rPr>
                <w:sz w:val="18"/>
                <w:szCs w:val="18"/>
              </w:rPr>
            </w:pPr>
            <w:r w:rsidRPr="008B1657">
              <w:rPr>
                <w:sz w:val="18"/>
                <w:szCs w:val="18"/>
              </w:rPr>
              <w:t>23.1</w:t>
            </w:r>
          </w:p>
        </w:tc>
        <w:tc>
          <w:tcPr>
            <w:tcW w:w="885" w:type="pct"/>
          </w:tcPr>
          <w:p w:rsidR="00863130" w:rsidRPr="00863130" w:rsidRDefault="00863130" w:rsidP="003B6DAB">
            <w:pPr>
              <w:pStyle w:val="TableBodyText"/>
              <w:rPr>
                <w:sz w:val="18"/>
                <w:szCs w:val="18"/>
              </w:rPr>
            </w:pPr>
            <w:r w:rsidRPr="008B1657">
              <w:rPr>
                <w:sz w:val="18"/>
                <w:szCs w:val="18"/>
              </w:rPr>
              <w:t>49.9</w:t>
            </w:r>
          </w:p>
        </w:tc>
      </w:tr>
      <w:tr w:rsidR="00863130" w:rsidRPr="009B0AEB" w:rsidTr="0082676A">
        <w:tc>
          <w:tcPr>
            <w:tcW w:w="2343" w:type="pct"/>
            <w:vAlign w:val="center"/>
          </w:tcPr>
          <w:p w:rsidR="00863130" w:rsidRPr="009B0AEB" w:rsidRDefault="00863130" w:rsidP="00897C19">
            <w:pPr>
              <w:pStyle w:val="TableBodyText"/>
              <w:spacing w:after="20"/>
              <w:jc w:val="left"/>
              <w:rPr>
                <w:sz w:val="18"/>
                <w:szCs w:val="18"/>
              </w:rPr>
            </w:pPr>
            <w:r w:rsidRPr="009B0AEB">
              <w:rPr>
                <w:sz w:val="18"/>
                <w:szCs w:val="18"/>
              </w:rPr>
              <w:t>Other livestock farming</w:t>
            </w:r>
          </w:p>
        </w:tc>
        <w:tc>
          <w:tcPr>
            <w:tcW w:w="886" w:type="pct"/>
          </w:tcPr>
          <w:p w:rsidR="00863130" w:rsidRPr="00863130" w:rsidRDefault="00863130" w:rsidP="003B6DAB">
            <w:pPr>
              <w:pStyle w:val="TableBodyText"/>
              <w:rPr>
                <w:sz w:val="18"/>
                <w:szCs w:val="18"/>
              </w:rPr>
            </w:pPr>
            <w:r w:rsidRPr="008B1657">
              <w:rPr>
                <w:sz w:val="18"/>
                <w:szCs w:val="18"/>
              </w:rPr>
              <w:t>22.1</w:t>
            </w:r>
          </w:p>
        </w:tc>
        <w:tc>
          <w:tcPr>
            <w:tcW w:w="886" w:type="pct"/>
          </w:tcPr>
          <w:p w:rsidR="00863130" w:rsidRPr="00863130" w:rsidRDefault="00863130" w:rsidP="003B6DAB">
            <w:pPr>
              <w:pStyle w:val="TableBodyText"/>
              <w:rPr>
                <w:sz w:val="18"/>
                <w:szCs w:val="18"/>
              </w:rPr>
            </w:pPr>
            <w:r w:rsidRPr="008B1657">
              <w:rPr>
                <w:sz w:val="18"/>
                <w:szCs w:val="18"/>
              </w:rPr>
              <w:t>15.2</w:t>
            </w:r>
          </w:p>
        </w:tc>
        <w:tc>
          <w:tcPr>
            <w:tcW w:w="885" w:type="pct"/>
          </w:tcPr>
          <w:p w:rsidR="00863130" w:rsidRPr="00863130" w:rsidRDefault="00863130" w:rsidP="003B6DAB">
            <w:pPr>
              <w:pStyle w:val="TableBodyText"/>
              <w:rPr>
                <w:sz w:val="18"/>
                <w:szCs w:val="18"/>
              </w:rPr>
            </w:pPr>
            <w:r w:rsidRPr="008B1657">
              <w:rPr>
                <w:sz w:val="18"/>
                <w:szCs w:val="18"/>
              </w:rPr>
              <w:t>37.3</w:t>
            </w:r>
          </w:p>
        </w:tc>
      </w:tr>
      <w:tr w:rsidR="00863130" w:rsidRPr="009B0AEB" w:rsidTr="0082676A">
        <w:tc>
          <w:tcPr>
            <w:tcW w:w="2343" w:type="pct"/>
            <w:vAlign w:val="center"/>
          </w:tcPr>
          <w:p w:rsidR="00863130" w:rsidRPr="009B0AEB" w:rsidRDefault="00863130" w:rsidP="00897C19">
            <w:pPr>
              <w:pStyle w:val="TableBodyText"/>
              <w:spacing w:after="20"/>
              <w:jc w:val="left"/>
              <w:rPr>
                <w:sz w:val="18"/>
                <w:szCs w:val="18"/>
              </w:rPr>
            </w:pPr>
            <w:r w:rsidRPr="009B0AEB">
              <w:rPr>
                <w:sz w:val="18"/>
                <w:szCs w:val="18"/>
              </w:rPr>
              <w:t>Aquaculture and fishing</w:t>
            </w:r>
            <w:r w:rsidRPr="009B0AEB">
              <w:rPr>
                <w:rStyle w:val="NoteLabel"/>
                <w:szCs w:val="18"/>
              </w:rPr>
              <w:t>a</w:t>
            </w:r>
          </w:p>
        </w:tc>
        <w:tc>
          <w:tcPr>
            <w:tcW w:w="886" w:type="pct"/>
          </w:tcPr>
          <w:p w:rsidR="00863130" w:rsidRPr="00863130" w:rsidRDefault="00863130" w:rsidP="003B6DAB">
            <w:pPr>
              <w:pStyle w:val="TableBodyText"/>
              <w:rPr>
                <w:sz w:val="18"/>
                <w:szCs w:val="18"/>
              </w:rPr>
            </w:pPr>
            <w:r w:rsidRPr="008B1657">
              <w:rPr>
                <w:sz w:val="18"/>
                <w:szCs w:val="18"/>
              </w:rPr>
              <w:t>62.4</w:t>
            </w:r>
          </w:p>
        </w:tc>
        <w:tc>
          <w:tcPr>
            <w:tcW w:w="886" w:type="pct"/>
          </w:tcPr>
          <w:p w:rsidR="00863130" w:rsidRPr="00863130" w:rsidRDefault="00863130" w:rsidP="003B6DAB">
            <w:pPr>
              <w:pStyle w:val="TableBodyText"/>
              <w:rPr>
                <w:sz w:val="18"/>
                <w:szCs w:val="18"/>
              </w:rPr>
            </w:pPr>
            <w:r w:rsidRPr="008B1657">
              <w:rPr>
                <w:sz w:val="18"/>
                <w:szCs w:val="18"/>
              </w:rPr>
              <w:t>9.2</w:t>
            </w:r>
          </w:p>
        </w:tc>
        <w:tc>
          <w:tcPr>
            <w:tcW w:w="885" w:type="pct"/>
          </w:tcPr>
          <w:p w:rsidR="00863130" w:rsidRPr="00863130" w:rsidRDefault="00863130" w:rsidP="003B6DAB">
            <w:pPr>
              <w:pStyle w:val="TableBodyText"/>
              <w:rPr>
                <w:sz w:val="18"/>
                <w:szCs w:val="18"/>
              </w:rPr>
            </w:pPr>
            <w:r w:rsidRPr="008B1657">
              <w:rPr>
                <w:sz w:val="18"/>
                <w:szCs w:val="18"/>
              </w:rPr>
              <w:t>71.6</w:t>
            </w:r>
          </w:p>
        </w:tc>
      </w:tr>
      <w:tr w:rsidR="00863130" w:rsidRPr="009B0AEB" w:rsidTr="0082676A">
        <w:tc>
          <w:tcPr>
            <w:tcW w:w="2343" w:type="pct"/>
            <w:vAlign w:val="center"/>
          </w:tcPr>
          <w:p w:rsidR="00863130" w:rsidRPr="009B0AEB" w:rsidRDefault="00863130" w:rsidP="00897C19">
            <w:pPr>
              <w:pStyle w:val="TableBodyText"/>
              <w:spacing w:after="20"/>
              <w:jc w:val="left"/>
              <w:rPr>
                <w:sz w:val="18"/>
                <w:szCs w:val="18"/>
              </w:rPr>
            </w:pPr>
            <w:r w:rsidRPr="009B0AEB">
              <w:rPr>
                <w:sz w:val="18"/>
                <w:szCs w:val="18"/>
              </w:rPr>
              <w:t>Forestry and logging</w:t>
            </w:r>
          </w:p>
        </w:tc>
        <w:tc>
          <w:tcPr>
            <w:tcW w:w="886" w:type="pct"/>
          </w:tcPr>
          <w:p w:rsidR="00863130" w:rsidRPr="00863130" w:rsidRDefault="00863130" w:rsidP="003B6DAB">
            <w:pPr>
              <w:pStyle w:val="TableBodyText"/>
              <w:rPr>
                <w:sz w:val="18"/>
                <w:szCs w:val="18"/>
              </w:rPr>
            </w:pPr>
            <w:r w:rsidRPr="008B1657">
              <w:rPr>
                <w:sz w:val="18"/>
                <w:szCs w:val="18"/>
              </w:rPr>
              <w:t>35.2</w:t>
            </w:r>
          </w:p>
        </w:tc>
        <w:tc>
          <w:tcPr>
            <w:tcW w:w="886" w:type="pct"/>
          </w:tcPr>
          <w:p w:rsidR="00863130" w:rsidRPr="00863130" w:rsidRDefault="00863130" w:rsidP="003B6DAB">
            <w:pPr>
              <w:pStyle w:val="TableBodyText"/>
              <w:rPr>
                <w:sz w:val="18"/>
                <w:szCs w:val="18"/>
              </w:rPr>
            </w:pPr>
            <w:r w:rsidRPr="008B1657">
              <w:rPr>
                <w:sz w:val="18"/>
                <w:szCs w:val="18"/>
              </w:rPr>
              <w:t>8.6</w:t>
            </w:r>
          </w:p>
        </w:tc>
        <w:tc>
          <w:tcPr>
            <w:tcW w:w="885" w:type="pct"/>
          </w:tcPr>
          <w:p w:rsidR="00863130" w:rsidRPr="00863130" w:rsidRDefault="00863130" w:rsidP="003B6DAB">
            <w:pPr>
              <w:pStyle w:val="TableBodyText"/>
              <w:rPr>
                <w:sz w:val="18"/>
                <w:szCs w:val="18"/>
              </w:rPr>
            </w:pPr>
            <w:r w:rsidRPr="008B1657">
              <w:rPr>
                <w:sz w:val="18"/>
                <w:szCs w:val="18"/>
              </w:rPr>
              <w:t>43.8</w:t>
            </w:r>
          </w:p>
        </w:tc>
      </w:tr>
      <w:tr w:rsidR="00863130" w:rsidRPr="009B0AEB" w:rsidTr="0082676A">
        <w:tc>
          <w:tcPr>
            <w:tcW w:w="2343" w:type="pct"/>
            <w:vAlign w:val="center"/>
          </w:tcPr>
          <w:p w:rsidR="00863130" w:rsidRPr="009B0AEB" w:rsidRDefault="00863130" w:rsidP="00897C19">
            <w:pPr>
              <w:pStyle w:val="TableBodyText"/>
              <w:spacing w:after="20"/>
              <w:jc w:val="left"/>
              <w:rPr>
                <w:sz w:val="18"/>
                <w:szCs w:val="18"/>
              </w:rPr>
            </w:pPr>
            <w:r w:rsidRPr="009B0AEB">
              <w:rPr>
                <w:sz w:val="18"/>
                <w:szCs w:val="18"/>
              </w:rPr>
              <w:t>Primary production support services</w:t>
            </w:r>
          </w:p>
        </w:tc>
        <w:tc>
          <w:tcPr>
            <w:tcW w:w="886" w:type="pct"/>
          </w:tcPr>
          <w:p w:rsidR="00863130" w:rsidRPr="00863130" w:rsidRDefault="00863130" w:rsidP="003B6DAB">
            <w:pPr>
              <w:pStyle w:val="TableBodyText"/>
              <w:rPr>
                <w:sz w:val="18"/>
                <w:szCs w:val="18"/>
              </w:rPr>
            </w:pPr>
            <w:r w:rsidRPr="008B1657">
              <w:rPr>
                <w:sz w:val="18"/>
                <w:szCs w:val="18"/>
              </w:rPr>
              <w:t>6.2</w:t>
            </w:r>
          </w:p>
        </w:tc>
        <w:tc>
          <w:tcPr>
            <w:tcW w:w="886" w:type="pct"/>
          </w:tcPr>
          <w:p w:rsidR="00863130" w:rsidRPr="00863130" w:rsidRDefault="00863130" w:rsidP="003B6DAB">
            <w:pPr>
              <w:pStyle w:val="TableBodyText"/>
              <w:rPr>
                <w:sz w:val="18"/>
                <w:szCs w:val="18"/>
              </w:rPr>
            </w:pPr>
            <w:r w:rsidRPr="008B1657">
              <w:rPr>
                <w:sz w:val="18"/>
                <w:szCs w:val="18"/>
              </w:rPr>
              <w:t>9.3</w:t>
            </w:r>
          </w:p>
        </w:tc>
        <w:tc>
          <w:tcPr>
            <w:tcW w:w="885" w:type="pct"/>
          </w:tcPr>
          <w:p w:rsidR="00863130" w:rsidRPr="00863130" w:rsidRDefault="00863130" w:rsidP="003B6DAB">
            <w:pPr>
              <w:pStyle w:val="TableBodyText"/>
              <w:rPr>
                <w:sz w:val="18"/>
                <w:szCs w:val="18"/>
              </w:rPr>
            </w:pPr>
            <w:r w:rsidRPr="008B1657">
              <w:rPr>
                <w:sz w:val="18"/>
                <w:szCs w:val="18"/>
              </w:rPr>
              <w:t>15.5</w:t>
            </w:r>
          </w:p>
        </w:tc>
      </w:tr>
      <w:tr w:rsidR="00863130" w:rsidRPr="009B0AEB" w:rsidTr="0082676A">
        <w:tc>
          <w:tcPr>
            <w:tcW w:w="2343" w:type="pct"/>
            <w:vAlign w:val="center"/>
          </w:tcPr>
          <w:p w:rsidR="00863130" w:rsidRPr="009B0AEB" w:rsidRDefault="00863130" w:rsidP="00897C19">
            <w:pPr>
              <w:pStyle w:val="TableBodyText"/>
              <w:spacing w:after="20"/>
              <w:jc w:val="left"/>
              <w:rPr>
                <w:sz w:val="18"/>
                <w:szCs w:val="18"/>
              </w:rPr>
            </w:pPr>
            <w:r w:rsidRPr="009B0AEB">
              <w:rPr>
                <w:sz w:val="18"/>
                <w:szCs w:val="18"/>
              </w:rPr>
              <w:t>Unallocated primary production</w:t>
            </w:r>
            <w:r w:rsidRPr="009B0AEB">
              <w:rPr>
                <w:rStyle w:val="NoteLabel"/>
                <w:szCs w:val="18"/>
              </w:rPr>
              <w:t>b</w:t>
            </w:r>
          </w:p>
        </w:tc>
        <w:tc>
          <w:tcPr>
            <w:tcW w:w="886" w:type="pct"/>
          </w:tcPr>
          <w:p w:rsidR="00863130" w:rsidRPr="00863130" w:rsidRDefault="00863130" w:rsidP="003B6DAB">
            <w:pPr>
              <w:pStyle w:val="TableBodyText"/>
              <w:rPr>
                <w:sz w:val="18"/>
                <w:szCs w:val="18"/>
              </w:rPr>
            </w:pPr>
            <w:r w:rsidRPr="008B1657">
              <w:rPr>
                <w:sz w:val="18"/>
                <w:szCs w:val="18"/>
              </w:rPr>
              <w:t>269.1</w:t>
            </w:r>
          </w:p>
        </w:tc>
        <w:tc>
          <w:tcPr>
            <w:tcW w:w="886" w:type="pct"/>
          </w:tcPr>
          <w:p w:rsidR="00863130" w:rsidRPr="00863130" w:rsidRDefault="00863130" w:rsidP="003B6DAB">
            <w:pPr>
              <w:pStyle w:val="TableBodyText"/>
              <w:rPr>
                <w:sz w:val="18"/>
                <w:szCs w:val="18"/>
              </w:rPr>
            </w:pPr>
            <w:r w:rsidRPr="008B1657">
              <w:rPr>
                <w:sz w:val="18"/>
                <w:szCs w:val="18"/>
              </w:rPr>
              <w:t>4.8</w:t>
            </w:r>
          </w:p>
        </w:tc>
        <w:tc>
          <w:tcPr>
            <w:tcW w:w="885" w:type="pct"/>
          </w:tcPr>
          <w:p w:rsidR="00863130" w:rsidRPr="00863130" w:rsidRDefault="00863130" w:rsidP="003B6DAB">
            <w:pPr>
              <w:pStyle w:val="TableBodyText"/>
              <w:rPr>
                <w:sz w:val="18"/>
                <w:szCs w:val="18"/>
              </w:rPr>
            </w:pPr>
            <w:r w:rsidRPr="008B1657">
              <w:rPr>
                <w:sz w:val="18"/>
                <w:szCs w:val="18"/>
              </w:rPr>
              <w:t>274.0</w:t>
            </w:r>
          </w:p>
        </w:tc>
      </w:tr>
      <w:tr w:rsidR="00863130" w:rsidRPr="003B6DAB" w:rsidTr="0082676A">
        <w:tc>
          <w:tcPr>
            <w:tcW w:w="2343" w:type="pct"/>
            <w:vAlign w:val="center"/>
          </w:tcPr>
          <w:p w:rsidR="00863130" w:rsidRPr="003B6DAB" w:rsidRDefault="00863130" w:rsidP="00857376">
            <w:pPr>
              <w:pStyle w:val="TableBodyText"/>
              <w:jc w:val="left"/>
              <w:rPr>
                <w:b/>
                <w:sz w:val="18"/>
                <w:szCs w:val="18"/>
              </w:rPr>
            </w:pPr>
            <w:r w:rsidRPr="003B6DAB">
              <w:rPr>
                <w:b/>
                <w:sz w:val="18"/>
                <w:szCs w:val="18"/>
              </w:rPr>
              <w:t>Mining</w:t>
            </w:r>
          </w:p>
        </w:tc>
        <w:tc>
          <w:tcPr>
            <w:tcW w:w="886" w:type="pct"/>
          </w:tcPr>
          <w:p w:rsidR="00863130" w:rsidRPr="00863130" w:rsidRDefault="00863130" w:rsidP="003B6DAB">
            <w:pPr>
              <w:pStyle w:val="TableBodyText"/>
              <w:rPr>
                <w:b/>
                <w:sz w:val="18"/>
                <w:szCs w:val="18"/>
              </w:rPr>
            </w:pPr>
            <w:r w:rsidRPr="008B1657">
              <w:rPr>
                <w:b/>
                <w:sz w:val="18"/>
                <w:szCs w:val="18"/>
              </w:rPr>
              <w:t>401.9</w:t>
            </w:r>
          </w:p>
        </w:tc>
        <w:tc>
          <w:tcPr>
            <w:tcW w:w="886" w:type="pct"/>
          </w:tcPr>
          <w:p w:rsidR="00863130" w:rsidRPr="00863130" w:rsidRDefault="00863130" w:rsidP="003B6DAB">
            <w:pPr>
              <w:pStyle w:val="TableBodyText"/>
              <w:rPr>
                <w:b/>
                <w:sz w:val="18"/>
                <w:szCs w:val="18"/>
              </w:rPr>
            </w:pPr>
            <w:r w:rsidRPr="008B1657">
              <w:rPr>
                <w:b/>
                <w:sz w:val="18"/>
                <w:szCs w:val="18"/>
              </w:rPr>
              <w:t>144.5</w:t>
            </w:r>
          </w:p>
        </w:tc>
        <w:tc>
          <w:tcPr>
            <w:tcW w:w="885" w:type="pct"/>
          </w:tcPr>
          <w:p w:rsidR="00863130" w:rsidRPr="00863130" w:rsidRDefault="00863130" w:rsidP="003B6DAB">
            <w:pPr>
              <w:pStyle w:val="TableBodyText"/>
              <w:rPr>
                <w:b/>
                <w:sz w:val="18"/>
                <w:szCs w:val="18"/>
              </w:rPr>
            </w:pPr>
            <w:r w:rsidRPr="008B1657">
              <w:rPr>
                <w:b/>
                <w:sz w:val="18"/>
                <w:szCs w:val="18"/>
              </w:rPr>
              <w:t>546.5</w:t>
            </w:r>
          </w:p>
        </w:tc>
      </w:tr>
      <w:tr w:rsidR="00863130" w:rsidRPr="003B6DAB" w:rsidTr="0082676A">
        <w:tc>
          <w:tcPr>
            <w:tcW w:w="2343" w:type="pct"/>
            <w:vAlign w:val="center"/>
          </w:tcPr>
          <w:p w:rsidR="00863130" w:rsidRPr="003B6DAB" w:rsidRDefault="00863130" w:rsidP="00857376">
            <w:pPr>
              <w:pStyle w:val="TableBodyText"/>
              <w:jc w:val="left"/>
              <w:rPr>
                <w:b/>
                <w:sz w:val="18"/>
                <w:szCs w:val="18"/>
              </w:rPr>
            </w:pPr>
            <w:r w:rsidRPr="003B6DAB">
              <w:rPr>
                <w:b/>
                <w:sz w:val="18"/>
                <w:szCs w:val="18"/>
              </w:rPr>
              <w:t>Manufacturing</w:t>
            </w:r>
          </w:p>
        </w:tc>
        <w:tc>
          <w:tcPr>
            <w:tcW w:w="886" w:type="pct"/>
          </w:tcPr>
          <w:p w:rsidR="00863130" w:rsidRPr="00863130" w:rsidRDefault="00863130" w:rsidP="003B6DAB">
            <w:pPr>
              <w:pStyle w:val="TableBodyText"/>
              <w:rPr>
                <w:b/>
                <w:sz w:val="18"/>
                <w:szCs w:val="18"/>
              </w:rPr>
            </w:pPr>
            <w:r w:rsidRPr="008B1657">
              <w:rPr>
                <w:b/>
                <w:sz w:val="18"/>
                <w:szCs w:val="18"/>
              </w:rPr>
              <w:t>1333.3</w:t>
            </w:r>
          </w:p>
        </w:tc>
        <w:tc>
          <w:tcPr>
            <w:tcW w:w="886" w:type="pct"/>
          </w:tcPr>
          <w:p w:rsidR="00863130" w:rsidRPr="00863130" w:rsidRDefault="00863130" w:rsidP="003B6DAB">
            <w:pPr>
              <w:pStyle w:val="TableBodyText"/>
              <w:rPr>
                <w:b/>
                <w:sz w:val="18"/>
                <w:szCs w:val="18"/>
              </w:rPr>
            </w:pPr>
            <w:r w:rsidRPr="008B1657">
              <w:rPr>
                <w:b/>
                <w:sz w:val="18"/>
                <w:szCs w:val="18"/>
              </w:rPr>
              <w:t>275.9</w:t>
            </w:r>
          </w:p>
        </w:tc>
        <w:tc>
          <w:tcPr>
            <w:tcW w:w="885" w:type="pct"/>
          </w:tcPr>
          <w:p w:rsidR="00863130" w:rsidRPr="00863130" w:rsidRDefault="00863130" w:rsidP="003B6DAB">
            <w:pPr>
              <w:pStyle w:val="TableBodyText"/>
              <w:rPr>
                <w:b/>
                <w:sz w:val="18"/>
                <w:szCs w:val="18"/>
              </w:rPr>
            </w:pPr>
            <w:r w:rsidRPr="008B1657">
              <w:rPr>
                <w:b/>
                <w:sz w:val="18"/>
                <w:szCs w:val="18"/>
              </w:rPr>
              <w:t>1609.2</w:t>
            </w:r>
          </w:p>
        </w:tc>
      </w:tr>
      <w:tr w:rsidR="00863130" w:rsidRPr="009B0AEB" w:rsidTr="0082676A">
        <w:tc>
          <w:tcPr>
            <w:tcW w:w="2343" w:type="pct"/>
            <w:vAlign w:val="center"/>
          </w:tcPr>
          <w:p w:rsidR="00863130" w:rsidRPr="009B0AEB" w:rsidRDefault="00863130" w:rsidP="00897C19">
            <w:pPr>
              <w:pStyle w:val="TableBodyText"/>
              <w:spacing w:after="20"/>
              <w:jc w:val="left"/>
              <w:rPr>
                <w:sz w:val="18"/>
                <w:szCs w:val="18"/>
              </w:rPr>
            </w:pPr>
            <w:r w:rsidRPr="009B0AEB">
              <w:rPr>
                <w:sz w:val="18"/>
                <w:szCs w:val="18"/>
              </w:rPr>
              <w:t>Food, beverages and tobacco</w:t>
            </w:r>
          </w:p>
        </w:tc>
        <w:tc>
          <w:tcPr>
            <w:tcW w:w="886" w:type="pct"/>
          </w:tcPr>
          <w:p w:rsidR="00863130" w:rsidRPr="00863130" w:rsidRDefault="00863130" w:rsidP="003B6DAB">
            <w:pPr>
              <w:pStyle w:val="TableBodyText"/>
              <w:rPr>
                <w:sz w:val="18"/>
                <w:szCs w:val="18"/>
              </w:rPr>
            </w:pPr>
            <w:r w:rsidRPr="008B1657">
              <w:rPr>
                <w:sz w:val="18"/>
                <w:szCs w:val="18"/>
              </w:rPr>
              <w:t>65.3</w:t>
            </w:r>
          </w:p>
        </w:tc>
        <w:tc>
          <w:tcPr>
            <w:tcW w:w="886" w:type="pct"/>
          </w:tcPr>
          <w:p w:rsidR="00863130" w:rsidRPr="00863130" w:rsidRDefault="00863130" w:rsidP="003B6DAB">
            <w:pPr>
              <w:pStyle w:val="TableBodyText"/>
              <w:rPr>
                <w:sz w:val="18"/>
                <w:szCs w:val="18"/>
              </w:rPr>
            </w:pPr>
            <w:r w:rsidRPr="008B1657">
              <w:rPr>
                <w:sz w:val="18"/>
                <w:szCs w:val="18"/>
              </w:rPr>
              <w:t>37.0</w:t>
            </w:r>
          </w:p>
        </w:tc>
        <w:tc>
          <w:tcPr>
            <w:tcW w:w="885" w:type="pct"/>
          </w:tcPr>
          <w:p w:rsidR="00863130" w:rsidRPr="00863130" w:rsidRDefault="00863130" w:rsidP="003B6DAB">
            <w:pPr>
              <w:pStyle w:val="TableBodyText"/>
              <w:rPr>
                <w:sz w:val="18"/>
                <w:szCs w:val="18"/>
              </w:rPr>
            </w:pPr>
            <w:r w:rsidRPr="008B1657">
              <w:rPr>
                <w:sz w:val="18"/>
                <w:szCs w:val="18"/>
              </w:rPr>
              <w:t>102.3</w:t>
            </w:r>
          </w:p>
        </w:tc>
      </w:tr>
      <w:tr w:rsidR="00863130" w:rsidRPr="009B0AEB" w:rsidTr="0082676A">
        <w:tc>
          <w:tcPr>
            <w:tcW w:w="2343" w:type="pct"/>
            <w:vAlign w:val="center"/>
          </w:tcPr>
          <w:p w:rsidR="00863130" w:rsidRPr="009B0AEB" w:rsidRDefault="00863130" w:rsidP="00897C19">
            <w:pPr>
              <w:pStyle w:val="TableBodyText"/>
              <w:spacing w:after="20"/>
              <w:jc w:val="left"/>
              <w:rPr>
                <w:sz w:val="18"/>
                <w:szCs w:val="18"/>
              </w:rPr>
            </w:pPr>
            <w:r w:rsidRPr="009B0AEB">
              <w:rPr>
                <w:sz w:val="18"/>
                <w:szCs w:val="18"/>
              </w:rPr>
              <w:t>Textile, leather, clothing and footwear</w:t>
            </w:r>
          </w:p>
        </w:tc>
        <w:tc>
          <w:tcPr>
            <w:tcW w:w="886" w:type="pct"/>
          </w:tcPr>
          <w:p w:rsidR="00863130" w:rsidRPr="00863130" w:rsidRDefault="00863130" w:rsidP="003B6DAB">
            <w:pPr>
              <w:pStyle w:val="TableBodyText"/>
              <w:rPr>
                <w:sz w:val="18"/>
                <w:szCs w:val="18"/>
              </w:rPr>
            </w:pPr>
            <w:r w:rsidRPr="008B1657">
              <w:rPr>
                <w:sz w:val="18"/>
                <w:szCs w:val="18"/>
              </w:rPr>
              <w:t>54.9</w:t>
            </w:r>
          </w:p>
        </w:tc>
        <w:tc>
          <w:tcPr>
            <w:tcW w:w="886" w:type="pct"/>
          </w:tcPr>
          <w:p w:rsidR="00863130" w:rsidRPr="00863130" w:rsidRDefault="00863130" w:rsidP="003B6DAB">
            <w:pPr>
              <w:pStyle w:val="TableBodyText"/>
              <w:rPr>
                <w:sz w:val="18"/>
                <w:szCs w:val="18"/>
              </w:rPr>
            </w:pPr>
            <w:r w:rsidRPr="008B1657">
              <w:rPr>
                <w:sz w:val="18"/>
                <w:szCs w:val="18"/>
              </w:rPr>
              <w:t>7.3</w:t>
            </w:r>
          </w:p>
        </w:tc>
        <w:tc>
          <w:tcPr>
            <w:tcW w:w="885" w:type="pct"/>
          </w:tcPr>
          <w:p w:rsidR="00863130" w:rsidRPr="00863130" w:rsidRDefault="00863130" w:rsidP="003B6DAB">
            <w:pPr>
              <w:pStyle w:val="TableBodyText"/>
              <w:rPr>
                <w:sz w:val="18"/>
                <w:szCs w:val="18"/>
              </w:rPr>
            </w:pPr>
            <w:r w:rsidRPr="008B1657">
              <w:rPr>
                <w:sz w:val="18"/>
                <w:szCs w:val="18"/>
              </w:rPr>
              <w:t>62.2</w:t>
            </w:r>
          </w:p>
        </w:tc>
      </w:tr>
      <w:tr w:rsidR="00863130" w:rsidRPr="009B0AEB" w:rsidTr="0082676A">
        <w:tc>
          <w:tcPr>
            <w:tcW w:w="2343" w:type="pct"/>
            <w:vAlign w:val="center"/>
          </w:tcPr>
          <w:p w:rsidR="00863130" w:rsidRPr="009B0AEB" w:rsidRDefault="00863130" w:rsidP="00897C19">
            <w:pPr>
              <w:pStyle w:val="TableBodyText"/>
              <w:spacing w:after="20"/>
              <w:jc w:val="left"/>
              <w:rPr>
                <w:sz w:val="18"/>
                <w:szCs w:val="18"/>
              </w:rPr>
            </w:pPr>
            <w:r w:rsidRPr="009B0AEB">
              <w:rPr>
                <w:sz w:val="18"/>
                <w:szCs w:val="18"/>
              </w:rPr>
              <w:t>Wood and paper products</w:t>
            </w:r>
          </w:p>
        </w:tc>
        <w:tc>
          <w:tcPr>
            <w:tcW w:w="886" w:type="pct"/>
          </w:tcPr>
          <w:p w:rsidR="00863130" w:rsidRPr="00863130" w:rsidRDefault="00863130" w:rsidP="003B6DAB">
            <w:pPr>
              <w:pStyle w:val="TableBodyText"/>
              <w:rPr>
                <w:sz w:val="18"/>
                <w:szCs w:val="18"/>
              </w:rPr>
            </w:pPr>
            <w:r w:rsidRPr="008B1657">
              <w:rPr>
                <w:sz w:val="18"/>
                <w:szCs w:val="18"/>
              </w:rPr>
              <w:t>21.3</w:t>
            </w:r>
          </w:p>
        </w:tc>
        <w:tc>
          <w:tcPr>
            <w:tcW w:w="886" w:type="pct"/>
          </w:tcPr>
          <w:p w:rsidR="00863130" w:rsidRPr="00863130" w:rsidRDefault="00863130" w:rsidP="003B6DAB">
            <w:pPr>
              <w:pStyle w:val="TableBodyText"/>
              <w:rPr>
                <w:sz w:val="18"/>
                <w:szCs w:val="18"/>
              </w:rPr>
            </w:pPr>
            <w:r w:rsidRPr="008B1657">
              <w:rPr>
                <w:sz w:val="18"/>
                <w:szCs w:val="18"/>
              </w:rPr>
              <w:t>8.4</w:t>
            </w:r>
          </w:p>
        </w:tc>
        <w:tc>
          <w:tcPr>
            <w:tcW w:w="885" w:type="pct"/>
          </w:tcPr>
          <w:p w:rsidR="00863130" w:rsidRPr="00863130" w:rsidRDefault="00863130" w:rsidP="003B6DAB">
            <w:pPr>
              <w:pStyle w:val="TableBodyText"/>
              <w:rPr>
                <w:sz w:val="18"/>
                <w:szCs w:val="18"/>
              </w:rPr>
            </w:pPr>
            <w:r w:rsidRPr="008B1657">
              <w:rPr>
                <w:sz w:val="18"/>
                <w:szCs w:val="18"/>
              </w:rPr>
              <w:t>29.7</w:t>
            </w:r>
          </w:p>
        </w:tc>
      </w:tr>
      <w:tr w:rsidR="00863130" w:rsidRPr="009B0AEB" w:rsidTr="0082676A">
        <w:tc>
          <w:tcPr>
            <w:tcW w:w="2343" w:type="pct"/>
            <w:vAlign w:val="center"/>
          </w:tcPr>
          <w:p w:rsidR="00863130" w:rsidRPr="009B0AEB" w:rsidRDefault="00863130" w:rsidP="00897C19">
            <w:pPr>
              <w:pStyle w:val="TableBodyText"/>
              <w:spacing w:after="20"/>
              <w:jc w:val="left"/>
              <w:rPr>
                <w:sz w:val="18"/>
                <w:szCs w:val="18"/>
              </w:rPr>
            </w:pPr>
            <w:r w:rsidRPr="009B0AEB">
              <w:rPr>
                <w:sz w:val="18"/>
                <w:szCs w:val="18"/>
              </w:rPr>
              <w:t>Printing and recorded media</w:t>
            </w:r>
          </w:p>
        </w:tc>
        <w:tc>
          <w:tcPr>
            <w:tcW w:w="886" w:type="pct"/>
          </w:tcPr>
          <w:p w:rsidR="00863130" w:rsidRPr="00863130" w:rsidRDefault="00863130" w:rsidP="003B6DAB">
            <w:pPr>
              <w:pStyle w:val="TableBodyText"/>
              <w:rPr>
                <w:sz w:val="18"/>
                <w:szCs w:val="18"/>
              </w:rPr>
            </w:pPr>
            <w:r w:rsidRPr="008B1657">
              <w:rPr>
                <w:sz w:val="18"/>
                <w:szCs w:val="18"/>
              </w:rPr>
              <w:t>13.2</w:t>
            </w:r>
          </w:p>
        </w:tc>
        <w:tc>
          <w:tcPr>
            <w:tcW w:w="886" w:type="pct"/>
          </w:tcPr>
          <w:p w:rsidR="00863130" w:rsidRPr="00863130" w:rsidRDefault="00863130" w:rsidP="003B6DAB">
            <w:pPr>
              <w:pStyle w:val="TableBodyText"/>
              <w:rPr>
                <w:sz w:val="18"/>
                <w:szCs w:val="18"/>
              </w:rPr>
            </w:pPr>
            <w:r w:rsidRPr="008B1657">
              <w:rPr>
                <w:sz w:val="18"/>
                <w:szCs w:val="18"/>
              </w:rPr>
              <w:t>7.5</w:t>
            </w:r>
          </w:p>
        </w:tc>
        <w:tc>
          <w:tcPr>
            <w:tcW w:w="885" w:type="pct"/>
          </w:tcPr>
          <w:p w:rsidR="00863130" w:rsidRPr="00863130" w:rsidRDefault="00863130" w:rsidP="003B6DAB">
            <w:pPr>
              <w:pStyle w:val="TableBodyText"/>
              <w:rPr>
                <w:sz w:val="18"/>
                <w:szCs w:val="18"/>
              </w:rPr>
            </w:pPr>
            <w:r w:rsidRPr="008B1657">
              <w:rPr>
                <w:sz w:val="18"/>
                <w:szCs w:val="18"/>
              </w:rPr>
              <w:t>20.7</w:t>
            </w:r>
          </w:p>
        </w:tc>
      </w:tr>
      <w:tr w:rsidR="00863130" w:rsidRPr="009B0AEB" w:rsidTr="0082676A">
        <w:tc>
          <w:tcPr>
            <w:tcW w:w="2343" w:type="pct"/>
            <w:vAlign w:val="center"/>
          </w:tcPr>
          <w:p w:rsidR="00863130" w:rsidRPr="009B0AEB" w:rsidRDefault="00863130" w:rsidP="00277194">
            <w:pPr>
              <w:pStyle w:val="TableBodyText"/>
              <w:spacing w:after="20"/>
              <w:jc w:val="left"/>
              <w:rPr>
                <w:sz w:val="18"/>
                <w:szCs w:val="18"/>
              </w:rPr>
            </w:pPr>
            <w:r w:rsidRPr="009B0AEB">
              <w:rPr>
                <w:sz w:val="18"/>
                <w:szCs w:val="18"/>
              </w:rPr>
              <w:t xml:space="preserve">Petroleum, coal, chemical </w:t>
            </w:r>
            <w:r>
              <w:rPr>
                <w:sz w:val="18"/>
                <w:szCs w:val="18"/>
              </w:rPr>
              <w:t>and</w:t>
            </w:r>
            <w:r w:rsidRPr="009B0AEB">
              <w:rPr>
                <w:sz w:val="18"/>
                <w:szCs w:val="18"/>
              </w:rPr>
              <w:t xml:space="preserve"> rubber products</w:t>
            </w:r>
          </w:p>
        </w:tc>
        <w:tc>
          <w:tcPr>
            <w:tcW w:w="886" w:type="pct"/>
          </w:tcPr>
          <w:p w:rsidR="00863130" w:rsidRPr="00863130" w:rsidRDefault="00863130" w:rsidP="003B6DAB">
            <w:pPr>
              <w:pStyle w:val="TableBodyText"/>
              <w:rPr>
                <w:sz w:val="18"/>
                <w:szCs w:val="18"/>
              </w:rPr>
            </w:pPr>
            <w:r w:rsidRPr="008B1657">
              <w:rPr>
                <w:sz w:val="18"/>
                <w:szCs w:val="18"/>
              </w:rPr>
              <w:t>297.1</w:t>
            </w:r>
          </w:p>
        </w:tc>
        <w:tc>
          <w:tcPr>
            <w:tcW w:w="886" w:type="pct"/>
          </w:tcPr>
          <w:p w:rsidR="00863130" w:rsidRPr="00863130" w:rsidRDefault="00863130" w:rsidP="003B6DAB">
            <w:pPr>
              <w:pStyle w:val="TableBodyText"/>
              <w:rPr>
                <w:sz w:val="18"/>
                <w:szCs w:val="18"/>
              </w:rPr>
            </w:pPr>
            <w:r w:rsidRPr="008B1657">
              <w:rPr>
                <w:sz w:val="18"/>
                <w:szCs w:val="18"/>
              </w:rPr>
              <w:t>25.1</w:t>
            </w:r>
          </w:p>
        </w:tc>
        <w:tc>
          <w:tcPr>
            <w:tcW w:w="885" w:type="pct"/>
          </w:tcPr>
          <w:p w:rsidR="00863130" w:rsidRPr="00863130" w:rsidRDefault="00863130" w:rsidP="003B6DAB">
            <w:pPr>
              <w:pStyle w:val="TableBodyText"/>
              <w:rPr>
                <w:sz w:val="18"/>
                <w:szCs w:val="18"/>
              </w:rPr>
            </w:pPr>
            <w:r w:rsidRPr="008B1657">
              <w:rPr>
                <w:sz w:val="18"/>
                <w:szCs w:val="18"/>
              </w:rPr>
              <w:t>322.2</w:t>
            </w:r>
          </w:p>
        </w:tc>
      </w:tr>
      <w:tr w:rsidR="00863130" w:rsidRPr="009B0AEB" w:rsidTr="0082676A">
        <w:tc>
          <w:tcPr>
            <w:tcW w:w="2343" w:type="pct"/>
            <w:vAlign w:val="center"/>
          </w:tcPr>
          <w:p w:rsidR="00863130" w:rsidRPr="009B0AEB" w:rsidRDefault="00863130" w:rsidP="00897C19">
            <w:pPr>
              <w:pStyle w:val="TableBodyText"/>
              <w:spacing w:after="20"/>
              <w:jc w:val="left"/>
              <w:rPr>
                <w:sz w:val="18"/>
                <w:szCs w:val="18"/>
              </w:rPr>
            </w:pPr>
            <w:r w:rsidRPr="009B0AEB">
              <w:rPr>
                <w:sz w:val="18"/>
                <w:szCs w:val="18"/>
              </w:rPr>
              <w:t>Non-metallic mineral products</w:t>
            </w:r>
          </w:p>
        </w:tc>
        <w:tc>
          <w:tcPr>
            <w:tcW w:w="886" w:type="pct"/>
          </w:tcPr>
          <w:p w:rsidR="00863130" w:rsidRPr="00863130" w:rsidRDefault="00863130" w:rsidP="003B6DAB">
            <w:pPr>
              <w:pStyle w:val="TableBodyText"/>
              <w:rPr>
                <w:sz w:val="18"/>
                <w:szCs w:val="18"/>
              </w:rPr>
            </w:pPr>
            <w:r w:rsidRPr="008B1657">
              <w:rPr>
                <w:sz w:val="18"/>
                <w:szCs w:val="18"/>
              </w:rPr>
              <w:t>30.0</w:t>
            </w:r>
          </w:p>
        </w:tc>
        <w:tc>
          <w:tcPr>
            <w:tcW w:w="886" w:type="pct"/>
          </w:tcPr>
          <w:p w:rsidR="00863130" w:rsidRPr="00863130" w:rsidRDefault="00863130" w:rsidP="003B6DAB">
            <w:pPr>
              <w:pStyle w:val="TableBodyText"/>
              <w:rPr>
                <w:sz w:val="18"/>
                <w:szCs w:val="18"/>
              </w:rPr>
            </w:pPr>
            <w:r w:rsidRPr="008B1657">
              <w:rPr>
                <w:sz w:val="18"/>
                <w:szCs w:val="18"/>
              </w:rPr>
              <w:t>4.0</w:t>
            </w:r>
          </w:p>
        </w:tc>
        <w:tc>
          <w:tcPr>
            <w:tcW w:w="885" w:type="pct"/>
          </w:tcPr>
          <w:p w:rsidR="00863130" w:rsidRPr="00863130" w:rsidRDefault="00863130" w:rsidP="003B6DAB">
            <w:pPr>
              <w:pStyle w:val="TableBodyText"/>
              <w:rPr>
                <w:sz w:val="18"/>
                <w:szCs w:val="18"/>
              </w:rPr>
            </w:pPr>
            <w:r w:rsidRPr="008B1657">
              <w:rPr>
                <w:sz w:val="18"/>
                <w:szCs w:val="18"/>
              </w:rPr>
              <w:t>34.0</w:t>
            </w:r>
          </w:p>
        </w:tc>
      </w:tr>
      <w:tr w:rsidR="00863130" w:rsidRPr="009B0AEB" w:rsidTr="0082676A">
        <w:tc>
          <w:tcPr>
            <w:tcW w:w="2343" w:type="pct"/>
            <w:vAlign w:val="center"/>
          </w:tcPr>
          <w:p w:rsidR="00863130" w:rsidRPr="009B0AEB" w:rsidRDefault="00863130" w:rsidP="00897C19">
            <w:pPr>
              <w:pStyle w:val="TableBodyText"/>
              <w:spacing w:after="20"/>
              <w:jc w:val="left"/>
              <w:rPr>
                <w:sz w:val="18"/>
                <w:szCs w:val="18"/>
              </w:rPr>
            </w:pPr>
            <w:r w:rsidRPr="009B0AEB">
              <w:rPr>
                <w:sz w:val="18"/>
                <w:szCs w:val="18"/>
              </w:rPr>
              <w:t>Metal and fabricated metal products</w:t>
            </w:r>
          </w:p>
        </w:tc>
        <w:tc>
          <w:tcPr>
            <w:tcW w:w="886" w:type="pct"/>
          </w:tcPr>
          <w:p w:rsidR="00863130" w:rsidRPr="00863130" w:rsidRDefault="00863130" w:rsidP="003B6DAB">
            <w:pPr>
              <w:pStyle w:val="TableBodyText"/>
              <w:rPr>
                <w:sz w:val="18"/>
                <w:szCs w:val="18"/>
              </w:rPr>
            </w:pPr>
            <w:r w:rsidRPr="008B1657">
              <w:rPr>
                <w:sz w:val="18"/>
                <w:szCs w:val="18"/>
              </w:rPr>
              <w:t>76.8</w:t>
            </w:r>
          </w:p>
        </w:tc>
        <w:tc>
          <w:tcPr>
            <w:tcW w:w="886" w:type="pct"/>
          </w:tcPr>
          <w:p w:rsidR="00863130" w:rsidRPr="00863130" w:rsidRDefault="00863130" w:rsidP="003B6DAB">
            <w:pPr>
              <w:pStyle w:val="TableBodyText"/>
              <w:rPr>
                <w:sz w:val="18"/>
                <w:szCs w:val="18"/>
              </w:rPr>
            </w:pPr>
            <w:r w:rsidRPr="008B1657">
              <w:rPr>
                <w:sz w:val="18"/>
                <w:szCs w:val="18"/>
              </w:rPr>
              <w:t>34.6</w:t>
            </w:r>
          </w:p>
        </w:tc>
        <w:tc>
          <w:tcPr>
            <w:tcW w:w="885" w:type="pct"/>
          </w:tcPr>
          <w:p w:rsidR="00863130" w:rsidRPr="00863130" w:rsidRDefault="00863130" w:rsidP="003B6DAB">
            <w:pPr>
              <w:pStyle w:val="TableBodyText"/>
              <w:rPr>
                <w:sz w:val="18"/>
                <w:szCs w:val="18"/>
              </w:rPr>
            </w:pPr>
            <w:r w:rsidRPr="008B1657">
              <w:rPr>
                <w:sz w:val="18"/>
                <w:szCs w:val="18"/>
              </w:rPr>
              <w:t>111.4</w:t>
            </w:r>
          </w:p>
        </w:tc>
      </w:tr>
      <w:tr w:rsidR="00863130" w:rsidRPr="009B0AEB" w:rsidTr="0082676A">
        <w:tc>
          <w:tcPr>
            <w:tcW w:w="2343" w:type="pct"/>
            <w:vAlign w:val="center"/>
          </w:tcPr>
          <w:p w:rsidR="00863130" w:rsidRPr="009B0AEB" w:rsidRDefault="00863130" w:rsidP="00277194">
            <w:pPr>
              <w:pStyle w:val="TableBodyText"/>
              <w:spacing w:after="20"/>
              <w:jc w:val="left"/>
              <w:rPr>
                <w:sz w:val="18"/>
                <w:szCs w:val="18"/>
              </w:rPr>
            </w:pPr>
            <w:r w:rsidRPr="009B0AEB">
              <w:rPr>
                <w:sz w:val="18"/>
                <w:szCs w:val="18"/>
              </w:rPr>
              <w:t>Motor vehicle and parts</w:t>
            </w:r>
          </w:p>
        </w:tc>
        <w:tc>
          <w:tcPr>
            <w:tcW w:w="886" w:type="pct"/>
          </w:tcPr>
          <w:p w:rsidR="00863130" w:rsidRPr="00863130" w:rsidRDefault="00863130" w:rsidP="003B6DAB">
            <w:pPr>
              <w:pStyle w:val="TableBodyText"/>
              <w:rPr>
                <w:sz w:val="18"/>
                <w:szCs w:val="18"/>
              </w:rPr>
            </w:pPr>
            <w:r w:rsidRPr="008B1657">
              <w:rPr>
                <w:sz w:val="18"/>
                <w:szCs w:val="18"/>
              </w:rPr>
              <w:t>426.6</w:t>
            </w:r>
          </w:p>
        </w:tc>
        <w:tc>
          <w:tcPr>
            <w:tcW w:w="886" w:type="pct"/>
          </w:tcPr>
          <w:p w:rsidR="00863130" w:rsidRPr="00863130" w:rsidRDefault="00863130" w:rsidP="003B6DAB">
            <w:pPr>
              <w:pStyle w:val="TableBodyText"/>
              <w:rPr>
                <w:sz w:val="18"/>
                <w:szCs w:val="18"/>
              </w:rPr>
            </w:pPr>
            <w:r w:rsidRPr="008B1657">
              <w:rPr>
                <w:sz w:val="18"/>
                <w:szCs w:val="18"/>
              </w:rPr>
              <w:t>35.2</w:t>
            </w:r>
          </w:p>
        </w:tc>
        <w:tc>
          <w:tcPr>
            <w:tcW w:w="885" w:type="pct"/>
          </w:tcPr>
          <w:p w:rsidR="00863130" w:rsidRPr="00863130" w:rsidRDefault="00863130" w:rsidP="003B6DAB">
            <w:pPr>
              <w:pStyle w:val="TableBodyText"/>
              <w:rPr>
                <w:sz w:val="18"/>
                <w:szCs w:val="18"/>
              </w:rPr>
            </w:pPr>
            <w:r w:rsidRPr="008B1657">
              <w:rPr>
                <w:sz w:val="18"/>
                <w:szCs w:val="18"/>
              </w:rPr>
              <w:t>461.8</w:t>
            </w:r>
          </w:p>
        </w:tc>
      </w:tr>
      <w:tr w:rsidR="00863130" w:rsidRPr="009B0AEB" w:rsidTr="0082676A">
        <w:tc>
          <w:tcPr>
            <w:tcW w:w="2343" w:type="pct"/>
            <w:vAlign w:val="center"/>
          </w:tcPr>
          <w:p w:rsidR="00863130" w:rsidRPr="009B0AEB" w:rsidRDefault="00863130" w:rsidP="00897C19">
            <w:pPr>
              <w:pStyle w:val="TableBodyText"/>
              <w:spacing w:after="20"/>
              <w:jc w:val="left"/>
              <w:rPr>
                <w:sz w:val="18"/>
                <w:szCs w:val="18"/>
              </w:rPr>
            </w:pPr>
            <w:r w:rsidRPr="009B0AEB">
              <w:rPr>
                <w:sz w:val="18"/>
                <w:szCs w:val="18"/>
              </w:rPr>
              <w:t>Other transport equipment</w:t>
            </w:r>
          </w:p>
        </w:tc>
        <w:tc>
          <w:tcPr>
            <w:tcW w:w="886" w:type="pct"/>
          </w:tcPr>
          <w:p w:rsidR="00863130" w:rsidRPr="00863130" w:rsidRDefault="00863130" w:rsidP="003B6DAB">
            <w:pPr>
              <w:pStyle w:val="TableBodyText"/>
              <w:rPr>
                <w:sz w:val="18"/>
                <w:szCs w:val="18"/>
              </w:rPr>
            </w:pPr>
            <w:r w:rsidRPr="008B1657">
              <w:rPr>
                <w:sz w:val="18"/>
                <w:szCs w:val="18"/>
              </w:rPr>
              <w:t>26.2</w:t>
            </w:r>
          </w:p>
        </w:tc>
        <w:tc>
          <w:tcPr>
            <w:tcW w:w="886" w:type="pct"/>
          </w:tcPr>
          <w:p w:rsidR="00863130" w:rsidRPr="00863130" w:rsidRDefault="00863130" w:rsidP="003B6DAB">
            <w:pPr>
              <w:pStyle w:val="TableBodyText"/>
              <w:rPr>
                <w:sz w:val="18"/>
                <w:szCs w:val="18"/>
              </w:rPr>
            </w:pPr>
            <w:r w:rsidRPr="008B1657">
              <w:rPr>
                <w:sz w:val="18"/>
                <w:szCs w:val="18"/>
              </w:rPr>
              <w:t>4.0</w:t>
            </w:r>
          </w:p>
        </w:tc>
        <w:tc>
          <w:tcPr>
            <w:tcW w:w="885" w:type="pct"/>
          </w:tcPr>
          <w:p w:rsidR="00863130" w:rsidRPr="00863130" w:rsidRDefault="00863130" w:rsidP="003B6DAB">
            <w:pPr>
              <w:pStyle w:val="TableBodyText"/>
              <w:rPr>
                <w:sz w:val="18"/>
                <w:szCs w:val="18"/>
              </w:rPr>
            </w:pPr>
            <w:r w:rsidRPr="008B1657">
              <w:rPr>
                <w:sz w:val="18"/>
                <w:szCs w:val="18"/>
              </w:rPr>
              <w:t>30.2</w:t>
            </w:r>
          </w:p>
        </w:tc>
      </w:tr>
      <w:tr w:rsidR="00863130" w:rsidRPr="009B0AEB" w:rsidTr="0082676A">
        <w:tc>
          <w:tcPr>
            <w:tcW w:w="2343" w:type="pct"/>
            <w:vAlign w:val="center"/>
          </w:tcPr>
          <w:p w:rsidR="00863130" w:rsidRPr="009B0AEB" w:rsidRDefault="00863130" w:rsidP="00897C19">
            <w:pPr>
              <w:pStyle w:val="TableBodyText"/>
              <w:spacing w:after="20"/>
              <w:jc w:val="left"/>
              <w:rPr>
                <w:sz w:val="18"/>
                <w:szCs w:val="18"/>
              </w:rPr>
            </w:pPr>
            <w:r w:rsidRPr="009B0AEB">
              <w:rPr>
                <w:sz w:val="18"/>
                <w:szCs w:val="18"/>
              </w:rPr>
              <w:t>Machinery and equipment manufacturing</w:t>
            </w:r>
          </w:p>
        </w:tc>
        <w:tc>
          <w:tcPr>
            <w:tcW w:w="886" w:type="pct"/>
          </w:tcPr>
          <w:p w:rsidR="00863130" w:rsidRPr="00863130" w:rsidRDefault="00863130" w:rsidP="003B6DAB">
            <w:pPr>
              <w:pStyle w:val="TableBodyText"/>
              <w:rPr>
                <w:sz w:val="18"/>
                <w:szCs w:val="18"/>
              </w:rPr>
            </w:pPr>
            <w:r w:rsidRPr="008B1657">
              <w:rPr>
                <w:sz w:val="18"/>
                <w:szCs w:val="18"/>
              </w:rPr>
              <w:t>193.3</w:t>
            </w:r>
          </w:p>
        </w:tc>
        <w:tc>
          <w:tcPr>
            <w:tcW w:w="886" w:type="pct"/>
          </w:tcPr>
          <w:p w:rsidR="00863130" w:rsidRPr="00863130" w:rsidRDefault="00863130" w:rsidP="003B6DAB">
            <w:pPr>
              <w:pStyle w:val="TableBodyText"/>
              <w:rPr>
                <w:sz w:val="18"/>
                <w:szCs w:val="18"/>
              </w:rPr>
            </w:pPr>
            <w:r w:rsidRPr="008B1657">
              <w:rPr>
                <w:sz w:val="18"/>
                <w:szCs w:val="18"/>
              </w:rPr>
              <w:t>34.6</w:t>
            </w:r>
          </w:p>
        </w:tc>
        <w:tc>
          <w:tcPr>
            <w:tcW w:w="885" w:type="pct"/>
          </w:tcPr>
          <w:p w:rsidR="00863130" w:rsidRPr="00863130" w:rsidRDefault="00863130" w:rsidP="003B6DAB">
            <w:pPr>
              <w:pStyle w:val="TableBodyText"/>
              <w:rPr>
                <w:sz w:val="18"/>
                <w:szCs w:val="18"/>
              </w:rPr>
            </w:pPr>
            <w:r w:rsidRPr="008B1657">
              <w:rPr>
                <w:sz w:val="18"/>
                <w:szCs w:val="18"/>
              </w:rPr>
              <w:t>227.9</w:t>
            </w:r>
          </w:p>
        </w:tc>
      </w:tr>
      <w:tr w:rsidR="00863130" w:rsidRPr="009B0AEB" w:rsidTr="0082676A">
        <w:tc>
          <w:tcPr>
            <w:tcW w:w="2343" w:type="pct"/>
            <w:vAlign w:val="center"/>
          </w:tcPr>
          <w:p w:rsidR="00863130" w:rsidRPr="009B0AEB" w:rsidRDefault="00863130" w:rsidP="00897C19">
            <w:pPr>
              <w:pStyle w:val="TableBodyText"/>
              <w:spacing w:after="20"/>
              <w:jc w:val="left"/>
              <w:rPr>
                <w:sz w:val="18"/>
                <w:szCs w:val="18"/>
              </w:rPr>
            </w:pPr>
            <w:r w:rsidRPr="009B0AEB">
              <w:rPr>
                <w:sz w:val="18"/>
                <w:szCs w:val="18"/>
              </w:rPr>
              <w:t>Furniture and other manufacturing</w:t>
            </w:r>
          </w:p>
        </w:tc>
        <w:tc>
          <w:tcPr>
            <w:tcW w:w="886" w:type="pct"/>
          </w:tcPr>
          <w:p w:rsidR="00863130" w:rsidRPr="00863130" w:rsidRDefault="00863130" w:rsidP="003B6DAB">
            <w:pPr>
              <w:pStyle w:val="TableBodyText"/>
              <w:rPr>
                <w:sz w:val="18"/>
                <w:szCs w:val="18"/>
              </w:rPr>
            </w:pPr>
            <w:r w:rsidRPr="008B1657">
              <w:rPr>
                <w:sz w:val="18"/>
                <w:szCs w:val="18"/>
              </w:rPr>
              <w:t>35.6</w:t>
            </w:r>
          </w:p>
        </w:tc>
        <w:tc>
          <w:tcPr>
            <w:tcW w:w="886" w:type="pct"/>
          </w:tcPr>
          <w:p w:rsidR="00863130" w:rsidRPr="00863130" w:rsidRDefault="00863130" w:rsidP="003B6DAB">
            <w:pPr>
              <w:pStyle w:val="TableBodyText"/>
              <w:rPr>
                <w:sz w:val="18"/>
                <w:szCs w:val="18"/>
              </w:rPr>
            </w:pPr>
            <w:r w:rsidRPr="008B1657">
              <w:rPr>
                <w:sz w:val="18"/>
                <w:szCs w:val="18"/>
              </w:rPr>
              <w:t>4.3</w:t>
            </w:r>
          </w:p>
        </w:tc>
        <w:tc>
          <w:tcPr>
            <w:tcW w:w="885" w:type="pct"/>
          </w:tcPr>
          <w:p w:rsidR="00863130" w:rsidRPr="00863130" w:rsidRDefault="00863130" w:rsidP="003B6DAB">
            <w:pPr>
              <w:pStyle w:val="TableBodyText"/>
              <w:rPr>
                <w:sz w:val="18"/>
                <w:szCs w:val="18"/>
              </w:rPr>
            </w:pPr>
            <w:r w:rsidRPr="008B1657">
              <w:rPr>
                <w:sz w:val="18"/>
                <w:szCs w:val="18"/>
              </w:rPr>
              <w:t>39.9</w:t>
            </w:r>
          </w:p>
        </w:tc>
      </w:tr>
      <w:tr w:rsidR="00863130" w:rsidRPr="009B0AEB" w:rsidTr="0082676A">
        <w:tc>
          <w:tcPr>
            <w:tcW w:w="2343" w:type="pct"/>
            <w:vAlign w:val="center"/>
          </w:tcPr>
          <w:p w:rsidR="00863130" w:rsidRPr="009B0AEB" w:rsidRDefault="00863130" w:rsidP="00897C19">
            <w:pPr>
              <w:pStyle w:val="TableBodyText"/>
              <w:spacing w:after="20"/>
              <w:jc w:val="left"/>
              <w:rPr>
                <w:sz w:val="18"/>
                <w:szCs w:val="18"/>
              </w:rPr>
            </w:pPr>
            <w:r w:rsidRPr="009B0AEB">
              <w:rPr>
                <w:sz w:val="18"/>
                <w:szCs w:val="18"/>
              </w:rPr>
              <w:t>Unallocated manufacturing</w:t>
            </w:r>
            <w:r w:rsidRPr="009B0AEB">
              <w:rPr>
                <w:rStyle w:val="NoteLabel"/>
                <w:szCs w:val="18"/>
              </w:rPr>
              <w:t>b</w:t>
            </w:r>
          </w:p>
        </w:tc>
        <w:tc>
          <w:tcPr>
            <w:tcW w:w="886" w:type="pct"/>
          </w:tcPr>
          <w:p w:rsidR="00863130" w:rsidRPr="00863130" w:rsidRDefault="00863130" w:rsidP="003B6DAB">
            <w:pPr>
              <w:pStyle w:val="TableBodyText"/>
              <w:rPr>
                <w:sz w:val="18"/>
                <w:szCs w:val="18"/>
              </w:rPr>
            </w:pPr>
            <w:r w:rsidRPr="008B1657">
              <w:rPr>
                <w:sz w:val="18"/>
                <w:szCs w:val="18"/>
              </w:rPr>
              <w:t>93.1</w:t>
            </w:r>
          </w:p>
        </w:tc>
        <w:tc>
          <w:tcPr>
            <w:tcW w:w="886" w:type="pct"/>
          </w:tcPr>
          <w:p w:rsidR="00863130" w:rsidRPr="00863130" w:rsidRDefault="00863130" w:rsidP="003B6DAB">
            <w:pPr>
              <w:pStyle w:val="TableBodyText"/>
              <w:rPr>
                <w:sz w:val="18"/>
                <w:szCs w:val="18"/>
              </w:rPr>
            </w:pPr>
            <w:r w:rsidRPr="008B1657">
              <w:rPr>
                <w:sz w:val="18"/>
                <w:szCs w:val="18"/>
              </w:rPr>
              <w:t>73.9</w:t>
            </w:r>
          </w:p>
        </w:tc>
        <w:tc>
          <w:tcPr>
            <w:tcW w:w="885" w:type="pct"/>
          </w:tcPr>
          <w:p w:rsidR="00863130" w:rsidRPr="00863130" w:rsidRDefault="00863130" w:rsidP="003B6DAB">
            <w:pPr>
              <w:pStyle w:val="TableBodyText"/>
              <w:rPr>
                <w:sz w:val="18"/>
                <w:szCs w:val="18"/>
              </w:rPr>
            </w:pPr>
            <w:r w:rsidRPr="008B1657">
              <w:rPr>
                <w:sz w:val="18"/>
                <w:szCs w:val="18"/>
              </w:rPr>
              <w:t>167.0</w:t>
            </w:r>
          </w:p>
        </w:tc>
      </w:tr>
      <w:tr w:rsidR="00863130" w:rsidRPr="003B6DAB" w:rsidTr="0082676A">
        <w:tc>
          <w:tcPr>
            <w:tcW w:w="2343" w:type="pct"/>
            <w:vAlign w:val="center"/>
          </w:tcPr>
          <w:p w:rsidR="00863130" w:rsidRPr="003B6DAB" w:rsidRDefault="00863130" w:rsidP="00857376">
            <w:pPr>
              <w:pStyle w:val="TableBodyText"/>
              <w:jc w:val="left"/>
              <w:rPr>
                <w:b/>
                <w:sz w:val="18"/>
                <w:szCs w:val="18"/>
              </w:rPr>
            </w:pPr>
            <w:r w:rsidRPr="003B6DAB">
              <w:rPr>
                <w:b/>
                <w:sz w:val="18"/>
                <w:szCs w:val="18"/>
              </w:rPr>
              <w:t>Services</w:t>
            </w:r>
          </w:p>
        </w:tc>
        <w:tc>
          <w:tcPr>
            <w:tcW w:w="886" w:type="pct"/>
          </w:tcPr>
          <w:p w:rsidR="00863130" w:rsidRPr="00863130" w:rsidRDefault="00863130" w:rsidP="003B6DAB">
            <w:pPr>
              <w:pStyle w:val="TableBodyText"/>
              <w:rPr>
                <w:b/>
                <w:sz w:val="18"/>
                <w:szCs w:val="18"/>
              </w:rPr>
            </w:pPr>
            <w:r w:rsidRPr="008B1657">
              <w:rPr>
                <w:b/>
                <w:sz w:val="18"/>
                <w:szCs w:val="18"/>
              </w:rPr>
              <w:t>1597.2</w:t>
            </w:r>
          </w:p>
        </w:tc>
        <w:tc>
          <w:tcPr>
            <w:tcW w:w="886" w:type="pct"/>
          </w:tcPr>
          <w:p w:rsidR="00863130" w:rsidRPr="00863130" w:rsidRDefault="00863130" w:rsidP="003B6DAB">
            <w:pPr>
              <w:pStyle w:val="TableBodyText"/>
              <w:rPr>
                <w:b/>
                <w:sz w:val="18"/>
                <w:szCs w:val="18"/>
              </w:rPr>
            </w:pPr>
            <w:r w:rsidRPr="008B1657">
              <w:rPr>
                <w:b/>
                <w:sz w:val="18"/>
                <w:szCs w:val="18"/>
              </w:rPr>
              <w:t>1729.5</w:t>
            </w:r>
          </w:p>
        </w:tc>
        <w:tc>
          <w:tcPr>
            <w:tcW w:w="885" w:type="pct"/>
          </w:tcPr>
          <w:p w:rsidR="00863130" w:rsidRPr="00863130" w:rsidRDefault="00863130" w:rsidP="003B6DAB">
            <w:pPr>
              <w:pStyle w:val="TableBodyText"/>
              <w:rPr>
                <w:b/>
                <w:sz w:val="18"/>
                <w:szCs w:val="18"/>
              </w:rPr>
            </w:pPr>
            <w:r w:rsidRPr="008B1657">
              <w:rPr>
                <w:b/>
                <w:sz w:val="18"/>
                <w:szCs w:val="18"/>
              </w:rPr>
              <w:t>3326.7</w:t>
            </w:r>
          </w:p>
        </w:tc>
      </w:tr>
      <w:tr w:rsidR="00863130" w:rsidRPr="009B0AEB" w:rsidTr="0082676A">
        <w:tc>
          <w:tcPr>
            <w:tcW w:w="2343" w:type="pct"/>
            <w:vAlign w:val="center"/>
          </w:tcPr>
          <w:p w:rsidR="00863130" w:rsidRPr="009B0AEB" w:rsidRDefault="00863130" w:rsidP="00897C19">
            <w:pPr>
              <w:pStyle w:val="TableBodyText"/>
              <w:spacing w:after="20"/>
              <w:jc w:val="left"/>
              <w:rPr>
                <w:sz w:val="18"/>
                <w:szCs w:val="18"/>
              </w:rPr>
            </w:pPr>
            <w:r w:rsidRPr="009B0AEB">
              <w:rPr>
                <w:sz w:val="18"/>
                <w:szCs w:val="18"/>
              </w:rPr>
              <w:t>Electricity, gas, water and waste services</w:t>
            </w:r>
          </w:p>
        </w:tc>
        <w:tc>
          <w:tcPr>
            <w:tcW w:w="886" w:type="pct"/>
          </w:tcPr>
          <w:p w:rsidR="00863130" w:rsidRPr="00863130" w:rsidRDefault="00863130" w:rsidP="003B6DAB">
            <w:pPr>
              <w:pStyle w:val="TableBodyText"/>
              <w:rPr>
                <w:sz w:val="18"/>
                <w:szCs w:val="18"/>
              </w:rPr>
            </w:pPr>
            <w:r w:rsidRPr="008B1657">
              <w:rPr>
                <w:sz w:val="18"/>
                <w:szCs w:val="18"/>
              </w:rPr>
              <w:t>116.2</w:t>
            </w:r>
          </w:p>
        </w:tc>
        <w:tc>
          <w:tcPr>
            <w:tcW w:w="886" w:type="pct"/>
          </w:tcPr>
          <w:p w:rsidR="00863130" w:rsidRPr="00863130" w:rsidRDefault="00863130" w:rsidP="003B6DAB">
            <w:pPr>
              <w:pStyle w:val="TableBodyText"/>
              <w:rPr>
                <w:sz w:val="18"/>
                <w:szCs w:val="18"/>
              </w:rPr>
            </w:pPr>
            <w:r w:rsidRPr="008B1657">
              <w:rPr>
                <w:sz w:val="18"/>
                <w:szCs w:val="18"/>
              </w:rPr>
              <w:t>13.4</w:t>
            </w:r>
          </w:p>
        </w:tc>
        <w:tc>
          <w:tcPr>
            <w:tcW w:w="885" w:type="pct"/>
          </w:tcPr>
          <w:p w:rsidR="00863130" w:rsidRPr="00863130" w:rsidRDefault="00863130" w:rsidP="003B6DAB">
            <w:pPr>
              <w:pStyle w:val="TableBodyText"/>
              <w:rPr>
                <w:sz w:val="18"/>
                <w:szCs w:val="18"/>
              </w:rPr>
            </w:pPr>
            <w:r w:rsidRPr="008B1657">
              <w:rPr>
                <w:sz w:val="18"/>
                <w:szCs w:val="18"/>
              </w:rPr>
              <w:t>129.6</w:t>
            </w:r>
          </w:p>
        </w:tc>
      </w:tr>
      <w:tr w:rsidR="00863130" w:rsidRPr="009B0AEB" w:rsidTr="0082676A">
        <w:tc>
          <w:tcPr>
            <w:tcW w:w="2343" w:type="pct"/>
            <w:vAlign w:val="center"/>
          </w:tcPr>
          <w:p w:rsidR="00863130" w:rsidRPr="009B0AEB" w:rsidRDefault="00863130" w:rsidP="00897C19">
            <w:pPr>
              <w:pStyle w:val="TableBodyText"/>
              <w:spacing w:after="20"/>
              <w:jc w:val="left"/>
              <w:rPr>
                <w:sz w:val="18"/>
                <w:szCs w:val="18"/>
              </w:rPr>
            </w:pPr>
            <w:r w:rsidRPr="009B0AEB">
              <w:rPr>
                <w:sz w:val="18"/>
                <w:szCs w:val="18"/>
              </w:rPr>
              <w:t>Construction</w:t>
            </w:r>
          </w:p>
        </w:tc>
        <w:tc>
          <w:tcPr>
            <w:tcW w:w="886" w:type="pct"/>
          </w:tcPr>
          <w:p w:rsidR="00863130" w:rsidRPr="00863130" w:rsidRDefault="00863130" w:rsidP="003B6DAB">
            <w:pPr>
              <w:pStyle w:val="TableBodyText"/>
              <w:rPr>
                <w:sz w:val="18"/>
                <w:szCs w:val="18"/>
              </w:rPr>
            </w:pPr>
            <w:r w:rsidRPr="008B1657">
              <w:rPr>
                <w:sz w:val="18"/>
                <w:szCs w:val="18"/>
              </w:rPr>
              <w:t>67.1</w:t>
            </w:r>
          </w:p>
        </w:tc>
        <w:tc>
          <w:tcPr>
            <w:tcW w:w="886" w:type="pct"/>
          </w:tcPr>
          <w:p w:rsidR="00863130" w:rsidRPr="00863130" w:rsidRDefault="00863130" w:rsidP="003B6DAB">
            <w:pPr>
              <w:pStyle w:val="TableBodyText"/>
              <w:rPr>
                <w:sz w:val="18"/>
                <w:szCs w:val="18"/>
              </w:rPr>
            </w:pPr>
            <w:r w:rsidRPr="008B1657">
              <w:rPr>
                <w:sz w:val="18"/>
                <w:szCs w:val="18"/>
              </w:rPr>
              <w:t>101.4</w:t>
            </w:r>
          </w:p>
        </w:tc>
        <w:tc>
          <w:tcPr>
            <w:tcW w:w="885" w:type="pct"/>
          </w:tcPr>
          <w:p w:rsidR="00863130" w:rsidRPr="00863130" w:rsidRDefault="00863130" w:rsidP="003B6DAB">
            <w:pPr>
              <w:pStyle w:val="TableBodyText"/>
              <w:rPr>
                <w:sz w:val="18"/>
                <w:szCs w:val="18"/>
              </w:rPr>
            </w:pPr>
            <w:r w:rsidRPr="008B1657">
              <w:rPr>
                <w:sz w:val="18"/>
                <w:szCs w:val="18"/>
              </w:rPr>
              <w:t>168.5</w:t>
            </w:r>
          </w:p>
        </w:tc>
      </w:tr>
      <w:tr w:rsidR="00863130" w:rsidRPr="009B0AEB" w:rsidTr="0082676A">
        <w:tc>
          <w:tcPr>
            <w:tcW w:w="2343" w:type="pct"/>
            <w:vAlign w:val="center"/>
          </w:tcPr>
          <w:p w:rsidR="00863130" w:rsidRPr="009B0AEB" w:rsidRDefault="00863130" w:rsidP="00897C19">
            <w:pPr>
              <w:pStyle w:val="TableBodyText"/>
              <w:spacing w:after="20"/>
              <w:jc w:val="left"/>
              <w:rPr>
                <w:sz w:val="18"/>
                <w:szCs w:val="18"/>
              </w:rPr>
            </w:pPr>
            <w:r w:rsidRPr="009B0AEB">
              <w:rPr>
                <w:sz w:val="18"/>
                <w:szCs w:val="18"/>
              </w:rPr>
              <w:t>Wholesale trade</w:t>
            </w:r>
          </w:p>
        </w:tc>
        <w:tc>
          <w:tcPr>
            <w:tcW w:w="886" w:type="pct"/>
          </w:tcPr>
          <w:p w:rsidR="00863130" w:rsidRPr="00863130" w:rsidRDefault="00863130" w:rsidP="003B6DAB">
            <w:pPr>
              <w:pStyle w:val="TableBodyText"/>
              <w:rPr>
                <w:sz w:val="18"/>
                <w:szCs w:val="18"/>
              </w:rPr>
            </w:pPr>
            <w:r w:rsidRPr="008B1657">
              <w:rPr>
                <w:sz w:val="18"/>
                <w:szCs w:val="18"/>
              </w:rPr>
              <w:t>122.2</w:t>
            </w:r>
          </w:p>
        </w:tc>
        <w:tc>
          <w:tcPr>
            <w:tcW w:w="886" w:type="pct"/>
          </w:tcPr>
          <w:p w:rsidR="00863130" w:rsidRPr="00863130" w:rsidRDefault="00863130" w:rsidP="003B6DAB">
            <w:pPr>
              <w:pStyle w:val="TableBodyText"/>
              <w:rPr>
                <w:sz w:val="18"/>
                <w:szCs w:val="18"/>
              </w:rPr>
            </w:pPr>
            <w:r w:rsidRPr="008B1657">
              <w:rPr>
                <w:sz w:val="18"/>
                <w:szCs w:val="18"/>
              </w:rPr>
              <w:t>77.5</w:t>
            </w:r>
          </w:p>
        </w:tc>
        <w:tc>
          <w:tcPr>
            <w:tcW w:w="885" w:type="pct"/>
          </w:tcPr>
          <w:p w:rsidR="00863130" w:rsidRPr="00863130" w:rsidRDefault="00863130" w:rsidP="003B6DAB">
            <w:pPr>
              <w:pStyle w:val="TableBodyText"/>
              <w:rPr>
                <w:sz w:val="18"/>
                <w:szCs w:val="18"/>
              </w:rPr>
            </w:pPr>
            <w:r w:rsidRPr="008B1657">
              <w:rPr>
                <w:sz w:val="18"/>
                <w:szCs w:val="18"/>
              </w:rPr>
              <w:t>199.7</w:t>
            </w:r>
          </w:p>
        </w:tc>
      </w:tr>
      <w:tr w:rsidR="00863130" w:rsidRPr="009B0AEB" w:rsidTr="0082676A">
        <w:tc>
          <w:tcPr>
            <w:tcW w:w="2343" w:type="pct"/>
            <w:vAlign w:val="center"/>
          </w:tcPr>
          <w:p w:rsidR="00863130" w:rsidRPr="009B0AEB" w:rsidRDefault="00863130" w:rsidP="00897C19">
            <w:pPr>
              <w:pStyle w:val="TableBodyText"/>
              <w:spacing w:after="20"/>
              <w:jc w:val="left"/>
              <w:rPr>
                <w:sz w:val="18"/>
                <w:szCs w:val="18"/>
              </w:rPr>
            </w:pPr>
            <w:r w:rsidRPr="009B0AEB">
              <w:rPr>
                <w:sz w:val="18"/>
                <w:szCs w:val="18"/>
              </w:rPr>
              <w:t>Retail trade</w:t>
            </w:r>
          </w:p>
        </w:tc>
        <w:tc>
          <w:tcPr>
            <w:tcW w:w="886" w:type="pct"/>
          </w:tcPr>
          <w:p w:rsidR="00863130" w:rsidRPr="00863130" w:rsidRDefault="00863130" w:rsidP="003B6DAB">
            <w:pPr>
              <w:pStyle w:val="TableBodyText"/>
              <w:rPr>
                <w:sz w:val="18"/>
                <w:szCs w:val="18"/>
              </w:rPr>
            </w:pPr>
            <w:r w:rsidRPr="008B1657">
              <w:rPr>
                <w:sz w:val="18"/>
                <w:szCs w:val="18"/>
              </w:rPr>
              <w:t>57.5</w:t>
            </w:r>
          </w:p>
        </w:tc>
        <w:tc>
          <w:tcPr>
            <w:tcW w:w="886" w:type="pct"/>
          </w:tcPr>
          <w:p w:rsidR="00863130" w:rsidRPr="00863130" w:rsidRDefault="00863130" w:rsidP="003B6DAB">
            <w:pPr>
              <w:pStyle w:val="TableBodyText"/>
              <w:rPr>
                <w:sz w:val="18"/>
                <w:szCs w:val="18"/>
              </w:rPr>
            </w:pPr>
            <w:r w:rsidRPr="008B1657">
              <w:rPr>
                <w:sz w:val="18"/>
                <w:szCs w:val="18"/>
              </w:rPr>
              <w:t>69.3</w:t>
            </w:r>
          </w:p>
        </w:tc>
        <w:tc>
          <w:tcPr>
            <w:tcW w:w="885" w:type="pct"/>
          </w:tcPr>
          <w:p w:rsidR="00863130" w:rsidRPr="00863130" w:rsidRDefault="00863130" w:rsidP="003B6DAB">
            <w:pPr>
              <w:pStyle w:val="TableBodyText"/>
              <w:rPr>
                <w:sz w:val="18"/>
                <w:szCs w:val="18"/>
              </w:rPr>
            </w:pPr>
            <w:r w:rsidRPr="008B1657">
              <w:rPr>
                <w:sz w:val="18"/>
                <w:szCs w:val="18"/>
              </w:rPr>
              <w:t>126.8</w:t>
            </w:r>
          </w:p>
        </w:tc>
      </w:tr>
      <w:tr w:rsidR="00863130" w:rsidRPr="009B0AEB" w:rsidTr="0082676A">
        <w:tc>
          <w:tcPr>
            <w:tcW w:w="2343" w:type="pct"/>
            <w:vAlign w:val="center"/>
          </w:tcPr>
          <w:p w:rsidR="00863130" w:rsidRPr="009B0AEB" w:rsidRDefault="00863130" w:rsidP="00897C19">
            <w:pPr>
              <w:pStyle w:val="TableBodyText"/>
              <w:spacing w:after="20"/>
              <w:jc w:val="left"/>
              <w:rPr>
                <w:sz w:val="18"/>
                <w:szCs w:val="18"/>
              </w:rPr>
            </w:pPr>
            <w:r w:rsidRPr="009B0AEB">
              <w:rPr>
                <w:sz w:val="18"/>
                <w:szCs w:val="18"/>
              </w:rPr>
              <w:t>Accommodation and food services</w:t>
            </w:r>
          </w:p>
        </w:tc>
        <w:tc>
          <w:tcPr>
            <w:tcW w:w="886" w:type="pct"/>
          </w:tcPr>
          <w:p w:rsidR="00863130" w:rsidRPr="00863130" w:rsidRDefault="00863130" w:rsidP="003B6DAB">
            <w:pPr>
              <w:pStyle w:val="TableBodyText"/>
              <w:rPr>
                <w:sz w:val="18"/>
                <w:szCs w:val="18"/>
              </w:rPr>
            </w:pPr>
            <w:r w:rsidRPr="008B1657">
              <w:rPr>
                <w:sz w:val="18"/>
                <w:szCs w:val="18"/>
              </w:rPr>
              <w:t>9.1</w:t>
            </w:r>
          </w:p>
        </w:tc>
        <w:tc>
          <w:tcPr>
            <w:tcW w:w="886" w:type="pct"/>
          </w:tcPr>
          <w:p w:rsidR="00863130" w:rsidRPr="00863130" w:rsidRDefault="00863130" w:rsidP="003B6DAB">
            <w:pPr>
              <w:pStyle w:val="TableBodyText"/>
              <w:rPr>
                <w:sz w:val="18"/>
                <w:szCs w:val="18"/>
              </w:rPr>
            </w:pPr>
            <w:r w:rsidRPr="008B1657">
              <w:rPr>
                <w:sz w:val="18"/>
                <w:szCs w:val="18"/>
              </w:rPr>
              <w:t>60.2</w:t>
            </w:r>
          </w:p>
        </w:tc>
        <w:tc>
          <w:tcPr>
            <w:tcW w:w="885" w:type="pct"/>
          </w:tcPr>
          <w:p w:rsidR="00863130" w:rsidRPr="00863130" w:rsidRDefault="00863130" w:rsidP="003B6DAB">
            <w:pPr>
              <w:pStyle w:val="TableBodyText"/>
              <w:rPr>
                <w:sz w:val="18"/>
                <w:szCs w:val="18"/>
              </w:rPr>
            </w:pPr>
            <w:r w:rsidRPr="008B1657">
              <w:rPr>
                <w:sz w:val="18"/>
                <w:szCs w:val="18"/>
              </w:rPr>
              <w:t>69.3</w:t>
            </w:r>
          </w:p>
        </w:tc>
      </w:tr>
      <w:tr w:rsidR="00863130" w:rsidRPr="009B0AEB" w:rsidTr="0082676A">
        <w:tc>
          <w:tcPr>
            <w:tcW w:w="2343" w:type="pct"/>
            <w:vAlign w:val="center"/>
          </w:tcPr>
          <w:p w:rsidR="00863130" w:rsidRPr="009B0AEB" w:rsidRDefault="00863130" w:rsidP="00897C19">
            <w:pPr>
              <w:pStyle w:val="TableBodyText"/>
              <w:spacing w:after="20"/>
              <w:jc w:val="left"/>
              <w:rPr>
                <w:sz w:val="18"/>
                <w:szCs w:val="18"/>
              </w:rPr>
            </w:pPr>
            <w:r w:rsidRPr="009B0AEB">
              <w:rPr>
                <w:sz w:val="18"/>
                <w:szCs w:val="18"/>
              </w:rPr>
              <w:t>Transport, postal and warehousing</w:t>
            </w:r>
          </w:p>
        </w:tc>
        <w:tc>
          <w:tcPr>
            <w:tcW w:w="886" w:type="pct"/>
          </w:tcPr>
          <w:p w:rsidR="00863130" w:rsidRPr="00863130" w:rsidRDefault="00863130" w:rsidP="003B6DAB">
            <w:pPr>
              <w:pStyle w:val="TableBodyText"/>
              <w:rPr>
                <w:sz w:val="18"/>
                <w:szCs w:val="18"/>
              </w:rPr>
            </w:pPr>
            <w:r w:rsidRPr="008B1657">
              <w:rPr>
                <w:sz w:val="18"/>
                <w:szCs w:val="18"/>
              </w:rPr>
              <w:t>56.7</w:t>
            </w:r>
          </w:p>
        </w:tc>
        <w:tc>
          <w:tcPr>
            <w:tcW w:w="886" w:type="pct"/>
          </w:tcPr>
          <w:p w:rsidR="00863130" w:rsidRPr="00863130" w:rsidRDefault="00863130" w:rsidP="003B6DAB">
            <w:pPr>
              <w:pStyle w:val="TableBodyText"/>
              <w:rPr>
                <w:sz w:val="18"/>
                <w:szCs w:val="18"/>
              </w:rPr>
            </w:pPr>
            <w:r w:rsidRPr="008B1657">
              <w:rPr>
                <w:sz w:val="18"/>
                <w:szCs w:val="18"/>
              </w:rPr>
              <w:t>39.4</w:t>
            </w:r>
          </w:p>
        </w:tc>
        <w:tc>
          <w:tcPr>
            <w:tcW w:w="885" w:type="pct"/>
          </w:tcPr>
          <w:p w:rsidR="00863130" w:rsidRPr="00863130" w:rsidRDefault="00863130" w:rsidP="003B6DAB">
            <w:pPr>
              <w:pStyle w:val="TableBodyText"/>
              <w:rPr>
                <w:sz w:val="18"/>
                <w:szCs w:val="18"/>
              </w:rPr>
            </w:pPr>
            <w:r w:rsidRPr="008B1657">
              <w:rPr>
                <w:sz w:val="18"/>
                <w:szCs w:val="18"/>
              </w:rPr>
              <w:t>96.1</w:t>
            </w:r>
          </w:p>
        </w:tc>
      </w:tr>
      <w:tr w:rsidR="00863130" w:rsidRPr="009B0AEB" w:rsidTr="0082676A">
        <w:tc>
          <w:tcPr>
            <w:tcW w:w="2343" w:type="pct"/>
            <w:vAlign w:val="center"/>
          </w:tcPr>
          <w:p w:rsidR="00863130" w:rsidRPr="009B0AEB" w:rsidRDefault="00863130" w:rsidP="00897C19">
            <w:pPr>
              <w:pStyle w:val="TableBodyText"/>
              <w:spacing w:after="20"/>
              <w:jc w:val="left"/>
              <w:rPr>
                <w:sz w:val="18"/>
                <w:szCs w:val="18"/>
              </w:rPr>
            </w:pPr>
            <w:r w:rsidRPr="009B0AEB">
              <w:rPr>
                <w:sz w:val="18"/>
                <w:szCs w:val="18"/>
              </w:rPr>
              <w:t>Information, media and telecommunications</w:t>
            </w:r>
          </w:p>
        </w:tc>
        <w:tc>
          <w:tcPr>
            <w:tcW w:w="886" w:type="pct"/>
          </w:tcPr>
          <w:p w:rsidR="00863130" w:rsidRPr="00863130" w:rsidRDefault="00863130" w:rsidP="003B6DAB">
            <w:pPr>
              <w:pStyle w:val="TableBodyText"/>
              <w:rPr>
                <w:sz w:val="18"/>
                <w:szCs w:val="18"/>
              </w:rPr>
            </w:pPr>
            <w:r w:rsidRPr="008B1657">
              <w:rPr>
                <w:sz w:val="18"/>
                <w:szCs w:val="18"/>
              </w:rPr>
              <w:t>171.6</w:t>
            </w:r>
          </w:p>
        </w:tc>
        <w:tc>
          <w:tcPr>
            <w:tcW w:w="886" w:type="pct"/>
          </w:tcPr>
          <w:p w:rsidR="00863130" w:rsidRPr="00863130" w:rsidRDefault="00863130" w:rsidP="003B6DAB">
            <w:pPr>
              <w:pStyle w:val="TableBodyText"/>
              <w:rPr>
                <w:sz w:val="18"/>
                <w:szCs w:val="18"/>
              </w:rPr>
            </w:pPr>
            <w:r w:rsidRPr="008B1657">
              <w:rPr>
                <w:sz w:val="18"/>
                <w:szCs w:val="18"/>
              </w:rPr>
              <w:t>186.1</w:t>
            </w:r>
          </w:p>
        </w:tc>
        <w:tc>
          <w:tcPr>
            <w:tcW w:w="885" w:type="pct"/>
          </w:tcPr>
          <w:p w:rsidR="00863130" w:rsidRPr="00863130" w:rsidRDefault="00863130" w:rsidP="003B6DAB">
            <w:pPr>
              <w:pStyle w:val="TableBodyText"/>
              <w:rPr>
                <w:sz w:val="18"/>
                <w:szCs w:val="18"/>
              </w:rPr>
            </w:pPr>
            <w:r w:rsidRPr="008B1657">
              <w:rPr>
                <w:sz w:val="18"/>
                <w:szCs w:val="18"/>
              </w:rPr>
              <w:t>357.7</w:t>
            </w:r>
          </w:p>
        </w:tc>
      </w:tr>
      <w:tr w:rsidR="00863130" w:rsidRPr="009B0AEB" w:rsidTr="0082676A">
        <w:tc>
          <w:tcPr>
            <w:tcW w:w="2343" w:type="pct"/>
            <w:vAlign w:val="center"/>
          </w:tcPr>
          <w:p w:rsidR="00863130" w:rsidRPr="009B0AEB" w:rsidRDefault="00863130" w:rsidP="00897C19">
            <w:pPr>
              <w:pStyle w:val="TableBodyText"/>
              <w:spacing w:after="20"/>
              <w:jc w:val="left"/>
              <w:rPr>
                <w:sz w:val="18"/>
                <w:szCs w:val="18"/>
              </w:rPr>
            </w:pPr>
            <w:r w:rsidRPr="009B0AEB">
              <w:rPr>
                <w:sz w:val="18"/>
                <w:szCs w:val="18"/>
              </w:rPr>
              <w:t>Financial and insurance services</w:t>
            </w:r>
          </w:p>
        </w:tc>
        <w:tc>
          <w:tcPr>
            <w:tcW w:w="886" w:type="pct"/>
          </w:tcPr>
          <w:p w:rsidR="00863130" w:rsidRPr="00863130" w:rsidRDefault="00863130" w:rsidP="003B6DAB">
            <w:pPr>
              <w:pStyle w:val="TableBodyText"/>
              <w:rPr>
                <w:sz w:val="18"/>
                <w:szCs w:val="18"/>
              </w:rPr>
            </w:pPr>
            <w:r w:rsidRPr="008B1657">
              <w:rPr>
                <w:sz w:val="18"/>
                <w:szCs w:val="18"/>
              </w:rPr>
              <w:t>134.1</w:t>
            </w:r>
          </w:p>
        </w:tc>
        <w:tc>
          <w:tcPr>
            <w:tcW w:w="886" w:type="pct"/>
          </w:tcPr>
          <w:p w:rsidR="00863130" w:rsidRPr="00863130" w:rsidRDefault="00863130" w:rsidP="003B6DAB">
            <w:pPr>
              <w:pStyle w:val="TableBodyText"/>
              <w:rPr>
                <w:sz w:val="18"/>
                <w:szCs w:val="18"/>
              </w:rPr>
            </w:pPr>
            <w:r w:rsidRPr="008B1657">
              <w:rPr>
                <w:sz w:val="18"/>
                <w:szCs w:val="18"/>
              </w:rPr>
              <w:t>506.1</w:t>
            </w:r>
          </w:p>
        </w:tc>
        <w:tc>
          <w:tcPr>
            <w:tcW w:w="885" w:type="pct"/>
          </w:tcPr>
          <w:p w:rsidR="00863130" w:rsidRPr="00863130" w:rsidRDefault="00863130" w:rsidP="003B6DAB">
            <w:pPr>
              <w:pStyle w:val="TableBodyText"/>
              <w:rPr>
                <w:sz w:val="18"/>
                <w:szCs w:val="18"/>
              </w:rPr>
            </w:pPr>
            <w:r w:rsidRPr="008B1657">
              <w:rPr>
                <w:sz w:val="18"/>
                <w:szCs w:val="18"/>
              </w:rPr>
              <w:t>640.3</w:t>
            </w:r>
          </w:p>
        </w:tc>
      </w:tr>
      <w:tr w:rsidR="00863130" w:rsidRPr="009B0AEB" w:rsidTr="0082676A">
        <w:tc>
          <w:tcPr>
            <w:tcW w:w="2343" w:type="pct"/>
            <w:vAlign w:val="center"/>
          </w:tcPr>
          <w:p w:rsidR="00863130" w:rsidRPr="009B0AEB" w:rsidRDefault="00863130" w:rsidP="00303BA3">
            <w:pPr>
              <w:pStyle w:val="TableBodyText"/>
              <w:spacing w:after="20"/>
              <w:jc w:val="left"/>
              <w:rPr>
                <w:sz w:val="18"/>
                <w:szCs w:val="18"/>
              </w:rPr>
            </w:pPr>
            <w:r w:rsidRPr="009B0AEB">
              <w:rPr>
                <w:sz w:val="18"/>
                <w:szCs w:val="18"/>
              </w:rPr>
              <w:t>Property, professional and admin. services</w:t>
            </w:r>
          </w:p>
        </w:tc>
        <w:tc>
          <w:tcPr>
            <w:tcW w:w="886" w:type="pct"/>
          </w:tcPr>
          <w:p w:rsidR="00863130" w:rsidRPr="00863130" w:rsidRDefault="00863130" w:rsidP="003B6DAB">
            <w:pPr>
              <w:pStyle w:val="TableBodyText"/>
              <w:rPr>
                <w:sz w:val="18"/>
                <w:szCs w:val="18"/>
              </w:rPr>
            </w:pPr>
            <w:r w:rsidRPr="008B1657">
              <w:rPr>
                <w:sz w:val="18"/>
                <w:szCs w:val="18"/>
              </w:rPr>
              <w:t>384.4</w:t>
            </w:r>
          </w:p>
        </w:tc>
        <w:tc>
          <w:tcPr>
            <w:tcW w:w="886" w:type="pct"/>
          </w:tcPr>
          <w:p w:rsidR="00863130" w:rsidRPr="00863130" w:rsidRDefault="00863130" w:rsidP="003B6DAB">
            <w:pPr>
              <w:pStyle w:val="TableBodyText"/>
              <w:rPr>
                <w:sz w:val="18"/>
                <w:szCs w:val="18"/>
              </w:rPr>
            </w:pPr>
            <w:r w:rsidRPr="008B1657">
              <w:rPr>
                <w:sz w:val="18"/>
                <w:szCs w:val="18"/>
              </w:rPr>
              <w:t>293.0</w:t>
            </w:r>
          </w:p>
        </w:tc>
        <w:tc>
          <w:tcPr>
            <w:tcW w:w="885" w:type="pct"/>
          </w:tcPr>
          <w:p w:rsidR="00863130" w:rsidRPr="00863130" w:rsidRDefault="00863130" w:rsidP="003B6DAB">
            <w:pPr>
              <w:pStyle w:val="TableBodyText"/>
              <w:rPr>
                <w:sz w:val="18"/>
                <w:szCs w:val="18"/>
              </w:rPr>
            </w:pPr>
            <w:r w:rsidRPr="008B1657">
              <w:rPr>
                <w:sz w:val="18"/>
                <w:szCs w:val="18"/>
              </w:rPr>
              <w:t>677.5</w:t>
            </w:r>
          </w:p>
        </w:tc>
      </w:tr>
      <w:tr w:rsidR="00863130" w:rsidRPr="009B0AEB" w:rsidTr="0082676A">
        <w:tc>
          <w:tcPr>
            <w:tcW w:w="2343" w:type="pct"/>
            <w:vAlign w:val="center"/>
          </w:tcPr>
          <w:p w:rsidR="00863130" w:rsidRPr="009B0AEB" w:rsidRDefault="00863130" w:rsidP="00897C19">
            <w:pPr>
              <w:pStyle w:val="TableBodyText"/>
              <w:spacing w:after="20"/>
              <w:jc w:val="left"/>
              <w:rPr>
                <w:sz w:val="18"/>
                <w:szCs w:val="18"/>
              </w:rPr>
            </w:pPr>
            <w:r w:rsidRPr="009B0AEB">
              <w:rPr>
                <w:sz w:val="18"/>
                <w:szCs w:val="18"/>
              </w:rPr>
              <w:t>Public administration and safety</w:t>
            </w:r>
          </w:p>
        </w:tc>
        <w:tc>
          <w:tcPr>
            <w:tcW w:w="886" w:type="pct"/>
          </w:tcPr>
          <w:p w:rsidR="00863130" w:rsidRPr="00863130" w:rsidRDefault="00863130" w:rsidP="003B6DAB">
            <w:pPr>
              <w:pStyle w:val="TableBodyText"/>
              <w:rPr>
                <w:sz w:val="18"/>
                <w:szCs w:val="18"/>
              </w:rPr>
            </w:pPr>
            <w:r w:rsidRPr="008B1657">
              <w:rPr>
                <w:sz w:val="18"/>
                <w:szCs w:val="18"/>
              </w:rPr>
              <w:t>13.5</w:t>
            </w:r>
          </w:p>
        </w:tc>
        <w:tc>
          <w:tcPr>
            <w:tcW w:w="886" w:type="pct"/>
          </w:tcPr>
          <w:p w:rsidR="00863130" w:rsidRPr="00863130" w:rsidRDefault="00863130" w:rsidP="003B6DAB">
            <w:pPr>
              <w:pStyle w:val="TableBodyText"/>
              <w:rPr>
                <w:sz w:val="18"/>
                <w:szCs w:val="18"/>
              </w:rPr>
            </w:pPr>
            <w:r w:rsidRPr="008B1657">
              <w:rPr>
                <w:sz w:val="18"/>
                <w:szCs w:val="18"/>
              </w:rPr>
              <w:t>4.0</w:t>
            </w:r>
          </w:p>
        </w:tc>
        <w:tc>
          <w:tcPr>
            <w:tcW w:w="885" w:type="pct"/>
          </w:tcPr>
          <w:p w:rsidR="00863130" w:rsidRPr="00863130" w:rsidRDefault="00863130" w:rsidP="003B6DAB">
            <w:pPr>
              <w:pStyle w:val="TableBodyText"/>
              <w:rPr>
                <w:sz w:val="18"/>
                <w:szCs w:val="18"/>
              </w:rPr>
            </w:pPr>
            <w:r w:rsidRPr="008B1657">
              <w:rPr>
                <w:sz w:val="18"/>
                <w:szCs w:val="18"/>
              </w:rPr>
              <w:t>17.5</w:t>
            </w:r>
          </w:p>
        </w:tc>
      </w:tr>
      <w:tr w:rsidR="00863130" w:rsidRPr="009B0AEB" w:rsidTr="0082676A">
        <w:tc>
          <w:tcPr>
            <w:tcW w:w="2343" w:type="pct"/>
            <w:vAlign w:val="center"/>
          </w:tcPr>
          <w:p w:rsidR="00863130" w:rsidRPr="009B0AEB" w:rsidRDefault="00863130" w:rsidP="00897C19">
            <w:pPr>
              <w:pStyle w:val="TableBodyText"/>
              <w:spacing w:after="20"/>
              <w:jc w:val="left"/>
              <w:rPr>
                <w:sz w:val="18"/>
                <w:szCs w:val="18"/>
              </w:rPr>
            </w:pPr>
            <w:r w:rsidRPr="009B0AEB">
              <w:rPr>
                <w:sz w:val="18"/>
                <w:szCs w:val="18"/>
              </w:rPr>
              <w:t>Education and training</w:t>
            </w:r>
          </w:p>
        </w:tc>
        <w:tc>
          <w:tcPr>
            <w:tcW w:w="886" w:type="pct"/>
          </w:tcPr>
          <w:p w:rsidR="00863130" w:rsidRPr="00863130" w:rsidRDefault="00863130" w:rsidP="003B6DAB">
            <w:pPr>
              <w:pStyle w:val="TableBodyText"/>
              <w:rPr>
                <w:sz w:val="18"/>
                <w:szCs w:val="18"/>
              </w:rPr>
            </w:pPr>
            <w:r w:rsidRPr="008B1657">
              <w:rPr>
                <w:sz w:val="18"/>
                <w:szCs w:val="18"/>
              </w:rPr>
              <w:t>27.1</w:t>
            </w:r>
          </w:p>
        </w:tc>
        <w:tc>
          <w:tcPr>
            <w:tcW w:w="886" w:type="pct"/>
          </w:tcPr>
          <w:p w:rsidR="00863130" w:rsidRPr="00863130" w:rsidRDefault="00863130" w:rsidP="003B6DAB">
            <w:pPr>
              <w:pStyle w:val="TableBodyText"/>
              <w:rPr>
                <w:sz w:val="18"/>
                <w:szCs w:val="18"/>
              </w:rPr>
            </w:pPr>
            <w:r w:rsidRPr="008B1657">
              <w:rPr>
                <w:sz w:val="18"/>
                <w:szCs w:val="18"/>
              </w:rPr>
              <w:t>11.8</w:t>
            </w:r>
          </w:p>
        </w:tc>
        <w:tc>
          <w:tcPr>
            <w:tcW w:w="885" w:type="pct"/>
          </w:tcPr>
          <w:p w:rsidR="00863130" w:rsidRPr="00863130" w:rsidRDefault="00863130" w:rsidP="003B6DAB">
            <w:pPr>
              <w:pStyle w:val="TableBodyText"/>
              <w:rPr>
                <w:sz w:val="18"/>
                <w:szCs w:val="18"/>
              </w:rPr>
            </w:pPr>
            <w:r w:rsidRPr="008B1657">
              <w:rPr>
                <w:sz w:val="18"/>
                <w:szCs w:val="18"/>
              </w:rPr>
              <w:t>38.9</w:t>
            </w:r>
          </w:p>
        </w:tc>
      </w:tr>
      <w:tr w:rsidR="00863130" w:rsidRPr="009B0AEB" w:rsidTr="0082676A">
        <w:tc>
          <w:tcPr>
            <w:tcW w:w="2343" w:type="pct"/>
            <w:vAlign w:val="center"/>
          </w:tcPr>
          <w:p w:rsidR="00863130" w:rsidRPr="009B0AEB" w:rsidRDefault="00863130" w:rsidP="00897C19">
            <w:pPr>
              <w:pStyle w:val="TableBodyText"/>
              <w:spacing w:after="20"/>
              <w:jc w:val="left"/>
              <w:rPr>
                <w:sz w:val="18"/>
                <w:szCs w:val="18"/>
              </w:rPr>
            </w:pPr>
            <w:r w:rsidRPr="009B0AEB">
              <w:rPr>
                <w:sz w:val="18"/>
                <w:szCs w:val="18"/>
              </w:rPr>
              <w:t>Health care and social assistance</w:t>
            </w:r>
          </w:p>
        </w:tc>
        <w:tc>
          <w:tcPr>
            <w:tcW w:w="886" w:type="pct"/>
          </w:tcPr>
          <w:p w:rsidR="00863130" w:rsidRPr="00863130" w:rsidRDefault="00863130" w:rsidP="003B6DAB">
            <w:pPr>
              <w:pStyle w:val="TableBodyText"/>
              <w:rPr>
                <w:sz w:val="18"/>
                <w:szCs w:val="18"/>
              </w:rPr>
            </w:pPr>
            <w:r w:rsidRPr="008B1657">
              <w:rPr>
                <w:sz w:val="18"/>
                <w:szCs w:val="18"/>
              </w:rPr>
              <w:t>102.1</w:t>
            </w:r>
          </w:p>
        </w:tc>
        <w:tc>
          <w:tcPr>
            <w:tcW w:w="886" w:type="pct"/>
          </w:tcPr>
          <w:p w:rsidR="00863130" w:rsidRPr="00863130" w:rsidRDefault="00863130" w:rsidP="003B6DAB">
            <w:pPr>
              <w:pStyle w:val="TableBodyText"/>
              <w:rPr>
                <w:sz w:val="18"/>
                <w:szCs w:val="18"/>
              </w:rPr>
            </w:pPr>
            <w:r w:rsidRPr="008B1657">
              <w:rPr>
                <w:sz w:val="18"/>
                <w:szCs w:val="18"/>
              </w:rPr>
              <w:t>56.1</w:t>
            </w:r>
          </w:p>
        </w:tc>
        <w:tc>
          <w:tcPr>
            <w:tcW w:w="885" w:type="pct"/>
          </w:tcPr>
          <w:p w:rsidR="00863130" w:rsidRPr="00863130" w:rsidRDefault="00863130" w:rsidP="003B6DAB">
            <w:pPr>
              <w:pStyle w:val="TableBodyText"/>
              <w:rPr>
                <w:sz w:val="18"/>
                <w:szCs w:val="18"/>
              </w:rPr>
            </w:pPr>
            <w:r w:rsidRPr="008B1657">
              <w:rPr>
                <w:sz w:val="18"/>
                <w:szCs w:val="18"/>
              </w:rPr>
              <w:t>158.1</w:t>
            </w:r>
          </w:p>
        </w:tc>
      </w:tr>
      <w:tr w:rsidR="00863130" w:rsidRPr="009B0AEB" w:rsidTr="0082676A">
        <w:tc>
          <w:tcPr>
            <w:tcW w:w="2343" w:type="pct"/>
            <w:vAlign w:val="center"/>
          </w:tcPr>
          <w:p w:rsidR="00863130" w:rsidRPr="009B0AEB" w:rsidRDefault="00863130" w:rsidP="00897C19">
            <w:pPr>
              <w:pStyle w:val="TableBodyText"/>
              <w:spacing w:after="20"/>
              <w:jc w:val="left"/>
              <w:rPr>
                <w:sz w:val="18"/>
                <w:szCs w:val="18"/>
              </w:rPr>
            </w:pPr>
            <w:r w:rsidRPr="009B0AEB">
              <w:rPr>
                <w:sz w:val="18"/>
                <w:szCs w:val="18"/>
              </w:rPr>
              <w:t>Arts and recreation services</w:t>
            </w:r>
          </w:p>
        </w:tc>
        <w:tc>
          <w:tcPr>
            <w:tcW w:w="886" w:type="pct"/>
          </w:tcPr>
          <w:p w:rsidR="00863130" w:rsidRPr="00863130" w:rsidRDefault="00863130" w:rsidP="003B6DAB">
            <w:pPr>
              <w:pStyle w:val="TableBodyText"/>
              <w:rPr>
                <w:sz w:val="18"/>
                <w:szCs w:val="18"/>
              </w:rPr>
            </w:pPr>
            <w:r w:rsidRPr="008B1657">
              <w:rPr>
                <w:sz w:val="18"/>
                <w:szCs w:val="18"/>
              </w:rPr>
              <w:t>125.9</w:t>
            </w:r>
          </w:p>
        </w:tc>
        <w:tc>
          <w:tcPr>
            <w:tcW w:w="886" w:type="pct"/>
          </w:tcPr>
          <w:p w:rsidR="00863130" w:rsidRPr="00863130" w:rsidRDefault="00863130" w:rsidP="003B6DAB">
            <w:pPr>
              <w:pStyle w:val="TableBodyText"/>
              <w:rPr>
                <w:sz w:val="18"/>
                <w:szCs w:val="18"/>
              </w:rPr>
            </w:pPr>
            <w:r w:rsidRPr="008B1657">
              <w:rPr>
                <w:sz w:val="18"/>
                <w:szCs w:val="18"/>
              </w:rPr>
              <w:t>281.5</w:t>
            </w:r>
          </w:p>
        </w:tc>
        <w:tc>
          <w:tcPr>
            <w:tcW w:w="885" w:type="pct"/>
          </w:tcPr>
          <w:p w:rsidR="00863130" w:rsidRPr="00863130" w:rsidRDefault="00863130" w:rsidP="003B6DAB">
            <w:pPr>
              <w:pStyle w:val="TableBodyText"/>
              <w:rPr>
                <w:sz w:val="18"/>
                <w:szCs w:val="18"/>
              </w:rPr>
            </w:pPr>
            <w:r w:rsidRPr="008B1657">
              <w:rPr>
                <w:sz w:val="18"/>
                <w:szCs w:val="18"/>
              </w:rPr>
              <w:t>407.4</w:t>
            </w:r>
          </w:p>
        </w:tc>
      </w:tr>
      <w:tr w:rsidR="00863130" w:rsidRPr="009B0AEB" w:rsidTr="0082676A">
        <w:tc>
          <w:tcPr>
            <w:tcW w:w="2343" w:type="pct"/>
            <w:vAlign w:val="center"/>
          </w:tcPr>
          <w:p w:rsidR="00863130" w:rsidRPr="009B0AEB" w:rsidRDefault="00863130" w:rsidP="00897C19">
            <w:pPr>
              <w:pStyle w:val="TableBodyText"/>
              <w:spacing w:after="20"/>
              <w:jc w:val="left"/>
              <w:rPr>
                <w:sz w:val="18"/>
                <w:szCs w:val="18"/>
              </w:rPr>
            </w:pPr>
            <w:r w:rsidRPr="009B0AEB">
              <w:rPr>
                <w:sz w:val="18"/>
                <w:szCs w:val="18"/>
              </w:rPr>
              <w:t>Other services</w:t>
            </w:r>
          </w:p>
        </w:tc>
        <w:tc>
          <w:tcPr>
            <w:tcW w:w="886" w:type="pct"/>
          </w:tcPr>
          <w:p w:rsidR="00863130" w:rsidRPr="00863130" w:rsidRDefault="00863130" w:rsidP="003B6DAB">
            <w:pPr>
              <w:pStyle w:val="TableBodyText"/>
              <w:rPr>
                <w:sz w:val="18"/>
                <w:szCs w:val="18"/>
              </w:rPr>
            </w:pPr>
            <w:r w:rsidRPr="008B1657">
              <w:rPr>
                <w:sz w:val="18"/>
                <w:szCs w:val="18"/>
              </w:rPr>
              <w:t>38.9</w:t>
            </w:r>
          </w:p>
        </w:tc>
        <w:tc>
          <w:tcPr>
            <w:tcW w:w="886" w:type="pct"/>
          </w:tcPr>
          <w:p w:rsidR="00863130" w:rsidRPr="00863130" w:rsidRDefault="00863130" w:rsidP="003B6DAB">
            <w:pPr>
              <w:pStyle w:val="TableBodyText"/>
              <w:rPr>
                <w:sz w:val="18"/>
                <w:szCs w:val="18"/>
              </w:rPr>
            </w:pPr>
            <w:r w:rsidRPr="008B1657">
              <w:rPr>
                <w:sz w:val="18"/>
                <w:szCs w:val="18"/>
              </w:rPr>
              <w:t>29.7</w:t>
            </w:r>
          </w:p>
        </w:tc>
        <w:tc>
          <w:tcPr>
            <w:tcW w:w="885" w:type="pct"/>
          </w:tcPr>
          <w:p w:rsidR="00863130" w:rsidRPr="00863130" w:rsidRDefault="00863130" w:rsidP="003B6DAB">
            <w:pPr>
              <w:pStyle w:val="TableBodyText"/>
              <w:rPr>
                <w:sz w:val="18"/>
                <w:szCs w:val="18"/>
              </w:rPr>
            </w:pPr>
            <w:r w:rsidRPr="008B1657">
              <w:rPr>
                <w:sz w:val="18"/>
                <w:szCs w:val="18"/>
              </w:rPr>
              <w:t>68.6</w:t>
            </w:r>
          </w:p>
        </w:tc>
      </w:tr>
      <w:tr w:rsidR="00863130" w:rsidRPr="009B0AEB" w:rsidTr="0082676A">
        <w:tc>
          <w:tcPr>
            <w:tcW w:w="2343" w:type="pct"/>
            <w:vAlign w:val="center"/>
          </w:tcPr>
          <w:p w:rsidR="00863130" w:rsidRPr="009B0AEB" w:rsidRDefault="00863130" w:rsidP="00897C19">
            <w:pPr>
              <w:pStyle w:val="TableBodyText"/>
              <w:spacing w:after="20"/>
              <w:jc w:val="left"/>
              <w:rPr>
                <w:sz w:val="18"/>
                <w:szCs w:val="18"/>
              </w:rPr>
            </w:pPr>
            <w:r w:rsidRPr="009B0AEB">
              <w:rPr>
                <w:sz w:val="18"/>
                <w:szCs w:val="18"/>
              </w:rPr>
              <w:t>Unallocated services</w:t>
            </w:r>
            <w:r w:rsidRPr="009B0AEB">
              <w:rPr>
                <w:rStyle w:val="NoteLabel"/>
                <w:szCs w:val="18"/>
              </w:rPr>
              <w:t>b</w:t>
            </w:r>
          </w:p>
        </w:tc>
        <w:tc>
          <w:tcPr>
            <w:tcW w:w="886" w:type="pct"/>
          </w:tcPr>
          <w:p w:rsidR="00863130" w:rsidRPr="00863130" w:rsidRDefault="00863130" w:rsidP="003B6DAB">
            <w:pPr>
              <w:pStyle w:val="TableBodyText"/>
              <w:rPr>
                <w:sz w:val="18"/>
                <w:szCs w:val="18"/>
              </w:rPr>
            </w:pPr>
            <w:r w:rsidRPr="008B1657">
              <w:rPr>
                <w:sz w:val="18"/>
                <w:szCs w:val="18"/>
              </w:rPr>
              <w:t>170.8</w:t>
            </w:r>
          </w:p>
        </w:tc>
        <w:tc>
          <w:tcPr>
            <w:tcW w:w="886" w:type="pct"/>
          </w:tcPr>
          <w:p w:rsidR="00863130" w:rsidRPr="00863130" w:rsidRDefault="00863130" w:rsidP="003B6DAB">
            <w:pPr>
              <w:pStyle w:val="TableBodyText"/>
              <w:rPr>
                <w:sz w:val="18"/>
                <w:szCs w:val="18"/>
              </w:rPr>
            </w:pPr>
            <w:r w:rsidRPr="008B1657">
              <w:rPr>
                <w:sz w:val="18"/>
                <w:szCs w:val="18"/>
              </w:rPr>
              <w:t>0.0</w:t>
            </w:r>
          </w:p>
        </w:tc>
        <w:tc>
          <w:tcPr>
            <w:tcW w:w="885" w:type="pct"/>
          </w:tcPr>
          <w:p w:rsidR="00863130" w:rsidRPr="00863130" w:rsidRDefault="00863130" w:rsidP="003B6DAB">
            <w:pPr>
              <w:pStyle w:val="TableBodyText"/>
              <w:rPr>
                <w:sz w:val="18"/>
                <w:szCs w:val="18"/>
              </w:rPr>
            </w:pPr>
            <w:r w:rsidRPr="008B1657">
              <w:rPr>
                <w:sz w:val="18"/>
                <w:szCs w:val="18"/>
              </w:rPr>
              <w:t>170.8</w:t>
            </w:r>
          </w:p>
        </w:tc>
      </w:tr>
      <w:tr w:rsidR="00863130" w:rsidRPr="009B0AEB" w:rsidTr="0082676A">
        <w:tc>
          <w:tcPr>
            <w:tcW w:w="2343" w:type="pct"/>
            <w:vAlign w:val="center"/>
          </w:tcPr>
          <w:p w:rsidR="00863130" w:rsidRPr="009B0AEB" w:rsidRDefault="00863130" w:rsidP="00897C19">
            <w:pPr>
              <w:pStyle w:val="TableBodyText"/>
              <w:spacing w:after="20"/>
              <w:jc w:val="left"/>
              <w:rPr>
                <w:sz w:val="18"/>
                <w:szCs w:val="18"/>
              </w:rPr>
            </w:pPr>
            <w:r w:rsidRPr="00C15657">
              <w:rPr>
                <w:b/>
                <w:sz w:val="18"/>
                <w:szCs w:val="18"/>
              </w:rPr>
              <w:t>Unallocated other</w:t>
            </w:r>
            <w:r w:rsidRPr="009B0AEB">
              <w:rPr>
                <w:rStyle w:val="NoteLabel"/>
                <w:szCs w:val="18"/>
              </w:rPr>
              <w:t>b</w:t>
            </w:r>
          </w:p>
        </w:tc>
        <w:tc>
          <w:tcPr>
            <w:tcW w:w="886" w:type="pct"/>
          </w:tcPr>
          <w:p w:rsidR="00863130" w:rsidRPr="00C15657" w:rsidRDefault="00863130" w:rsidP="003B6DAB">
            <w:pPr>
              <w:pStyle w:val="TableBodyText"/>
              <w:rPr>
                <w:b/>
                <w:sz w:val="18"/>
                <w:szCs w:val="18"/>
              </w:rPr>
            </w:pPr>
            <w:r w:rsidRPr="00C15657">
              <w:rPr>
                <w:b/>
                <w:sz w:val="18"/>
                <w:szCs w:val="18"/>
              </w:rPr>
              <w:t>280.0</w:t>
            </w:r>
          </w:p>
        </w:tc>
        <w:tc>
          <w:tcPr>
            <w:tcW w:w="886" w:type="pct"/>
          </w:tcPr>
          <w:p w:rsidR="00863130" w:rsidRPr="00C15657" w:rsidRDefault="00863130" w:rsidP="003B6DAB">
            <w:pPr>
              <w:pStyle w:val="TableBodyText"/>
              <w:rPr>
                <w:b/>
                <w:sz w:val="18"/>
                <w:szCs w:val="18"/>
              </w:rPr>
            </w:pPr>
            <w:r w:rsidRPr="00C15657">
              <w:rPr>
                <w:b/>
                <w:sz w:val="18"/>
                <w:szCs w:val="18"/>
              </w:rPr>
              <w:t>875.8</w:t>
            </w:r>
          </w:p>
        </w:tc>
        <w:tc>
          <w:tcPr>
            <w:tcW w:w="885" w:type="pct"/>
          </w:tcPr>
          <w:p w:rsidR="00863130" w:rsidRPr="00C15657" w:rsidRDefault="00863130" w:rsidP="003B6DAB">
            <w:pPr>
              <w:pStyle w:val="TableBodyText"/>
              <w:rPr>
                <w:b/>
                <w:sz w:val="18"/>
                <w:szCs w:val="18"/>
              </w:rPr>
            </w:pPr>
            <w:r w:rsidRPr="00C15657">
              <w:rPr>
                <w:b/>
                <w:sz w:val="18"/>
                <w:szCs w:val="18"/>
              </w:rPr>
              <w:t>1155.8</w:t>
            </w:r>
          </w:p>
        </w:tc>
      </w:tr>
      <w:tr w:rsidR="00863130" w:rsidRPr="003B6DAB" w:rsidTr="0082676A">
        <w:tc>
          <w:tcPr>
            <w:tcW w:w="2343" w:type="pct"/>
            <w:tcBorders>
              <w:bottom w:val="single" w:sz="6" w:space="0" w:color="auto"/>
            </w:tcBorders>
            <w:shd w:val="clear" w:color="auto" w:fill="auto"/>
          </w:tcPr>
          <w:p w:rsidR="00863130" w:rsidRPr="003B6DAB" w:rsidRDefault="00863130" w:rsidP="007D18AC">
            <w:pPr>
              <w:pStyle w:val="TableBodyText"/>
              <w:jc w:val="left"/>
            </w:pPr>
            <w:r w:rsidRPr="003B6DAB">
              <w:rPr>
                <w:b/>
              </w:rPr>
              <w:t>Total</w:t>
            </w:r>
          </w:p>
        </w:tc>
        <w:tc>
          <w:tcPr>
            <w:tcW w:w="886" w:type="pct"/>
            <w:tcBorders>
              <w:bottom w:val="single" w:sz="6" w:space="0" w:color="auto"/>
            </w:tcBorders>
          </w:tcPr>
          <w:p w:rsidR="00863130" w:rsidRPr="008B1657" w:rsidRDefault="00863130" w:rsidP="003B6DAB">
            <w:pPr>
              <w:pStyle w:val="TableBodyText"/>
              <w:rPr>
                <w:b/>
                <w:sz w:val="18"/>
                <w:szCs w:val="18"/>
              </w:rPr>
            </w:pPr>
            <w:r w:rsidRPr="008B1657">
              <w:rPr>
                <w:b/>
                <w:sz w:val="18"/>
                <w:szCs w:val="18"/>
              </w:rPr>
              <w:t>4375.1</w:t>
            </w:r>
          </w:p>
        </w:tc>
        <w:tc>
          <w:tcPr>
            <w:tcW w:w="886" w:type="pct"/>
            <w:tcBorders>
              <w:bottom w:val="single" w:sz="6" w:space="0" w:color="auto"/>
            </w:tcBorders>
            <w:shd w:val="clear" w:color="auto" w:fill="auto"/>
          </w:tcPr>
          <w:p w:rsidR="00863130" w:rsidRPr="008B1657" w:rsidRDefault="00863130" w:rsidP="003B6DAB">
            <w:pPr>
              <w:pStyle w:val="TableBodyText"/>
              <w:rPr>
                <w:b/>
                <w:sz w:val="18"/>
                <w:szCs w:val="18"/>
              </w:rPr>
            </w:pPr>
            <w:r w:rsidRPr="008B1657">
              <w:rPr>
                <w:b/>
                <w:sz w:val="18"/>
                <w:szCs w:val="18"/>
              </w:rPr>
              <w:t>3395.8</w:t>
            </w:r>
          </w:p>
        </w:tc>
        <w:tc>
          <w:tcPr>
            <w:tcW w:w="885" w:type="pct"/>
            <w:tcBorders>
              <w:bottom w:val="single" w:sz="6" w:space="0" w:color="auto"/>
            </w:tcBorders>
            <w:shd w:val="clear" w:color="auto" w:fill="auto"/>
          </w:tcPr>
          <w:p w:rsidR="00863130" w:rsidRPr="008B1657" w:rsidRDefault="00863130" w:rsidP="003B6DAB">
            <w:pPr>
              <w:pStyle w:val="TableBodyText"/>
              <w:rPr>
                <w:b/>
                <w:sz w:val="18"/>
                <w:szCs w:val="18"/>
              </w:rPr>
            </w:pPr>
            <w:r w:rsidRPr="008B1657">
              <w:rPr>
                <w:b/>
                <w:sz w:val="18"/>
                <w:szCs w:val="18"/>
              </w:rPr>
              <w:t>7771.0</w:t>
            </w:r>
          </w:p>
        </w:tc>
      </w:tr>
    </w:tbl>
    <w:p w:rsidR="00D42BA5" w:rsidRDefault="006D3C68" w:rsidP="00C2755E">
      <w:pPr>
        <w:pStyle w:val="Note"/>
      </w:pPr>
      <w:r w:rsidRPr="00AC2CC6">
        <w:t>– </w:t>
      </w:r>
      <w:r>
        <w:t>N</w:t>
      </w:r>
      <w:r w:rsidRPr="00AC2CC6">
        <w:t>il</w:t>
      </w:r>
      <w:r>
        <w:t>.</w:t>
      </w:r>
      <w:r w:rsidRPr="009B3029">
        <w:rPr>
          <w:rStyle w:val="NoteLabel"/>
        </w:rPr>
        <w:t xml:space="preserve">  </w:t>
      </w:r>
      <w:r w:rsidRPr="008E77FE">
        <w:rPr>
          <w:rStyle w:val="NoteLabel"/>
        </w:rPr>
        <w:t>a</w:t>
      </w:r>
      <w:r w:rsidR="007D18AC">
        <w:t> </w:t>
      </w:r>
      <w:r w:rsidRPr="009B3029">
        <w:rPr>
          <w:i/>
        </w:rPr>
        <w:t>Aquaculture and fishing</w:t>
      </w:r>
      <w:r w:rsidRPr="009C0A1F">
        <w:t xml:space="preserve"> </w:t>
      </w:r>
      <w:r w:rsidRPr="007E3E60">
        <w:t xml:space="preserve">includes </w:t>
      </w:r>
      <w:r w:rsidRPr="009C0A1F">
        <w:rPr>
          <w:i/>
        </w:rPr>
        <w:t>Hunting &amp; trapping</w:t>
      </w:r>
      <w:r>
        <w:t xml:space="preserve">.  </w:t>
      </w:r>
      <w:r w:rsidRPr="007E3E60">
        <w:rPr>
          <w:rStyle w:val="NoteLabel"/>
        </w:rPr>
        <w:t>b</w:t>
      </w:r>
      <w:r w:rsidR="007D18AC">
        <w:t> </w:t>
      </w:r>
      <w:r w:rsidRPr="007E3E60">
        <w:t xml:space="preserve">Unallocated includes programs </w:t>
      </w:r>
      <w:r>
        <w:t>for which</w:t>
      </w:r>
      <w:r w:rsidRPr="007E3E60">
        <w:t xml:space="preserve"> details of the initial benefiting industry cannot be readily identified</w:t>
      </w:r>
      <w:r>
        <w:t>.</w:t>
      </w:r>
      <w:r w:rsidR="007D18AC">
        <w:t xml:space="preserve"> </w:t>
      </w:r>
    </w:p>
    <w:p w:rsidR="00D42BA5" w:rsidRPr="008E77FE" w:rsidRDefault="00D42BA5" w:rsidP="00C2755E">
      <w:pPr>
        <w:pStyle w:val="Source"/>
      </w:pPr>
      <w:r>
        <w:rPr>
          <w:i/>
        </w:rPr>
        <w:t>Source</w:t>
      </w:r>
      <w:r>
        <w:t>: Commission estimates.</w:t>
      </w:r>
    </w:p>
    <w:p w:rsidR="00067AC5" w:rsidRDefault="00361E17" w:rsidP="00067AC5">
      <w:pPr>
        <w:pStyle w:val="Heading2"/>
      </w:pPr>
      <w:r>
        <w:lastRenderedPageBreak/>
        <w:t>4.</w:t>
      </w:r>
      <w:r w:rsidR="00000604">
        <w:rPr>
          <w:noProof/>
        </w:rPr>
        <w:t>3</w:t>
      </w:r>
      <w:r w:rsidR="00067AC5">
        <w:tab/>
        <w:t>Combined assistance</w:t>
      </w:r>
    </w:p>
    <w:p w:rsidR="00D42BA5" w:rsidRDefault="0098614A" w:rsidP="00067AC5">
      <w:pPr>
        <w:pStyle w:val="BodyText"/>
      </w:pPr>
      <w:r w:rsidRPr="005472C0">
        <w:t>This section presents the results for combined tariff, budgetary assistance and agricultural pricing assistance. Combined assistance is reported in terms of the net value of assistance and its components, and the effective rate of assistance (box</w:t>
      </w:r>
      <w:r>
        <w:t> </w:t>
      </w:r>
      <w:r w:rsidR="00E121B3">
        <w:t>4.3</w:t>
      </w:r>
      <w:r>
        <w:t>).</w:t>
      </w:r>
      <w:r w:rsidR="00126696">
        <w:t xml:space="preserve"> </w:t>
      </w:r>
    </w:p>
    <w:p w:rsidR="00D42BA5" w:rsidRDefault="00D42BA5">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42BA5">
        <w:tc>
          <w:tcPr>
            <w:tcW w:w="8771" w:type="dxa"/>
            <w:tcBorders>
              <w:top w:val="single" w:sz="6" w:space="0" w:color="auto"/>
              <w:bottom w:val="nil"/>
            </w:tcBorders>
          </w:tcPr>
          <w:p w:rsidR="00D42BA5" w:rsidRDefault="00D42BA5">
            <w:pPr>
              <w:pStyle w:val="BoxTitle"/>
            </w:pPr>
            <w:r>
              <w:rPr>
                <w:b w:val="0"/>
              </w:rPr>
              <w:t xml:space="preserve">Box </w:t>
            </w:r>
            <w:bookmarkStart w:id="13" w:name="OLE_LINK5"/>
            <w:r w:rsidR="00361E17">
              <w:rPr>
                <w:b w:val="0"/>
              </w:rPr>
              <w:t>4.</w:t>
            </w:r>
            <w:r w:rsidR="00000604">
              <w:rPr>
                <w:b w:val="0"/>
                <w:noProof/>
              </w:rPr>
              <w:t>3</w:t>
            </w:r>
            <w:bookmarkEnd w:id="13"/>
            <w:r>
              <w:tab/>
              <w:t>Summary measures of combined assistance</w:t>
            </w:r>
          </w:p>
        </w:tc>
      </w:tr>
      <w:tr w:rsidR="00D42BA5">
        <w:trPr>
          <w:cantSplit/>
        </w:trPr>
        <w:tc>
          <w:tcPr>
            <w:tcW w:w="8771" w:type="dxa"/>
            <w:tcBorders>
              <w:top w:val="nil"/>
              <w:left w:val="single" w:sz="6" w:space="0" w:color="auto"/>
              <w:bottom w:val="nil"/>
              <w:right w:val="single" w:sz="6" w:space="0" w:color="auto"/>
            </w:tcBorders>
          </w:tcPr>
          <w:p w:rsidR="00D01BBB" w:rsidRDefault="00D01BBB" w:rsidP="00D01BBB">
            <w:pPr>
              <w:pStyle w:val="Box"/>
            </w:pPr>
            <w:r>
              <w:t xml:space="preserve">In reporting its estimates of net combined assistance, the Commission adopts two summary measures. </w:t>
            </w:r>
          </w:p>
          <w:p w:rsidR="00D01BBB" w:rsidRDefault="00D01BBB" w:rsidP="00D01BBB">
            <w:pPr>
              <w:pStyle w:val="BoxListBullet"/>
            </w:pPr>
            <w:r>
              <w:t>First, it reports total net assistance (also referred to in assistance methodologies as the net subsidy equivalent (NSE)), which is the dollar value of net assistance to the land, labour and capital resources used in a particular industry or activity. It indicates the level of transfers of income to benefiting producers from consumers, taxpayers and other firms. NSE estimates are reported for the four sectors and 34</w:t>
            </w:r>
            <w:r w:rsidR="009B3029">
              <w:t> </w:t>
            </w:r>
            <w:r>
              <w:t xml:space="preserve">industry groupings. </w:t>
            </w:r>
          </w:p>
          <w:p w:rsidR="00D42BA5" w:rsidRDefault="00D01BBB" w:rsidP="00D01BBB">
            <w:pPr>
              <w:pStyle w:val="BoxListBullet"/>
            </w:pPr>
            <w:r>
              <w:t>The second summary measure is the effective rate of assistance (ERA). It measures the NSE of combined assistance to a particular industry in proportion to that industry’s unassisted net output (value added). It provides an indication of the extent to which assistance to an industry enables it to attract and hold economic resources relative to other sectors. That is, where there is some competition between industries for resources, those industries with relatively high effective rates of assistance are more likely, as a result of their assistance, to be able to attract resources away from those with lower rates of effective assistance. ERA estimates are reported for industries in the primary production, mining and manufacturing sectors. Effective rates of assistance are not published for the services sector.</w:t>
            </w:r>
          </w:p>
        </w:tc>
      </w:tr>
      <w:tr w:rsidR="00D42BA5">
        <w:trPr>
          <w:cantSplit/>
        </w:trPr>
        <w:tc>
          <w:tcPr>
            <w:tcW w:w="8771" w:type="dxa"/>
            <w:tcBorders>
              <w:top w:val="nil"/>
              <w:left w:val="single" w:sz="6" w:space="0" w:color="auto"/>
              <w:bottom w:val="single" w:sz="6" w:space="0" w:color="auto"/>
              <w:right w:val="single" w:sz="6" w:space="0" w:color="auto"/>
            </w:tcBorders>
          </w:tcPr>
          <w:p w:rsidR="00D42BA5" w:rsidRDefault="00D42BA5">
            <w:pPr>
              <w:pStyle w:val="Box"/>
              <w:spacing w:before="0" w:line="120" w:lineRule="exact"/>
            </w:pPr>
          </w:p>
        </w:tc>
      </w:tr>
      <w:tr w:rsidR="00D42BA5" w:rsidRPr="000863A5">
        <w:tc>
          <w:tcPr>
            <w:tcW w:w="8771" w:type="dxa"/>
            <w:tcBorders>
              <w:top w:val="nil"/>
              <w:left w:val="nil"/>
              <w:bottom w:val="nil"/>
              <w:right w:val="nil"/>
            </w:tcBorders>
          </w:tcPr>
          <w:p w:rsidR="00D42BA5" w:rsidRPr="00626D32" w:rsidRDefault="00D42BA5" w:rsidP="00C2755E">
            <w:pPr>
              <w:pStyle w:val="BoxSpaceBelow"/>
            </w:pPr>
          </w:p>
        </w:tc>
      </w:tr>
    </w:tbl>
    <w:p w:rsidR="00D42BA5" w:rsidRPr="00067AC5" w:rsidRDefault="00D42BA5" w:rsidP="00D42BA5">
      <w:pPr>
        <w:pStyle w:val="Heading3"/>
      </w:pPr>
      <w:r>
        <w:t>Aggregate assistance</w:t>
      </w:r>
    </w:p>
    <w:p w:rsidR="00D42BA5" w:rsidRDefault="007B79AD" w:rsidP="00120072">
      <w:pPr>
        <w:pStyle w:val="BodyText"/>
      </w:pPr>
      <w:r w:rsidRPr="00781505">
        <w:t>Total estimated gross combined assistance was $</w:t>
      </w:r>
      <w:r>
        <w:t>15.</w:t>
      </w:r>
      <w:r w:rsidR="00970096">
        <w:t>6</w:t>
      </w:r>
      <w:r>
        <w:t> </w:t>
      </w:r>
      <w:r w:rsidRPr="00781505">
        <w:t>billion in 201</w:t>
      </w:r>
      <w:r>
        <w:t>2</w:t>
      </w:r>
      <w:r>
        <w:noBreakHyphen/>
        <w:t>13</w:t>
      </w:r>
      <w:r w:rsidRPr="00781505">
        <w:t>, a decline of around $</w:t>
      </w:r>
      <w:r>
        <w:t>2.</w:t>
      </w:r>
      <w:r w:rsidR="00970096">
        <w:t>5</w:t>
      </w:r>
      <w:r>
        <w:t> b</w:t>
      </w:r>
      <w:r w:rsidRPr="00781505">
        <w:t>illion from 20</w:t>
      </w:r>
      <w:r>
        <w:t>11</w:t>
      </w:r>
      <w:r>
        <w:noBreakHyphen/>
        <w:t>12</w:t>
      </w:r>
      <w:r w:rsidRPr="00781505">
        <w:t xml:space="preserve"> in nominal terms (table</w:t>
      </w:r>
      <w:r>
        <w:t> </w:t>
      </w:r>
      <w:r w:rsidR="00E121B3">
        <w:t>4.5</w:t>
      </w:r>
      <w:r w:rsidRPr="00781505">
        <w:t xml:space="preserve">). This represents a decline of around </w:t>
      </w:r>
      <w:r>
        <w:t>1</w:t>
      </w:r>
      <w:r w:rsidR="00970096">
        <w:t>4</w:t>
      </w:r>
      <w:r>
        <w:t> </w:t>
      </w:r>
      <w:r w:rsidRPr="00781505">
        <w:t>per</w:t>
      </w:r>
      <w:r>
        <w:t> </w:t>
      </w:r>
      <w:r w:rsidRPr="00781505">
        <w:t xml:space="preserve">cent in nominal terms </w:t>
      </w:r>
      <w:r w:rsidR="00083ECF">
        <w:t xml:space="preserve">with a similar proportional </w:t>
      </w:r>
      <w:r w:rsidR="0037264A">
        <w:t>r</w:t>
      </w:r>
      <w:r w:rsidR="00083ECF">
        <w:t xml:space="preserve">eduction estimated to have occurred in </w:t>
      </w:r>
      <w:r w:rsidRPr="00781505">
        <w:t>real terms.</w:t>
      </w:r>
      <w:r w:rsidR="00126696">
        <w:t xml:space="preserve"> </w:t>
      </w:r>
    </w:p>
    <w:p w:rsidR="00D42BA5" w:rsidRDefault="00D42BA5">
      <w:pPr>
        <w:pStyle w:val="TableTitle"/>
      </w:pPr>
      <w:r>
        <w:rPr>
          <w:b w:val="0"/>
        </w:rPr>
        <w:lastRenderedPageBreak/>
        <w:t xml:space="preserve">Table </w:t>
      </w:r>
      <w:bookmarkStart w:id="14" w:name="OLE_LINK6"/>
      <w:r w:rsidR="00361E17">
        <w:rPr>
          <w:b w:val="0"/>
        </w:rPr>
        <w:t>4.</w:t>
      </w:r>
      <w:r w:rsidR="00000604">
        <w:rPr>
          <w:b w:val="0"/>
          <w:noProof/>
        </w:rPr>
        <w:t>5</w:t>
      </w:r>
      <w:bookmarkEnd w:id="14"/>
      <w:r>
        <w:tab/>
        <w:t>Combined assistance, 2007</w:t>
      </w:r>
      <w:r>
        <w:noBreakHyphen/>
        <w:t>08 to 2012</w:t>
      </w:r>
      <w:r>
        <w:noBreakHyphen/>
        <w:t>13</w:t>
      </w:r>
    </w:p>
    <w:p w:rsidR="00D42BA5" w:rsidRDefault="00D42BA5">
      <w:pPr>
        <w:pStyle w:val="Subtitle"/>
      </w:pPr>
      <w:r>
        <w:t>$ million (nominal)</w:t>
      </w:r>
    </w:p>
    <w:tbl>
      <w:tblPr>
        <w:tblW w:w="5005" w:type="pct"/>
        <w:tblCellMar>
          <w:left w:w="0" w:type="dxa"/>
          <w:right w:w="0" w:type="dxa"/>
        </w:tblCellMar>
        <w:tblLook w:val="0000" w:firstRow="0" w:lastRow="0" w:firstColumn="0" w:lastColumn="0" w:noHBand="0" w:noVBand="0"/>
      </w:tblPr>
      <w:tblGrid>
        <w:gridCol w:w="2837"/>
        <w:gridCol w:w="1000"/>
        <w:gridCol w:w="1001"/>
        <w:gridCol w:w="999"/>
        <w:gridCol w:w="999"/>
        <w:gridCol w:w="999"/>
        <w:gridCol w:w="963"/>
      </w:tblGrid>
      <w:tr w:rsidR="00C04D2C" w:rsidTr="00030E51">
        <w:tc>
          <w:tcPr>
            <w:tcW w:w="1612" w:type="pct"/>
            <w:tcBorders>
              <w:top w:val="single" w:sz="6" w:space="0" w:color="auto"/>
              <w:bottom w:val="single" w:sz="6" w:space="0" w:color="auto"/>
            </w:tcBorders>
            <w:shd w:val="clear" w:color="auto" w:fill="auto"/>
          </w:tcPr>
          <w:p w:rsidR="009B64BB" w:rsidRDefault="009B64BB" w:rsidP="00C2755E">
            <w:pPr>
              <w:pStyle w:val="TableColumnHeading"/>
              <w:jc w:val="left"/>
            </w:pPr>
          </w:p>
        </w:tc>
        <w:tc>
          <w:tcPr>
            <w:tcW w:w="568" w:type="pct"/>
            <w:tcBorders>
              <w:top w:val="single" w:sz="6" w:space="0" w:color="auto"/>
              <w:bottom w:val="single" w:sz="6" w:space="0" w:color="auto"/>
            </w:tcBorders>
          </w:tcPr>
          <w:p w:rsidR="009B64BB" w:rsidRDefault="009B64BB" w:rsidP="00C2755E">
            <w:pPr>
              <w:pStyle w:val="TableColumnHeading"/>
            </w:pPr>
            <w:r>
              <w:t>2007-08</w:t>
            </w:r>
          </w:p>
        </w:tc>
        <w:tc>
          <w:tcPr>
            <w:tcW w:w="569" w:type="pct"/>
            <w:tcBorders>
              <w:top w:val="single" w:sz="6" w:space="0" w:color="auto"/>
              <w:bottom w:val="single" w:sz="6" w:space="0" w:color="auto"/>
            </w:tcBorders>
          </w:tcPr>
          <w:p w:rsidR="009B64BB" w:rsidRDefault="009B64BB" w:rsidP="00C2755E">
            <w:pPr>
              <w:pStyle w:val="TableColumnHeading"/>
            </w:pPr>
            <w:r>
              <w:t>2008-09</w:t>
            </w:r>
          </w:p>
        </w:tc>
        <w:tc>
          <w:tcPr>
            <w:tcW w:w="568" w:type="pct"/>
            <w:tcBorders>
              <w:top w:val="single" w:sz="6" w:space="0" w:color="auto"/>
              <w:bottom w:val="single" w:sz="6" w:space="0" w:color="auto"/>
            </w:tcBorders>
          </w:tcPr>
          <w:p w:rsidR="009B64BB" w:rsidRDefault="009B64BB" w:rsidP="00C2755E">
            <w:pPr>
              <w:pStyle w:val="TableColumnHeading"/>
            </w:pPr>
            <w:r>
              <w:t>2009-10</w:t>
            </w:r>
          </w:p>
        </w:tc>
        <w:tc>
          <w:tcPr>
            <w:tcW w:w="568" w:type="pct"/>
            <w:tcBorders>
              <w:top w:val="single" w:sz="6" w:space="0" w:color="auto"/>
              <w:bottom w:val="single" w:sz="6" w:space="0" w:color="auto"/>
            </w:tcBorders>
          </w:tcPr>
          <w:p w:rsidR="009B64BB" w:rsidRDefault="009B64BB" w:rsidP="00C2755E">
            <w:pPr>
              <w:pStyle w:val="TableColumnHeading"/>
            </w:pPr>
            <w:r>
              <w:t>2010-11</w:t>
            </w:r>
          </w:p>
        </w:tc>
        <w:tc>
          <w:tcPr>
            <w:tcW w:w="568" w:type="pct"/>
            <w:tcBorders>
              <w:top w:val="single" w:sz="6" w:space="0" w:color="auto"/>
              <w:bottom w:val="single" w:sz="6" w:space="0" w:color="auto"/>
            </w:tcBorders>
            <w:shd w:val="clear" w:color="auto" w:fill="auto"/>
          </w:tcPr>
          <w:p w:rsidR="009B64BB" w:rsidRDefault="009B64BB" w:rsidP="00C2755E">
            <w:pPr>
              <w:pStyle w:val="TableColumnHeading"/>
            </w:pPr>
            <w:r>
              <w:t>2011-12</w:t>
            </w:r>
          </w:p>
        </w:tc>
        <w:tc>
          <w:tcPr>
            <w:tcW w:w="548" w:type="pct"/>
            <w:tcBorders>
              <w:top w:val="single" w:sz="6" w:space="0" w:color="auto"/>
              <w:bottom w:val="single" w:sz="6" w:space="0" w:color="auto"/>
            </w:tcBorders>
            <w:shd w:val="clear" w:color="auto" w:fill="auto"/>
          </w:tcPr>
          <w:p w:rsidR="009B64BB" w:rsidRDefault="009B64BB" w:rsidP="00C2755E">
            <w:pPr>
              <w:pStyle w:val="TableColumnHeading"/>
              <w:ind w:right="28"/>
            </w:pPr>
            <w:r>
              <w:t>2012-13</w:t>
            </w:r>
          </w:p>
        </w:tc>
      </w:tr>
      <w:tr w:rsidR="00C04D2C" w:rsidTr="00030E51">
        <w:tc>
          <w:tcPr>
            <w:tcW w:w="1612" w:type="pct"/>
            <w:tcBorders>
              <w:top w:val="single" w:sz="6" w:space="0" w:color="auto"/>
            </w:tcBorders>
          </w:tcPr>
          <w:p w:rsidR="00030E51" w:rsidRDefault="00030E51" w:rsidP="00A37FA4">
            <w:pPr>
              <w:pStyle w:val="TableUnitsRow"/>
              <w:jc w:val="left"/>
            </w:pPr>
            <w:r>
              <w:t>Tariff output assistance</w:t>
            </w:r>
          </w:p>
        </w:tc>
        <w:tc>
          <w:tcPr>
            <w:tcW w:w="568" w:type="pct"/>
            <w:tcBorders>
              <w:top w:val="single" w:sz="6" w:space="0" w:color="auto"/>
            </w:tcBorders>
            <w:vAlign w:val="bottom"/>
          </w:tcPr>
          <w:p w:rsidR="00030E51" w:rsidRDefault="00030E51" w:rsidP="004F0B7B">
            <w:pPr>
              <w:pStyle w:val="TableUnitsRow"/>
            </w:pPr>
            <w:r>
              <w:t>8891.</w:t>
            </w:r>
            <w:r w:rsidR="004F0B7B">
              <w:t>2</w:t>
            </w:r>
          </w:p>
        </w:tc>
        <w:tc>
          <w:tcPr>
            <w:tcW w:w="569" w:type="pct"/>
            <w:tcBorders>
              <w:top w:val="single" w:sz="6" w:space="0" w:color="auto"/>
            </w:tcBorders>
            <w:vAlign w:val="bottom"/>
          </w:tcPr>
          <w:p w:rsidR="00030E51" w:rsidRDefault="00030E51" w:rsidP="00A37FA4">
            <w:pPr>
              <w:pStyle w:val="TableUnitsRow"/>
            </w:pPr>
            <w:r>
              <w:t>8936.3</w:t>
            </w:r>
          </w:p>
        </w:tc>
        <w:tc>
          <w:tcPr>
            <w:tcW w:w="568" w:type="pct"/>
            <w:tcBorders>
              <w:top w:val="single" w:sz="6" w:space="0" w:color="auto"/>
            </w:tcBorders>
            <w:vAlign w:val="bottom"/>
          </w:tcPr>
          <w:p w:rsidR="00030E51" w:rsidRDefault="00030E51" w:rsidP="004F0B7B">
            <w:pPr>
              <w:pStyle w:val="TableUnitsRow"/>
            </w:pPr>
            <w:r>
              <w:t>839</w:t>
            </w:r>
            <w:r w:rsidR="004F0B7B">
              <w:t>6</w:t>
            </w:r>
            <w:r>
              <w:t>.</w:t>
            </w:r>
            <w:r w:rsidR="004F0B7B">
              <w:t>0</w:t>
            </w:r>
          </w:p>
        </w:tc>
        <w:tc>
          <w:tcPr>
            <w:tcW w:w="568" w:type="pct"/>
            <w:tcBorders>
              <w:top w:val="single" w:sz="6" w:space="0" w:color="auto"/>
            </w:tcBorders>
            <w:vAlign w:val="bottom"/>
          </w:tcPr>
          <w:p w:rsidR="00030E51" w:rsidRDefault="00030E51" w:rsidP="004F0B7B">
            <w:pPr>
              <w:pStyle w:val="TableUnitsRow"/>
            </w:pPr>
            <w:r>
              <w:t>8080.</w:t>
            </w:r>
            <w:r w:rsidR="004F0B7B">
              <w:t>5</w:t>
            </w:r>
          </w:p>
        </w:tc>
        <w:tc>
          <w:tcPr>
            <w:tcW w:w="568" w:type="pct"/>
            <w:tcBorders>
              <w:top w:val="single" w:sz="6" w:space="0" w:color="auto"/>
            </w:tcBorders>
            <w:vAlign w:val="bottom"/>
          </w:tcPr>
          <w:p w:rsidR="00030E51" w:rsidRDefault="00030E51" w:rsidP="00A37FA4">
            <w:pPr>
              <w:pStyle w:val="TableUnitsRow"/>
            </w:pPr>
            <w:r>
              <w:t>8115.0</w:t>
            </w:r>
          </w:p>
        </w:tc>
        <w:tc>
          <w:tcPr>
            <w:tcW w:w="548" w:type="pct"/>
            <w:tcBorders>
              <w:top w:val="single" w:sz="6" w:space="0" w:color="auto"/>
            </w:tcBorders>
            <w:vAlign w:val="bottom"/>
          </w:tcPr>
          <w:p w:rsidR="00030E51" w:rsidRDefault="00030E51" w:rsidP="004F0B7B">
            <w:pPr>
              <w:pStyle w:val="TableUnitsRow"/>
            </w:pPr>
            <w:r>
              <w:t>784</w:t>
            </w:r>
            <w:r w:rsidR="004F0B7B">
              <w:t>3</w:t>
            </w:r>
            <w:r>
              <w:t>.</w:t>
            </w:r>
            <w:r w:rsidR="004F0B7B">
              <w:t>1</w:t>
            </w:r>
          </w:p>
        </w:tc>
      </w:tr>
      <w:tr w:rsidR="00C04D2C" w:rsidTr="00030E51">
        <w:tc>
          <w:tcPr>
            <w:tcW w:w="1612" w:type="pct"/>
          </w:tcPr>
          <w:p w:rsidR="00030E51" w:rsidRDefault="00030E51" w:rsidP="00B05886">
            <w:pPr>
              <w:pStyle w:val="TableBodyText"/>
              <w:spacing w:before="40"/>
              <w:jc w:val="left"/>
            </w:pPr>
            <w:r>
              <w:t>Budgetary outlays</w:t>
            </w:r>
          </w:p>
        </w:tc>
        <w:tc>
          <w:tcPr>
            <w:tcW w:w="568" w:type="pct"/>
            <w:vAlign w:val="bottom"/>
          </w:tcPr>
          <w:p w:rsidR="00030E51" w:rsidRDefault="00030E51" w:rsidP="00AA03DB">
            <w:pPr>
              <w:pStyle w:val="TableBodyText"/>
            </w:pPr>
            <w:r>
              <w:t>444</w:t>
            </w:r>
            <w:r w:rsidR="00AA03DB">
              <w:t>7</w:t>
            </w:r>
            <w:r>
              <w:t>.</w:t>
            </w:r>
            <w:r w:rsidR="00AA03DB">
              <w:t>6</w:t>
            </w:r>
          </w:p>
        </w:tc>
        <w:tc>
          <w:tcPr>
            <w:tcW w:w="569" w:type="pct"/>
            <w:vAlign w:val="bottom"/>
          </w:tcPr>
          <w:p w:rsidR="00030E51" w:rsidRDefault="00030E51" w:rsidP="00AA03DB">
            <w:pPr>
              <w:pStyle w:val="TableBodyText"/>
            </w:pPr>
            <w:r>
              <w:t>373</w:t>
            </w:r>
            <w:r w:rsidR="00AA03DB">
              <w:t>3.0</w:t>
            </w:r>
          </w:p>
        </w:tc>
        <w:tc>
          <w:tcPr>
            <w:tcW w:w="568" w:type="pct"/>
            <w:vAlign w:val="bottom"/>
          </w:tcPr>
          <w:p w:rsidR="00030E51" w:rsidRDefault="00030E51" w:rsidP="00AA03DB">
            <w:pPr>
              <w:pStyle w:val="TableBodyText"/>
            </w:pPr>
            <w:r>
              <w:t>38</w:t>
            </w:r>
            <w:r w:rsidR="00AA03DB">
              <w:t>68.3</w:t>
            </w:r>
          </w:p>
        </w:tc>
        <w:tc>
          <w:tcPr>
            <w:tcW w:w="568" w:type="pct"/>
            <w:vAlign w:val="bottom"/>
          </w:tcPr>
          <w:p w:rsidR="00030E51" w:rsidRDefault="00030E51" w:rsidP="00AA03DB">
            <w:pPr>
              <w:pStyle w:val="TableBodyText"/>
            </w:pPr>
            <w:r>
              <w:t>36</w:t>
            </w:r>
            <w:r w:rsidR="00AA03DB">
              <w:t>30.3</w:t>
            </w:r>
          </w:p>
        </w:tc>
        <w:tc>
          <w:tcPr>
            <w:tcW w:w="568" w:type="pct"/>
            <w:vAlign w:val="bottom"/>
          </w:tcPr>
          <w:p w:rsidR="00030E51" w:rsidRDefault="00030E51" w:rsidP="00AA03DB">
            <w:pPr>
              <w:pStyle w:val="TableBodyText"/>
            </w:pPr>
            <w:r>
              <w:t>52</w:t>
            </w:r>
            <w:r w:rsidR="00AA03DB">
              <w:t>12.9</w:t>
            </w:r>
          </w:p>
        </w:tc>
        <w:tc>
          <w:tcPr>
            <w:tcW w:w="548" w:type="pct"/>
            <w:vAlign w:val="bottom"/>
          </w:tcPr>
          <w:p w:rsidR="00030E51" w:rsidRDefault="00030E51" w:rsidP="00AA03DB">
            <w:pPr>
              <w:pStyle w:val="TableBodyText"/>
            </w:pPr>
            <w:r>
              <w:t>4</w:t>
            </w:r>
            <w:r w:rsidR="00AA03DB">
              <w:t>375.1</w:t>
            </w:r>
          </w:p>
        </w:tc>
      </w:tr>
      <w:tr w:rsidR="00C04D2C" w:rsidTr="00030E51">
        <w:tc>
          <w:tcPr>
            <w:tcW w:w="1612" w:type="pct"/>
          </w:tcPr>
          <w:p w:rsidR="00030E51" w:rsidRDefault="00030E51" w:rsidP="00B05886">
            <w:pPr>
              <w:pStyle w:val="TableBodyText"/>
              <w:spacing w:before="40"/>
              <w:jc w:val="left"/>
            </w:pPr>
            <w:r>
              <w:t>Tax concessions</w:t>
            </w:r>
          </w:p>
        </w:tc>
        <w:tc>
          <w:tcPr>
            <w:tcW w:w="568" w:type="pct"/>
            <w:vAlign w:val="bottom"/>
          </w:tcPr>
          <w:p w:rsidR="00030E51" w:rsidRDefault="00030E51" w:rsidP="00030E51">
            <w:pPr>
              <w:pStyle w:val="TableBodyText"/>
            </w:pPr>
            <w:r>
              <w:t>3987.9</w:t>
            </w:r>
          </w:p>
        </w:tc>
        <w:tc>
          <w:tcPr>
            <w:tcW w:w="569" w:type="pct"/>
            <w:vAlign w:val="bottom"/>
          </w:tcPr>
          <w:p w:rsidR="00030E51" w:rsidRDefault="00030E51" w:rsidP="00030E51">
            <w:pPr>
              <w:pStyle w:val="TableBodyText"/>
            </w:pPr>
            <w:r>
              <w:t>4607.1</w:t>
            </w:r>
          </w:p>
        </w:tc>
        <w:tc>
          <w:tcPr>
            <w:tcW w:w="568" w:type="pct"/>
            <w:vAlign w:val="bottom"/>
          </w:tcPr>
          <w:p w:rsidR="00030E51" w:rsidRDefault="00030E51" w:rsidP="00030E51">
            <w:pPr>
              <w:pStyle w:val="TableBodyText"/>
            </w:pPr>
            <w:r>
              <w:t>5921.0</w:t>
            </w:r>
          </w:p>
        </w:tc>
        <w:tc>
          <w:tcPr>
            <w:tcW w:w="568" w:type="pct"/>
            <w:vAlign w:val="bottom"/>
          </w:tcPr>
          <w:p w:rsidR="00030E51" w:rsidRDefault="00030E51" w:rsidP="00030E51">
            <w:pPr>
              <w:pStyle w:val="TableBodyText"/>
            </w:pPr>
            <w:r>
              <w:t>6405.9</w:t>
            </w:r>
          </w:p>
        </w:tc>
        <w:tc>
          <w:tcPr>
            <w:tcW w:w="568" w:type="pct"/>
            <w:vAlign w:val="bottom"/>
          </w:tcPr>
          <w:p w:rsidR="00030E51" w:rsidRDefault="00030E51" w:rsidP="00030E51">
            <w:pPr>
              <w:pStyle w:val="TableBodyText"/>
            </w:pPr>
            <w:r>
              <w:t>4780.2</w:t>
            </w:r>
          </w:p>
        </w:tc>
        <w:tc>
          <w:tcPr>
            <w:tcW w:w="548" w:type="pct"/>
            <w:vAlign w:val="bottom"/>
          </w:tcPr>
          <w:p w:rsidR="00030E51" w:rsidRDefault="00030E51" w:rsidP="00030E51">
            <w:pPr>
              <w:pStyle w:val="TableBodyText"/>
            </w:pPr>
            <w:r>
              <w:t>3395.8</w:t>
            </w:r>
          </w:p>
        </w:tc>
      </w:tr>
      <w:tr w:rsidR="00C04D2C" w:rsidTr="00030E51">
        <w:tc>
          <w:tcPr>
            <w:tcW w:w="1612" w:type="pct"/>
          </w:tcPr>
          <w:p w:rsidR="00030E51" w:rsidRDefault="00030E51" w:rsidP="00B05886">
            <w:pPr>
              <w:pStyle w:val="TableBodyText"/>
              <w:spacing w:before="40"/>
              <w:jc w:val="left"/>
            </w:pPr>
            <w:r>
              <w:t>Agricultural pricing assistance</w:t>
            </w:r>
          </w:p>
        </w:tc>
        <w:tc>
          <w:tcPr>
            <w:tcW w:w="568" w:type="pct"/>
            <w:vAlign w:val="bottom"/>
          </w:tcPr>
          <w:p w:rsidR="00030E51" w:rsidRDefault="00030E51" w:rsidP="00030E51">
            <w:pPr>
              <w:pStyle w:val="TableBodyText"/>
            </w:pPr>
            <w:r>
              <w:t>120.1</w:t>
            </w:r>
          </w:p>
        </w:tc>
        <w:tc>
          <w:tcPr>
            <w:tcW w:w="569" w:type="pct"/>
            <w:vAlign w:val="bottom"/>
          </w:tcPr>
          <w:p w:rsidR="00030E51" w:rsidRDefault="00030E51" w:rsidP="00030E51">
            <w:pPr>
              <w:pStyle w:val="TableBodyText"/>
            </w:pPr>
            <w:r>
              <w:t>0.2</w:t>
            </w:r>
          </w:p>
        </w:tc>
        <w:tc>
          <w:tcPr>
            <w:tcW w:w="568" w:type="pct"/>
            <w:vAlign w:val="bottom"/>
          </w:tcPr>
          <w:p w:rsidR="00030E51" w:rsidRDefault="00030E51" w:rsidP="00030E51">
            <w:pPr>
              <w:pStyle w:val="TableBodyText"/>
            </w:pPr>
            <w:r>
              <w:noBreakHyphen/>
            </w:r>
          </w:p>
        </w:tc>
        <w:tc>
          <w:tcPr>
            <w:tcW w:w="568" w:type="pct"/>
            <w:vAlign w:val="bottom"/>
          </w:tcPr>
          <w:p w:rsidR="00030E51" w:rsidRDefault="00030E51" w:rsidP="00030E51">
            <w:pPr>
              <w:pStyle w:val="TableBodyText"/>
            </w:pPr>
            <w:r>
              <w:noBreakHyphen/>
            </w:r>
          </w:p>
        </w:tc>
        <w:tc>
          <w:tcPr>
            <w:tcW w:w="568" w:type="pct"/>
            <w:vAlign w:val="bottom"/>
          </w:tcPr>
          <w:p w:rsidR="00030E51" w:rsidRDefault="00030E51" w:rsidP="00030E51">
            <w:pPr>
              <w:pStyle w:val="TableBodyText"/>
            </w:pPr>
            <w:r>
              <w:noBreakHyphen/>
            </w:r>
          </w:p>
        </w:tc>
        <w:tc>
          <w:tcPr>
            <w:tcW w:w="548" w:type="pct"/>
            <w:vAlign w:val="bottom"/>
          </w:tcPr>
          <w:p w:rsidR="00030E51" w:rsidRDefault="00030E51" w:rsidP="00030E51">
            <w:pPr>
              <w:pStyle w:val="TableBodyText"/>
            </w:pPr>
            <w:r>
              <w:noBreakHyphen/>
            </w:r>
          </w:p>
        </w:tc>
      </w:tr>
      <w:tr w:rsidR="00C04D2C" w:rsidTr="00030E51">
        <w:tc>
          <w:tcPr>
            <w:tcW w:w="1612" w:type="pct"/>
          </w:tcPr>
          <w:p w:rsidR="00030E51" w:rsidRPr="009B64BB" w:rsidRDefault="00030E51" w:rsidP="004F0B7B">
            <w:pPr>
              <w:pStyle w:val="TableBodyText"/>
              <w:spacing w:before="40"/>
              <w:jc w:val="left"/>
              <w:rPr>
                <w:b/>
              </w:rPr>
            </w:pPr>
            <w:r w:rsidRPr="009B64BB">
              <w:rPr>
                <w:b/>
              </w:rPr>
              <w:t>Gross combined assistance</w:t>
            </w:r>
          </w:p>
        </w:tc>
        <w:tc>
          <w:tcPr>
            <w:tcW w:w="568" w:type="pct"/>
            <w:vAlign w:val="bottom"/>
          </w:tcPr>
          <w:p w:rsidR="00030E51" w:rsidRDefault="00030E51" w:rsidP="000714CF">
            <w:pPr>
              <w:pStyle w:val="TableBodyText"/>
              <w:spacing w:before="40"/>
              <w:rPr>
                <w:b/>
                <w:bCs/>
              </w:rPr>
            </w:pPr>
            <w:r>
              <w:rPr>
                <w:b/>
                <w:bCs/>
              </w:rPr>
              <w:t>1744</w:t>
            </w:r>
            <w:r w:rsidR="00AA03DB">
              <w:rPr>
                <w:b/>
                <w:bCs/>
              </w:rPr>
              <w:t>6</w:t>
            </w:r>
            <w:r>
              <w:rPr>
                <w:b/>
                <w:bCs/>
              </w:rPr>
              <w:t>.</w:t>
            </w:r>
            <w:r w:rsidR="00AA03DB">
              <w:rPr>
                <w:b/>
                <w:bCs/>
              </w:rPr>
              <w:t>7</w:t>
            </w:r>
          </w:p>
        </w:tc>
        <w:tc>
          <w:tcPr>
            <w:tcW w:w="569" w:type="pct"/>
            <w:vAlign w:val="bottom"/>
          </w:tcPr>
          <w:p w:rsidR="00030E51" w:rsidRDefault="00030E51" w:rsidP="00AA03DB">
            <w:pPr>
              <w:pStyle w:val="TableBodyText"/>
              <w:spacing w:before="40"/>
              <w:rPr>
                <w:b/>
                <w:bCs/>
              </w:rPr>
            </w:pPr>
            <w:r>
              <w:rPr>
                <w:b/>
                <w:bCs/>
              </w:rPr>
              <w:t>1727</w:t>
            </w:r>
            <w:r w:rsidR="00AA03DB">
              <w:rPr>
                <w:b/>
                <w:bCs/>
              </w:rPr>
              <w:t>6.5</w:t>
            </w:r>
          </w:p>
        </w:tc>
        <w:tc>
          <w:tcPr>
            <w:tcW w:w="568" w:type="pct"/>
            <w:vAlign w:val="bottom"/>
          </w:tcPr>
          <w:p w:rsidR="00030E51" w:rsidRDefault="00030E51" w:rsidP="00AA03DB">
            <w:pPr>
              <w:pStyle w:val="TableBodyText"/>
              <w:spacing w:before="40"/>
              <w:rPr>
                <w:b/>
                <w:bCs/>
              </w:rPr>
            </w:pPr>
            <w:r>
              <w:rPr>
                <w:b/>
                <w:bCs/>
              </w:rPr>
              <w:t>1818</w:t>
            </w:r>
            <w:r w:rsidR="00AA03DB">
              <w:rPr>
                <w:b/>
                <w:bCs/>
              </w:rPr>
              <w:t>5.2</w:t>
            </w:r>
          </w:p>
        </w:tc>
        <w:tc>
          <w:tcPr>
            <w:tcW w:w="568" w:type="pct"/>
            <w:vAlign w:val="bottom"/>
          </w:tcPr>
          <w:p w:rsidR="00030E51" w:rsidRDefault="00030E51" w:rsidP="00AA03DB">
            <w:pPr>
              <w:pStyle w:val="TableBodyText"/>
              <w:spacing w:before="40"/>
              <w:rPr>
                <w:b/>
                <w:bCs/>
              </w:rPr>
            </w:pPr>
            <w:r>
              <w:rPr>
                <w:b/>
                <w:bCs/>
              </w:rPr>
              <w:t>181</w:t>
            </w:r>
            <w:r w:rsidR="00AA03DB">
              <w:rPr>
                <w:b/>
                <w:bCs/>
              </w:rPr>
              <w:t>16.7</w:t>
            </w:r>
          </w:p>
        </w:tc>
        <w:tc>
          <w:tcPr>
            <w:tcW w:w="568" w:type="pct"/>
            <w:vAlign w:val="bottom"/>
          </w:tcPr>
          <w:p w:rsidR="00030E51" w:rsidRDefault="00030E51" w:rsidP="00AA03DB">
            <w:pPr>
              <w:pStyle w:val="TableBodyText"/>
              <w:spacing w:before="40"/>
              <w:rPr>
                <w:b/>
                <w:bCs/>
              </w:rPr>
            </w:pPr>
            <w:r>
              <w:rPr>
                <w:b/>
                <w:bCs/>
              </w:rPr>
              <w:t>181</w:t>
            </w:r>
            <w:r w:rsidR="00AA03DB">
              <w:rPr>
                <w:b/>
                <w:bCs/>
              </w:rPr>
              <w:t>08.1</w:t>
            </w:r>
          </w:p>
        </w:tc>
        <w:tc>
          <w:tcPr>
            <w:tcW w:w="548" w:type="pct"/>
            <w:vAlign w:val="bottom"/>
          </w:tcPr>
          <w:p w:rsidR="00030E51" w:rsidRDefault="00030E51" w:rsidP="00AA03DB">
            <w:pPr>
              <w:pStyle w:val="TableBodyText"/>
              <w:spacing w:before="40"/>
              <w:rPr>
                <w:b/>
                <w:bCs/>
              </w:rPr>
            </w:pPr>
            <w:r>
              <w:rPr>
                <w:b/>
                <w:bCs/>
              </w:rPr>
              <w:t>156</w:t>
            </w:r>
            <w:r w:rsidR="00AA03DB">
              <w:rPr>
                <w:b/>
                <w:bCs/>
              </w:rPr>
              <w:t>14.0</w:t>
            </w:r>
          </w:p>
        </w:tc>
      </w:tr>
      <w:tr w:rsidR="00C04D2C" w:rsidTr="00030E51">
        <w:tc>
          <w:tcPr>
            <w:tcW w:w="1612" w:type="pct"/>
          </w:tcPr>
          <w:p w:rsidR="00030E51" w:rsidRDefault="00030E51" w:rsidP="004F0B7B">
            <w:pPr>
              <w:pStyle w:val="TableBodyText"/>
              <w:spacing w:before="40"/>
              <w:jc w:val="left"/>
            </w:pPr>
            <w:r>
              <w:t>Tariff input assistance</w:t>
            </w:r>
          </w:p>
        </w:tc>
        <w:tc>
          <w:tcPr>
            <w:tcW w:w="568" w:type="pct"/>
            <w:vAlign w:val="bottom"/>
          </w:tcPr>
          <w:p w:rsidR="00030E51" w:rsidRDefault="00030E51" w:rsidP="000714CF">
            <w:pPr>
              <w:pStyle w:val="TableBodyText"/>
              <w:spacing w:before="40"/>
            </w:pPr>
            <w:r>
              <w:t>-64</w:t>
            </w:r>
            <w:r w:rsidR="004F0B7B">
              <w:t>44</w:t>
            </w:r>
            <w:r>
              <w:t>.</w:t>
            </w:r>
            <w:r w:rsidR="004F0B7B">
              <w:t>0</w:t>
            </w:r>
          </w:p>
        </w:tc>
        <w:tc>
          <w:tcPr>
            <w:tcW w:w="569" w:type="pct"/>
            <w:vAlign w:val="bottom"/>
          </w:tcPr>
          <w:p w:rsidR="00030E51" w:rsidRDefault="00030E51" w:rsidP="004F0B7B">
            <w:pPr>
              <w:pStyle w:val="TableBodyText"/>
              <w:spacing w:before="40"/>
            </w:pPr>
            <w:r>
              <w:t>-6717.0</w:t>
            </w:r>
          </w:p>
        </w:tc>
        <w:tc>
          <w:tcPr>
            <w:tcW w:w="568" w:type="pct"/>
            <w:vAlign w:val="bottom"/>
          </w:tcPr>
          <w:p w:rsidR="00030E51" w:rsidRDefault="00030E51" w:rsidP="004F0B7B">
            <w:pPr>
              <w:pStyle w:val="TableBodyText"/>
              <w:spacing w:before="40"/>
            </w:pPr>
            <w:r>
              <w:t>-66</w:t>
            </w:r>
            <w:r w:rsidR="004F0B7B">
              <w:t>65</w:t>
            </w:r>
            <w:r>
              <w:t>.</w:t>
            </w:r>
            <w:r w:rsidR="004F0B7B">
              <w:t>4</w:t>
            </w:r>
          </w:p>
        </w:tc>
        <w:tc>
          <w:tcPr>
            <w:tcW w:w="568" w:type="pct"/>
            <w:vAlign w:val="bottom"/>
          </w:tcPr>
          <w:p w:rsidR="00030E51" w:rsidRDefault="00030E51" w:rsidP="004F0B7B">
            <w:pPr>
              <w:pStyle w:val="TableBodyText"/>
              <w:spacing w:before="40"/>
            </w:pPr>
            <w:r>
              <w:t>-666</w:t>
            </w:r>
            <w:r w:rsidR="004F0B7B">
              <w:t>0</w:t>
            </w:r>
            <w:r>
              <w:t>.</w:t>
            </w:r>
            <w:r w:rsidR="004F0B7B">
              <w:t>4</w:t>
            </w:r>
          </w:p>
        </w:tc>
        <w:tc>
          <w:tcPr>
            <w:tcW w:w="568" w:type="pct"/>
            <w:vAlign w:val="bottom"/>
          </w:tcPr>
          <w:p w:rsidR="00030E51" w:rsidRDefault="00030E51" w:rsidP="004F0B7B">
            <w:pPr>
              <w:pStyle w:val="TableBodyText"/>
              <w:spacing w:before="40"/>
            </w:pPr>
            <w:r>
              <w:t>-704</w:t>
            </w:r>
            <w:r w:rsidR="004F0B7B">
              <w:t>9.0</w:t>
            </w:r>
          </w:p>
        </w:tc>
        <w:tc>
          <w:tcPr>
            <w:tcW w:w="548" w:type="pct"/>
            <w:vAlign w:val="bottom"/>
          </w:tcPr>
          <w:p w:rsidR="00030E51" w:rsidRDefault="00030E51" w:rsidP="004F0B7B">
            <w:pPr>
              <w:pStyle w:val="TableBodyText"/>
              <w:spacing w:before="40"/>
            </w:pPr>
            <w:r>
              <w:t>-7</w:t>
            </w:r>
            <w:r w:rsidR="004F0B7B">
              <w:t>112.4</w:t>
            </w:r>
          </w:p>
        </w:tc>
      </w:tr>
      <w:tr w:rsidR="00C04D2C" w:rsidTr="00030E51">
        <w:tc>
          <w:tcPr>
            <w:tcW w:w="1612" w:type="pct"/>
            <w:tcBorders>
              <w:bottom w:val="single" w:sz="6" w:space="0" w:color="auto"/>
            </w:tcBorders>
            <w:shd w:val="clear" w:color="auto" w:fill="auto"/>
          </w:tcPr>
          <w:p w:rsidR="00030E51" w:rsidRPr="009B64BB" w:rsidRDefault="00030E51" w:rsidP="00B05886">
            <w:pPr>
              <w:pStyle w:val="TableBodyText"/>
              <w:spacing w:before="40"/>
              <w:jc w:val="left"/>
              <w:rPr>
                <w:b/>
              </w:rPr>
            </w:pPr>
            <w:r w:rsidRPr="009B64BB">
              <w:rPr>
                <w:b/>
              </w:rPr>
              <w:t>Net combined assistance</w:t>
            </w:r>
            <w:r w:rsidRPr="00DB266B">
              <w:rPr>
                <w:rStyle w:val="NoteLabel"/>
              </w:rPr>
              <w:t>a</w:t>
            </w:r>
          </w:p>
        </w:tc>
        <w:tc>
          <w:tcPr>
            <w:tcW w:w="568" w:type="pct"/>
            <w:tcBorders>
              <w:bottom w:val="single" w:sz="6" w:space="0" w:color="auto"/>
            </w:tcBorders>
            <w:vAlign w:val="bottom"/>
          </w:tcPr>
          <w:p w:rsidR="00030E51" w:rsidRDefault="00030E51" w:rsidP="00AA03DB">
            <w:pPr>
              <w:pStyle w:val="TableBodyText"/>
              <w:rPr>
                <w:b/>
                <w:bCs/>
              </w:rPr>
            </w:pPr>
            <w:r>
              <w:rPr>
                <w:b/>
                <w:bCs/>
              </w:rPr>
              <w:t>110</w:t>
            </w:r>
            <w:r w:rsidR="004F0B7B">
              <w:rPr>
                <w:b/>
                <w:bCs/>
              </w:rPr>
              <w:t>0</w:t>
            </w:r>
            <w:r w:rsidR="00AA03DB">
              <w:rPr>
                <w:b/>
                <w:bCs/>
              </w:rPr>
              <w:t>2.7</w:t>
            </w:r>
          </w:p>
        </w:tc>
        <w:tc>
          <w:tcPr>
            <w:tcW w:w="569" w:type="pct"/>
            <w:tcBorders>
              <w:bottom w:val="single" w:sz="6" w:space="0" w:color="auto"/>
            </w:tcBorders>
            <w:vAlign w:val="bottom"/>
          </w:tcPr>
          <w:p w:rsidR="00030E51" w:rsidRDefault="00030E51" w:rsidP="00AA03DB">
            <w:pPr>
              <w:pStyle w:val="TableBodyText"/>
              <w:rPr>
                <w:b/>
                <w:bCs/>
              </w:rPr>
            </w:pPr>
            <w:r>
              <w:rPr>
                <w:b/>
                <w:bCs/>
              </w:rPr>
              <w:t>105</w:t>
            </w:r>
            <w:r w:rsidR="00AA03DB">
              <w:rPr>
                <w:b/>
                <w:bCs/>
              </w:rPr>
              <w:t>59.5</w:t>
            </w:r>
          </w:p>
        </w:tc>
        <w:tc>
          <w:tcPr>
            <w:tcW w:w="568" w:type="pct"/>
            <w:tcBorders>
              <w:bottom w:val="single" w:sz="6" w:space="0" w:color="auto"/>
            </w:tcBorders>
            <w:vAlign w:val="bottom"/>
          </w:tcPr>
          <w:p w:rsidR="00030E51" w:rsidRDefault="00030E51" w:rsidP="00AA03DB">
            <w:pPr>
              <w:pStyle w:val="TableBodyText"/>
              <w:rPr>
                <w:b/>
                <w:bCs/>
              </w:rPr>
            </w:pPr>
            <w:r>
              <w:rPr>
                <w:b/>
                <w:bCs/>
              </w:rPr>
              <w:t>115</w:t>
            </w:r>
            <w:r w:rsidR="00AA03DB">
              <w:rPr>
                <w:b/>
                <w:bCs/>
              </w:rPr>
              <w:t>19.8</w:t>
            </w:r>
          </w:p>
        </w:tc>
        <w:tc>
          <w:tcPr>
            <w:tcW w:w="568" w:type="pct"/>
            <w:tcBorders>
              <w:bottom w:val="single" w:sz="6" w:space="0" w:color="auto"/>
            </w:tcBorders>
            <w:vAlign w:val="bottom"/>
          </w:tcPr>
          <w:p w:rsidR="00030E51" w:rsidRDefault="00030E51" w:rsidP="00AA03DB">
            <w:pPr>
              <w:pStyle w:val="TableBodyText"/>
              <w:rPr>
                <w:b/>
                <w:bCs/>
              </w:rPr>
            </w:pPr>
            <w:r>
              <w:rPr>
                <w:b/>
                <w:bCs/>
              </w:rPr>
              <w:t>114</w:t>
            </w:r>
            <w:r w:rsidR="00AA03DB">
              <w:rPr>
                <w:b/>
                <w:bCs/>
              </w:rPr>
              <w:t>56.2</w:t>
            </w:r>
          </w:p>
        </w:tc>
        <w:tc>
          <w:tcPr>
            <w:tcW w:w="568" w:type="pct"/>
            <w:tcBorders>
              <w:bottom w:val="single" w:sz="6" w:space="0" w:color="auto"/>
            </w:tcBorders>
            <w:shd w:val="clear" w:color="auto" w:fill="auto"/>
            <w:vAlign w:val="bottom"/>
          </w:tcPr>
          <w:p w:rsidR="00030E51" w:rsidRDefault="00030E51" w:rsidP="00AA03DB">
            <w:pPr>
              <w:pStyle w:val="TableBodyText"/>
              <w:rPr>
                <w:b/>
                <w:bCs/>
              </w:rPr>
            </w:pPr>
            <w:r>
              <w:rPr>
                <w:b/>
                <w:bCs/>
              </w:rPr>
              <w:t>110</w:t>
            </w:r>
            <w:r w:rsidR="00AA03DB">
              <w:rPr>
                <w:b/>
                <w:bCs/>
              </w:rPr>
              <w:t>59.1</w:t>
            </w:r>
          </w:p>
        </w:tc>
        <w:tc>
          <w:tcPr>
            <w:tcW w:w="548" w:type="pct"/>
            <w:tcBorders>
              <w:bottom w:val="single" w:sz="6" w:space="0" w:color="auto"/>
            </w:tcBorders>
            <w:shd w:val="clear" w:color="auto" w:fill="auto"/>
            <w:vAlign w:val="bottom"/>
          </w:tcPr>
          <w:p w:rsidR="00030E51" w:rsidRDefault="00030E51" w:rsidP="00AA03DB">
            <w:pPr>
              <w:pStyle w:val="TableBodyText"/>
              <w:rPr>
                <w:b/>
                <w:bCs/>
              </w:rPr>
            </w:pPr>
            <w:r>
              <w:rPr>
                <w:b/>
                <w:bCs/>
              </w:rPr>
              <w:t>85</w:t>
            </w:r>
            <w:r w:rsidR="00AA03DB">
              <w:rPr>
                <w:b/>
                <w:bCs/>
              </w:rPr>
              <w:t>01.6</w:t>
            </w:r>
          </w:p>
        </w:tc>
      </w:tr>
    </w:tbl>
    <w:p w:rsidR="00D42BA5" w:rsidRDefault="00DD4230" w:rsidP="00C2755E">
      <w:pPr>
        <w:pStyle w:val="Note"/>
      </w:pPr>
      <w:r w:rsidRPr="00AC2CC6">
        <w:t>– </w:t>
      </w:r>
      <w:r>
        <w:t>N</w:t>
      </w:r>
      <w:r w:rsidRPr="00AC2CC6">
        <w:t>il</w:t>
      </w:r>
      <w:r>
        <w:t>.</w:t>
      </w:r>
      <w:r w:rsidRPr="000714CF">
        <w:rPr>
          <w:rStyle w:val="NoteLabel"/>
          <w:b w:val="0"/>
        </w:rPr>
        <w:t xml:space="preserve">  </w:t>
      </w:r>
      <w:r w:rsidR="00D42BA5" w:rsidRPr="008E77FE">
        <w:rPr>
          <w:rStyle w:val="NoteLabel"/>
        </w:rPr>
        <w:t>a</w:t>
      </w:r>
      <w:r>
        <w:t> </w:t>
      </w:r>
      <w:r w:rsidRPr="00DD4230">
        <w:t xml:space="preserve">Further information on the estimation and interpretation of net combined assistance is provided in the methodological annex to </w:t>
      </w:r>
      <w:r w:rsidRPr="00DD4230">
        <w:rPr>
          <w:i/>
        </w:rPr>
        <w:t>Trade &amp; Assistance Review 2011</w:t>
      </w:r>
      <w:r w:rsidRPr="00DD4230">
        <w:rPr>
          <w:i/>
        </w:rPr>
        <w:noBreakHyphen/>
        <w:t>12</w:t>
      </w:r>
      <w:r>
        <w:t xml:space="preserve">. </w:t>
      </w:r>
      <w:r w:rsidRPr="00DD4230">
        <w:t>Estimates prior to 2011</w:t>
      </w:r>
      <w:r>
        <w:noBreakHyphen/>
      </w:r>
      <w:r w:rsidRPr="00DD4230">
        <w:t xml:space="preserve">12 differ from estimates published in earlier </w:t>
      </w:r>
      <w:r w:rsidRPr="00DD4230">
        <w:rPr>
          <w:i/>
        </w:rPr>
        <w:t>Reviews</w:t>
      </w:r>
      <w:r w:rsidRPr="00DD4230">
        <w:t xml:space="preserve">. Differences reflect the effects of re-benchmarking the estimates of tariff assistance and changes in source information. </w:t>
      </w:r>
    </w:p>
    <w:p w:rsidR="00D42BA5" w:rsidRPr="008E77FE" w:rsidRDefault="00D42BA5" w:rsidP="00C2755E">
      <w:pPr>
        <w:pStyle w:val="Source"/>
      </w:pPr>
      <w:r>
        <w:rPr>
          <w:i/>
        </w:rPr>
        <w:t>Source</w:t>
      </w:r>
      <w:r>
        <w:t>: Commission estimates.</w:t>
      </w:r>
      <w:r w:rsidR="0065296C">
        <w:t xml:space="preserve"> </w:t>
      </w:r>
    </w:p>
    <w:p w:rsidR="007B79AD" w:rsidRDefault="007B79AD" w:rsidP="007B79AD">
      <w:pPr>
        <w:pStyle w:val="BodyText"/>
      </w:pPr>
      <w:r>
        <w:t>After considering the negative effects of tariff assistance on industry inputs, total estimated net combined assistance amounted to around $8.</w:t>
      </w:r>
      <w:r w:rsidR="00AD61A3">
        <w:t>5</w:t>
      </w:r>
      <w:r>
        <w:t> billion in 2012</w:t>
      </w:r>
      <w:r>
        <w:noBreakHyphen/>
        <w:t>13, a decrease of around $2.</w:t>
      </w:r>
      <w:r w:rsidR="00614A43">
        <w:t>5</w:t>
      </w:r>
      <w:r>
        <w:t> billion (in nominal terms) from 2011</w:t>
      </w:r>
      <w:r>
        <w:noBreakHyphen/>
        <w:t xml:space="preserve">12. </w:t>
      </w:r>
      <w:r w:rsidR="00760EBD">
        <w:t>Net t</w:t>
      </w:r>
      <w:r>
        <w:t xml:space="preserve">ariff </w:t>
      </w:r>
      <w:r w:rsidR="00760EBD">
        <w:t xml:space="preserve">assistance </w:t>
      </w:r>
      <w:r>
        <w:t>and budgetary assistance declined by around $</w:t>
      </w:r>
      <w:r w:rsidR="00126696">
        <w:t>0.3 billion</w:t>
      </w:r>
      <w:r>
        <w:t xml:space="preserve"> and $2.</w:t>
      </w:r>
      <w:r w:rsidR="00B05886">
        <w:t>2</w:t>
      </w:r>
      <w:r>
        <w:t> b</w:t>
      </w:r>
      <w:r w:rsidR="004E736C">
        <w:t>illion, respectively.</w:t>
      </w:r>
      <w:r w:rsidR="00760EBD">
        <w:t xml:space="preserve"> Between the two years, the impost of tariffs on inputs remained relatively stable. </w:t>
      </w:r>
    </w:p>
    <w:p w:rsidR="000462E0" w:rsidRDefault="0084586C" w:rsidP="007B79AD">
      <w:pPr>
        <w:pStyle w:val="BodyText"/>
      </w:pPr>
      <w:r>
        <w:t xml:space="preserve">The year-to-year changes in combined assistance over </w:t>
      </w:r>
      <w:r w:rsidR="00526FDE">
        <w:t xml:space="preserve">the six year period </w:t>
      </w:r>
      <w:r w:rsidR="00386A8A">
        <w:t>2007</w:t>
      </w:r>
      <w:r w:rsidR="00386A8A">
        <w:noBreakHyphen/>
        <w:t>08 to 2012</w:t>
      </w:r>
      <w:r w:rsidR="00386A8A">
        <w:noBreakHyphen/>
        <w:t xml:space="preserve">13, represent the net effect of changes in tariff assistance, budgetary outlays and tax concessions, as well as </w:t>
      </w:r>
      <w:r w:rsidR="000462E0">
        <w:t xml:space="preserve">the </w:t>
      </w:r>
      <w:r w:rsidR="00386A8A">
        <w:t xml:space="preserve">reduction in support through </w:t>
      </w:r>
      <w:r w:rsidR="000462E0">
        <w:t>agricultural pricing assistance. As noted above, the main influence</w:t>
      </w:r>
      <w:r w:rsidR="000714CF">
        <w:t>s</w:t>
      </w:r>
      <w:r w:rsidR="000462E0">
        <w:t xml:space="preserve"> on changes in tariff assistance are reductions in tariff rates and the scale of activities protected by tariffs, or bearing the cost of tariffs. Tariff output assistance has tended to decline while the tariff penalty on inputs has tended to increase. While the net effect of these changes is to reduce </w:t>
      </w:r>
      <w:r w:rsidR="00A824B2">
        <w:t xml:space="preserve">overall </w:t>
      </w:r>
      <w:r w:rsidR="000462E0">
        <w:t xml:space="preserve">net </w:t>
      </w:r>
      <w:r w:rsidR="003673B3">
        <w:t xml:space="preserve">tariff </w:t>
      </w:r>
      <w:r w:rsidR="000462E0">
        <w:t xml:space="preserve">assistance, this estimate masks the distributional effects of assistance disparities between industries. </w:t>
      </w:r>
    </w:p>
    <w:p w:rsidR="00D42BA5" w:rsidRDefault="00D42BA5" w:rsidP="00D42BA5">
      <w:pPr>
        <w:pStyle w:val="Heading3"/>
      </w:pPr>
      <w:r>
        <w:t>Value of combined assistance by industry grouping</w:t>
      </w:r>
    </w:p>
    <w:p w:rsidR="00614A43" w:rsidRDefault="004877DD" w:rsidP="00120072">
      <w:pPr>
        <w:pStyle w:val="BodyText"/>
      </w:pPr>
      <w:r>
        <w:t>Table </w:t>
      </w:r>
      <w:r w:rsidR="00E121B3">
        <w:t>4.6</w:t>
      </w:r>
      <w:r>
        <w:t xml:space="preserve"> </w:t>
      </w:r>
      <w:r w:rsidRPr="004877DD">
        <w:t>summarises, at the industry level, tariff and budgetary assistance for 201</w:t>
      </w:r>
      <w:r>
        <w:t>2</w:t>
      </w:r>
      <w:r>
        <w:noBreakHyphen/>
      </w:r>
      <w:r w:rsidRPr="004877DD">
        <w:t>1</w:t>
      </w:r>
      <w:r>
        <w:t>3</w:t>
      </w:r>
      <w:r w:rsidRPr="004877DD">
        <w:t xml:space="preserve">. Reflecting the earlier discussion on individual elements, the manufacturing sector receives the highest level of net combined industry assistance </w:t>
      </w:r>
    </w:p>
    <w:p w:rsidR="00D42BA5" w:rsidRDefault="00D42BA5">
      <w:pPr>
        <w:pStyle w:val="TableTitle"/>
      </w:pPr>
      <w:r>
        <w:rPr>
          <w:b w:val="0"/>
        </w:rPr>
        <w:lastRenderedPageBreak/>
        <w:t xml:space="preserve">Table </w:t>
      </w:r>
      <w:bookmarkStart w:id="15" w:name="OLE_LINK7"/>
      <w:r w:rsidR="00361E17">
        <w:rPr>
          <w:b w:val="0"/>
        </w:rPr>
        <w:t>4.</w:t>
      </w:r>
      <w:r w:rsidR="00000604">
        <w:rPr>
          <w:b w:val="0"/>
          <w:noProof/>
        </w:rPr>
        <w:t>6</w:t>
      </w:r>
      <w:bookmarkEnd w:id="15"/>
      <w:r>
        <w:tab/>
        <w:t>Combined assistance by industry grouping, 2012</w:t>
      </w:r>
      <w:r>
        <w:noBreakHyphen/>
        <w:t>13</w:t>
      </w:r>
      <w:r w:rsidR="00B60BA0" w:rsidRPr="00706C77">
        <w:rPr>
          <w:rStyle w:val="NoteLabel"/>
        </w:rPr>
        <w:t>a</w:t>
      </w:r>
    </w:p>
    <w:p w:rsidR="00D42BA5" w:rsidRDefault="00D42BA5">
      <w:pPr>
        <w:pStyle w:val="Subtitle"/>
      </w:pPr>
      <w:r>
        <w:t>$ million (nominal)</w:t>
      </w:r>
    </w:p>
    <w:tbl>
      <w:tblPr>
        <w:tblW w:w="5000" w:type="pct"/>
        <w:tblCellMar>
          <w:left w:w="0" w:type="dxa"/>
          <w:right w:w="0" w:type="dxa"/>
        </w:tblCellMar>
        <w:tblLook w:val="0000" w:firstRow="0" w:lastRow="0" w:firstColumn="0" w:lastColumn="0" w:noHBand="0" w:noVBand="0"/>
      </w:tblPr>
      <w:tblGrid>
        <w:gridCol w:w="2836"/>
        <w:gridCol w:w="962"/>
        <w:gridCol w:w="967"/>
        <w:gridCol w:w="1064"/>
        <w:gridCol w:w="1032"/>
        <w:gridCol w:w="949"/>
        <w:gridCol w:w="979"/>
      </w:tblGrid>
      <w:tr w:rsidR="00350A32" w:rsidTr="004F78AB">
        <w:trPr>
          <w:trHeight w:val="218"/>
        </w:trPr>
        <w:tc>
          <w:tcPr>
            <w:tcW w:w="1613" w:type="pct"/>
            <w:vMerge w:val="restart"/>
            <w:tcBorders>
              <w:top w:val="single" w:sz="6" w:space="0" w:color="auto"/>
            </w:tcBorders>
            <w:shd w:val="clear" w:color="auto" w:fill="auto"/>
          </w:tcPr>
          <w:p w:rsidR="00350A32" w:rsidRDefault="00350A32" w:rsidP="00C2755E">
            <w:pPr>
              <w:pStyle w:val="TableColumnHeading"/>
              <w:jc w:val="left"/>
            </w:pPr>
          </w:p>
        </w:tc>
        <w:tc>
          <w:tcPr>
            <w:tcW w:w="547" w:type="pct"/>
            <w:tcBorders>
              <w:top w:val="single" w:sz="6" w:space="0" w:color="auto"/>
              <w:bottom w:val="single" w:sz="6" w:space="0" w:color="auto"/>
            </w:tcBorders>
            <w:vAlign w:val="bottom"/>
          </w:tcPr>
          <w:p w:rsidR="00350A32" w:rsidRDefault="00350A32" w:rsidP="00C2755E">
            <w:pPr>
              <w:pStyle w:val="TableColumnHeading"/>
            </w:pPr>
            <w:r>
              <w:t>Tariffs</w:t>
            </w:r>
          </w:p>
        </w:tc>
        <w:tc>
          <w:tcPr>
            <w:tcW w:w="550" w:type="pct"/>
            <w:tcBorders>
              <w:top w:val="single" w:sz="6" w:space="0" w:color="auto"/>
              <w:bottom w:val="single" w:sz="6" w:space="0" w:color="auto"/>
            </w:tcBorders>
            <w:vAlign w:val="bottom"/>
          </w:tcPr>
          <w:p w:rsidR="00350A32" w:rsidRDefault="00350A32" w:rsidP="00C2755E">
            <w:pPr>
              <w:pStyle w:val="TableColumnHeading"/>
            </w:pPr>
          </w:p>
        </w:tc>
        <w:tc>
          <w:tcPr>
            <w:tcW w:w="605" w:type="pct"/>
            <w:vMerge w:val="restart"/>
            <w:tcBorders>
              <w:top w:val="single" w:sz="6" w:space="0" w:color="auto"/>
            </w:tcBorders>
            <w:shd w:val="clear" w:color="auto" w:fill="B4C98B"/>
            <w:vAlign w:val="bottom"/>
          </w:tcPr>
          <w:p w:rsidR="00350A32" w:rsidRDefault="009E7048" w:rsidP="00C2755E">
            <w:pPr>
              <w:pStyle w:val="TableColumnHeading"/>
            </w:pPr>
            <w:r>
              <w:t>Net tariff assistance</w:t>
            </w:r>
          </w:p>
        </w:tc>
        <w:tc>
          <w:tcPr>
            <w:tcW w:w="587" w:type="pct"/>
            <w:tcBorders>
              <w:top w:val="single" w:sz="6" w:space="0" w:color="auto"/>
              <w:bottom w:val="single" w:sz="6" w:space="0" w:color="auto"/>
            </w:tcBorders>
            <w:vAlign w:val="bottom"/>
          </w:tcPr>
          <w:p w:rsidR="00350A32" w:rsidRDefault="00350A32" w:rsidP="00C2755E">
            <w:pPr>
              <w:pStyle w:val="TableColumnHeading"/>
            </w:pPr>
            <w:r>
              <w:t>Budgetary</w:t>
            </w:r>
          </w:p>
        </w:tc>
        <w:tc>
          <w:tcPr>
            <w:tcW w:w="540" w:type="pct"/>
            <w:tcBorders>
              <w:top w:val="single" w:sz="6" w:space="0" w:color="auto"/>
              <w:bottom w:val="single" w:sz="6" w:space="0" w:color="auto"/>
            </w:tcBorders>
            <w:shd w:val="clear" w:color="auto" w:fill="auto"/>
            <w:vAlign w:val="bottom"/>
          </w:tcPr>
          <w:p w:rsidR="00350A32" w:rsidRDefault="00350A32" w:rsidP="00C2755E">
            <w:pPr>
              <w:pStyle w:val="TableColumnHeading"/>
            </w:pPr>
          </w:p>
        </w:tc>
        <w:tc>
          <w:tcPr>
            <w:tcW w:w="557" w:type="pct"/>
            <w:vMerge w:val="restart"/>
            <w:tcBorders>
              <w:top w:val="single" w:sz="6" w:space="0" w:color="auto"/>
            </w:tcBorders>
            <w:shd w:val="clear" w:color="auto" w:fill="B4C98B"/>
            <w:vAlign w:val="bottom"/>
          </w:tcPr>
          <w:p w:rsidR="00350A32" w:rsidRDefault="00350A32" w:rsidP="00C2755E">
            <w:pPr>
              <w:pStyle w:val="TableColumnHeading"/>
              <w:ind w:right="28"/>
            </w:pPr>
            <w:r>
              <w:t>Net combined assistance</w:t>
            </w:r>
          </w:p>
        </w:tc>
      </w:tr>
      <w:tr w:rsidR="00350A32" w:rsidTr="004F78AB">
        <w:trPr>
          <w:trHeight w:val="217"/>
        </w:trPr>
        <w:tc>
          <w:tcPr>
            <w:tcW w:w="1613" w:type="pct"/>
            <w:vMerge/>
            <w:tcBorders>
              <w:bottom w:val="single" w:sz="6" w:space="0" w:color="auto"/>
            </w:tcBorders>
            <w:shd w:val="clear" w:color="auto" w:fill="auto"/>
          </w:tcPr>
          <w:p w:rsidR="00350A32" w:rsidRDefault="00350A32" w:rsidP="00C2755E">
            <w:pPr>
              <w:pStyle w:val="TableColumnHeading"/>
              <w:jc w:val="left"/>
            </w:pPr>
          </w:p>
        </w:tc>
        <w:tc>
          <w:tcPr>
            <w:tcW w:w="547" w:type="pct"/>
            <w:tcBorders>
              <w:top w:val="single" w:sz="6" w:space="0" w:color="auto"/>
              <w:bottom w:val="single" w:sz="6" w:space="0" w:color="auto"/>
            </w:tcBorders>
            <w:vAlign w:val="bottom"/>
          </w:tcPr>
          <w:p w:rsidR="00350A32" w:rsidRDefault="00350A32" w:rsidP="00C2755E">
            <w:pPr>
              <w:pStyle w:val="TableColumnHeading"/>
            </w:pPr>
            <w:r>
              <w:t>Output</w:t>
            </w:r>
          </w:p>
        </w:tc>
        <w:tc>
          <w:tcPr>
            <w:tcW w:w="550" w:type="pct"/>
            <w:tcBorders>
              <w:top w:val="single" w:sz="6" w:space="0" w:color="auto"/>
              <w:bottom w:val="single" w:sz="6" w:space="0" w:color="auto"/>
            </w:tcBorders>
            <w:vAlign w:val="bottom"/>
          </w:tcPr>
          <w:p w:rsidR="00350A32" w:rsidRDefault="00350A32" w:rsidP="00C2755E">
            <w:pPr>
              <w:pStyle w:val="TableColumnHeading"/>
            </w:pPr>
            <w:r>
              <w:t>Input penalty</w:t>
            </w:r>
          </w:p>
        </w:tc>
        <w:tc>
          <w:tcPr>
            <w:tcW w:w="605" w:type="pct"/>
            <w:vMerge/>
            <w:tcBorders>
              <w:bottom w:val="single" w:sz="6" w:space="0" w:color="auto"/>
            </w:tcBorders>
            <w:shd w:val="clear" w:color="auto" w:fill="B4C98B"/>
          </w:tcPr>
          <w:p w:rsidR="00350A32" w:rsidRDefault="00350A32" w:rsidP="00C2755E">
            <w:pPr>
              <w:pStyle w:val="TableColumnHeading"/>
            </w:pPr>
          </w:p>
        </w:tc>
        <w:tc>
          <w:tcPr>
            <w:tcW w:w="587" w:type="pct"/>
            <w:tcBorders>
              <w:top w:val="single" w:sz="6" w:space="0" w:color="auto"/>
              <w:bottom w:val="single" w:sz="6" w:space="0" w:color="auto"/>
            </w:tcBorders>
            <w:vAlign w:val="bottom"/>
          </w:tcPr>
          <w:p w:rsidR="00350A32" w:rsidRDefault="00350A32" w:rsidP="00C2755E">
            <w:pPr>
              <w:pStyle w:val="TableColumnHeading"/>
            </w:pPr>
            <w:r>
              <w:t>Outlays</w:t>
            </w:r>
          </w:p>
        </w:tc>
        <w:tc>
          <w:tcPr>
            <w:tcW w:w="540" w:type="pct"/>
            <w:tcBorders>
              <w:top w:val="single" w:sz="6" w:space="0" w:color="auto"/>
              <w:bottom w:val="single" w:sz="6" w:space="0" w:color="auto"/>
            </w:tcBorders>
            <w:shd w:val="clear" w:color="auto" w:fill="auto"/>
            <w:vAlign w:val="bottom"/>
          </w:tcPr>
          <w:p w:rsidR="00350A32" w:rsidRDefault="00350A32" w:rsidP="00C2755E">
            <w:pPr>
              <w:pStyle w:val="TableColumnHeading"/>
            </w:pPr>
            <w:r>
              <w:t>Tax concess</w:t>
            </w:r>
            <w:r w:rsidR="00957BD9">
              <w:t>.</w:t>
            </w:r>
          </w:p>
        </w:tc>
        <w:tc>
          <w:tcPr>
            <w:tcW w:w="557" w:type="pct"/>
            <w:vMerge/>
            <w:tcBorders>
              <w:bottom w:val="single" w:sz="6" w:space="0" w:color="auto"/>
            </w:tcBorders>
            <w:shd w:val="clear" w:color="auto" w:fill="B4C98B"/>
          </w:tcPr>
          <w:p w:rsidR="00350A32" w:rsidRDefault="00350A32" w:rsidP="00C2755E">
            <w:pPr>
              <w:pStyle w:val="TableColumnHeading"/>
              <w:ind w:right="28"/>
            </w:pPr>
          </w:p>
        </w:tc>
      </w:tr>
      <w:tr w:rsidR="00915791" w:rsidRPr="009B0AEB" w:rsidTr="004F78AB">
        <w:tc>
          <w:tcPr>
            <w:tcW w:w="1613" w:type="pct"/>
            <w:tcBorders>
              <w:top w:val="single" w:sz="6" w:space="0" w:color="auto"/>
            </w:tcBorders>
            <w:vAlign w:val="center"/>
          </w:tcPr>
          <w:p w:rsidR="00915791" w:rsidRPr="009B0AEB" w:rsidRDefault="00915791" w:rsidP="00E95960">
            <w:pPr>
              <w:pStyle w:val="TableUnitsRow"/>
              <w:spacing w:before="0" w:after="40"/>
              <w:jc w:val="left"/>
              <w:rPr>
                <w:b/>
                <w:sz w:val="18"/>
                <w:szCs w:val="18"/>
              </w:rPr>
            </w:pPr>
            <w:r w:rsidRPr="009B0AEB">
              <w:rPr>
                <w:b/>
                <w:sz w:val="18"/>
                <w:szCs w:val="18"/>
              </w:rPr>
              <w:t>Primary production</w:t>
            </w:r>
          </w:p>
        </w:tc>
        <w:tc>
          <w:tcPr>
            <w:tcW w:w="547" w:type="pct"/>
            <w:tcBorders>
              <w:top w:val="single" w:sz="6" w:space="0" w:color="auto"/>
            </w:tcBorders>
            <w:vAlign w:val="center"/>
          </w:tcPr>
          <w:p w:rsidR="00915791" w:rsidRPr="009B0AEB" w:rsidRDefault="00915791" w:rsidP="00E95960">
            <w:pPr>
              <w:pStyle w:val="TableUnitsRow"/>
              <w:spacing w:before="0" w:after="40"/>
              <w:rPr>
                <w:b/>
                <w:sz w:val="18"/>
                <w:szCs w:val="18"/>
              </w:rPr>
            </w:pPr>
            <w:r w:rsidRPr="009B0AEB">
              <w:rPr>
                <w:b/>
                <w:sz w:val="18"/>
                <w:szCs w:val="18"/>
              </w:rPr>
              <w:t>241.9</w:t>
            </w:r>
          </w:p>
        </w:tc>
        <w:tc>
          <w:tcPr>
            <w:tcW w:w="550" w:type="pct"/>
            <w:tcBorders>
              <w:top w:val="single" w:sz="6" w:space="0" w:color="auto"/>
            </w:tcBorders>
            <w:vAlign w:val="center"/>
          </w:tcPr>
          <w:p w:rsidR="00915791" w:rsidRPr="009B0AEB" w:rsidRDefault="00915791" w:rsidP="00E95960">
            <w:pPr>
              <w:pStyle w:val="TableUnitsRow"/>
              <w:spacing w:before="0" w:after="40"/>
              <w:rPr>
                <w:b/>
                <w:sz w:val="18"/>
                <w:szCs w:val="18"/>
              </w:rPr>
            </w:pPr>
            <w:r w:rsidRPr="009B0AEB">
              <w:rPr>
                <w:b/>
                <w:sz w:val="18"/>
                <w:szCs w:val="18"/>
              </w:rPr>
              <w:t>-81.6</w:t>
            </w:r>
          </w:p>
        </w:tc>
        <w:tc>
          <w:tcPr>
            <w:tcW w:w="605" w:type="pct"/>
            <w:tcBorders>
              <w:top w:val="single" w:sz="6" w:space="0" w:color="auto"/>
            </w:tcBorders>
            <w:shd w:val="clear" w:color="auto" w:fill="B4C98B"/>
            <w:vAlign w:val="center"/>
          </w:tcPr>
          <w:p w:rsidR="00915791" w:rsidRPr="009B0AEB" w:rsidRDefault="00915791" w:rsidP="00E95960">
            <w:pPr>
              <w:pStyle w:val="TableUnitsRow"/>
              <w:spacing w:before="0" w:after="40"/>
              <w:rPr>
                <w:b/>
                <w:sz w:val="18"/>
                <w:szCs w:val="18"/>
              </w:rPr>
            </w:pPr>
            <w:r w:rsidRPr="009B0AEB">
              <w:rPr>
                <w:b/>
                <w:sz w:val="18"/>
                <w:szCs w:val="18"/>
              </w:rPr>
              <w:t>160.3</w:t>
            </w:r>
          </w:p>
        </w:tc>
        <w:tc>
          <w:tcPr>
            <w:tcW w:w="587" w:type="pct"/>
            <w:tcBorders>
              <w:top w:val="single" w:sz="6" w:space="0" w:color="auto"/>
            </w:tcBorders>
          </w:tcPr>
          <w:p w:rsidR="00915791" w:rsidRPr="00915791" w:rsidRDefault="00915791" w:rsidP="00097DF9">
            <w:pPr>
              <w:pStyle w:val="TableUnitsRow"/>
              <w:spacing w:before="0" w:after="40"/>
              <w:rPr>
                <w:b/>
                <w:sz w:val="18"/>
                <w:szCs w:val="18"/>
              </w:rPr>
            </w:pPr>
            <w:r w:rsidRPr="00915791">
              <w:rPr>
                <w:b/>
                <w:sz w:val="18"/>
                <w:szCs w:val="18"/>
              </w:rPr>
              <w:t>762.7</w:t>
            </w:r>
          </w:p>
        </w:tc>
        <w:tc>
          <w:tcPr>
            <w:tcW w:w="540" w:type="pct"/>
            <w:tcBorders>
              <w:top w:val="single" w:sz="6" w:space="0" w:color="auto"/>
            </w:tcBorders>
          </w:tcPr>
          <w:p w:rsidR="00915791" w:rsidRPr="00915791" w:rsidRDefault="00915791" w:rsidP="00E95960">
            <w:pPr>
              <w:pStyle w:val="TableUnitsRow"/>
              <w:spacing w:before="0" w:after="40"/>
              <w:rPr>
                <w:b/>
                <w:sz w:val="18"/>
                <w:szCs w:val="18"/>
              </w:rPr>
            </w:pPr>
            <w:r w:rsidRPr="00915791">
              <w:rPr>
                <w:b/>
                <w:sz w:val="18"/>
                <w:szCs w:val="18"/>
              </w:rPr>
              <w:t>370.0</w:t>
            </w:r>
          </w:p>
        </w:tc>
        <w:tc>
          <w:tcPr>
            <w:tcW w:w="557" w:type="pct"/>
            <w:tcBorders>
              <w:top w:val="single" w:sz="6" w:space="0" w:color="auto"/>
            </w:tcBorders>
            <w:shd w:val="clear" w:color="auto" w:fill="B4C98B"/>
          </w:tcPr>
          <w:p w:rsidR="00915791" w:rsidRPr="00915791" w:rsidRDefault="00915791" w:rsidP="00097DF9">
            <w:pPr>
              <w:pStyle w:val="TableUnitsRow"/>
              <w:spacing w:before="0" w:after="40"/>
              <w:rPr>
                <w:b/>
                <w:sz w:val="18"/>
                <w:szCs w:val="18"/>
              </w:rPr>
            </w:pPr>
            <w:r w:rsidRPr="00915791">
              <w:rPr>
                <w:b/>
                <w:sz w:val="18"/>
                <w:szCs w:val="18"/>
              </w:rPr>
              <w:t>1293.0</w:t>
            </w:r>
          </w:p>
        </w:tc>
      </w:tr>
      <w:tr w:rsidR="00915791" w:rsidRPr="009B0AEB" w:rsidTr="004F78AB">
        <w:tc>
          <w:tcPr>
            <w:tcW w:w="1613" w:type="pct"/>
            <w:vAlign w:val="center"/>
          </w:tcPr>
          <w:p w:rsidR="00915791" w:rsidRPr="009B0AEB" w:rsidRDefault="00915791" w:rsidP="00E95960">
            <w:pPr>
              <w:pStyle w:val="TableBodyText"/>
              <w:jc w:val="left"/>
              <w:rPr>
                <w:sz w:val="18"/>
                <w:szCs w:val="18"/>
              </w:rPr>
            </w:pPr>
            <w:r w:rsidRPr="009B0AEB">
              <w:rPr>
                <w:sz w:val="18"/>
                <w:szCs w:val="18"/>
              </w:rPr>
              <w:t>Horticulture and fruit growing</w:t>
            </w:r>
          </w:p>
        </w:tc>
        <w:tc>
          <w:tcPr>
            <w:tcW w:w="547" w:type="pct"/>
            <w:vAlign w:val="center"/>
          </w:tcPr>
          <w:p w:rsidR="00915791" w:rsidRPr="009B0AEB" w:rsidRDefault="00915791" w:rsidP="00E95960">
            <w:pPr>
              <w:pStyle w:val="TableBodyText"/>
              <w:rPr>
                <w:sz w:val="18"/>
                <w:szCs w:val="18"/>
              </w:rPr>
            </w:pPr>
            <w:r w:rsidRPr="009B0AEB">
              <w:rPr>
                <w:sz w:val="18"/>
                <w:szCs w:val="18"/>
              </w:rPr>
              <w:t>177.1</w:t>
            </w:r>
          </w:p>
        </w:tc>
        <w:tc>
          <w:tcPr>
            <w:tcW w:w="550" w:type="pct"/>
            <w:vAlign w:val="center"/>
          </w:tcPr>
          <w:p w:rsidR="00915791" w:rsidRPr="009B0AEB" w:rsidRDefault="00915791" w:rsidP="00E95960">
            <w:pPr>
              <w:pStyle w:val="TableBodyText"/>
              <w:rPr>
                <w:sz w:val="18"/>
                <w:szCs w:val="18"/>
              </w:rPr>
            </w:pPr>
            <w:r w:rsidRPr="009B0AEB">
              <w:rPr>
                <w:sz w:val="18"/>
                <w:szCs w:val="18"/>
              </w:rPr>
              <w:t>-11.2</w:t>
            </w:r>
          </w:p>
        </w:tc>
        <w:tc>
          <w:tcPr>
            <w:tcW w:w="605" w:type="pct"/>
            <w:shd w:val="clear" w:color="auto" w:fill="B4C98B"/>
            <w:vAlign w:val="center"/>
          </w:tcPr>
          <w:p w:rsidR="00915791" w:rsidRPr="009B0AEB" w:rsidRDefault="00915791" w:rsidP="00E95960">
            <w:pPr>
              <w:pStyle w:val="TableBodyText"/>
              <w:rPr>
                <w:sz w:val="18"/>
                <w:szCs w:val="18"/>
              </w:rPr>
            </w:pPr>
            <w:r w:rsidRPr="009B0AEB">
              <w:rPr>
                <w:sz w:val="18"/>
                <w:szCs w:val="18"/>
              </w:rPr>
              <w:t>165.9</w:t>
            </w:r>
          </w:p>
        </w:tc>
        <w:tc>
          <w:tcPr>
            <w:tcW w:w="587" w:type="pct"/>
          </w:tcPr>
          <w:p w:rsidR="00915791" w:rsidRPr="00915791" w:rsidRDefault="00915791" w:rsidP="00097DF9">
            <w:pPr>
              <w:pStyle w:val="TableBodyText"/>
              <w:rPr>
                <w:sz w:val="18"/>
                <w:szCs w:val="18"/>
              </w:rPr>
            </w:pPr>
            <w:r w:rsidRPr="00915791">
              <w:rPr>
                <w:sz w:val="18"/>
                <w:szCs w:val="18"/>
              </w:rPr>
              <w:t>82.9</w:t>
            </w:r>
          </w:p>
        </w:tc>
        <w:tc>
          <w:tcPr>
            <w:tcW w:w="540" w:type="pct"/>
          </w:tcPr>
          <w:p w:rsidR="00915791" w:rsidRPr="00915791" w:rsidRDefault="00915791" w:rsidP="00097DF9">
            <w:pPr>
              <w:pStyle w:val="TableBodyText"/>
              <w:rPr>
                <w:sz w:val="18"/>
                <w:szCs w:val="18"/>
              </w:rPr>
            </w:pPr>
            <w:r w:rsidRPr="00915791">
              <w:rPr>
                <w:sz w:val="18"/>
                <w:szCs w:val="18"/>
              </w:rPr>
              <w:t>43.0</w:t>
            </w:r>
          </w:p>
        </w:tc>
        <w:tc>
          <w:tcPr>
            <w:tcW w:w="557" w:type="pct"/>
            <w:shd w:val="clear" w:color="auto" w:fill="B4C98B"/>
          </w:tcPr>
          <w:p w:rsidR="00915791" w:rsidRPr="00915791" w:rsidRDefault="00915791" w:rsidP="00097DF9">
            <w:pPr>
              <w:pStyle w:val="TableBodyText"/>
              <w:rPr>
                <w:sz w:val="18"/>
                <w:szCs w:val="18"/>
              </w:rPr>
            </w:pPr>
            <w:r w:rsidRPr="00915791">
              <w:rPr>
                <w:sz w:val="18"/>
                <w:szCs w:val="18"/>
              </w:rPr>
              <w:t>291.8</w:t>
            </w:r>
          </w:p>
        </w:tc>
      </w:tr>
      <w:tr w:rsidR="00915791" w:rsidRPr="009B0AEB" w:rsidTr="004F78AB">
        <w:tc>
          <w:tcPr>
            <w:tcW w:w="1613" w:type="pct"/>
            <w:vAlign w:val="center"/>
          </w:tcPr>
          <w:p w:rsidR="00915791" w:rsidRPr="009B0AEB" w:rsidRDefault="00915791" w:rsidP="00000604">
            <w:pPr>
              <w:pStyle w:val="TableBodyText"/>
              <w:jc w:val="left"/>
              <w:rPr>
                <w:sz w:val="18"/>
                <w:szCs w:val="18"/>
              </w:rPr>
            </w:pPr>
            <w:r w:rsidRPr="009B0AEB">
              <w:rPr>
                <w:sz w:val="18"/>
                <w:szCs w:val="18"/>
              </w:rPr>
              <w:t xml:space="preserve">Sheep, cattle </w:t>
            </w:r>
            <w:r>
              <w:rPr>
                <w:sz w:val="18"/>
                <w:szCs w:val="18"/>
              </w:rPr>
              <w:t>and</w:t>
            </w:r>
            <w:r w:rsidRPr="009B0AEB">
              <w:rPr>
                <w:sz w:val="18"/>
                <w:szCs w:val="18"/>
              </w:rPr>
              <w:t xml:space="preserve"> grain farming</w:t>
            </w:r>
          </w:p>
        </w:tc>
        <w:tc>
          <w:tcPr>
            <w:tcW w:w="547" w:type="pct"/>
            <w:vAlign w:val="center"/>
          </w:tcPr>
          <w:p w:rsidR="00915791" w:rsidRPr="009B0AEB" w:rsidRDefault="00915791" w:rsidP="00E95960">
            <w:pPr>
              <w:pStyle w:val="TableBodyText"/>
              <w:rPr>
                <w:sz w:val="18"/>
                <w:szCs w:val="18"/>
              </w:rPr>
            </w:pPr>
            <w:r w:rsidRPr="009B0AEB">
              <w:rPr>
                <w:sz w:val="18"/>
                <w:szCs w:val="18"/>
              </w:rPr>
              <w:t>0.2</w:t>
            </w:r>
          </w:p>
        </w:tc>
        <w:tc>
          <w:tcPr>
            <w:tcW w:w="550" w:type="pct"/>
            <w:vAlign w:val="center"/>
          </w:tcPr>
          <w:p w:rsidR="00915791" w:rsidRPr="009B0AEB" w:rsidRDefault="00915791" w:rsidP="00E95960">
            <w:pPr>
              <w:pStyle w:val="TableBodyText"/>
              <w:rPr>
                <w:sz w:val="18"/>
                <w:szCs w:val="18"/>
              </w:rPr>
            </w:pPr>
            <w:r w:rsidRPr="009B0AEB">
              <w:rPr>
                <w:sz w:val="18"/>
                <w:szCs w:val="18"/>
              </w:rPr>
              <w:t>-16.1</w:t>
            </w:r>
          </w:p>
        </w:tc>
        <w:tc>
          <w:tcPr>
            <w:tcW w:w="605" w:type="pct"/>
            <w:shd w:val="clear" w:color="auto" w:fill="B4C98B"/>
            <w:vAlign w:val="center"/>
          </w:tcPr>
          <w:p w:rsidR="00915791" w:rsidRPr="009B0AEB" w:rsidRDefault="00915791" w:rsidP="00E95960">
            <w:pPr>
              <w:pStyle w:val="TableBodyText"/>
              <w:rPr>
                <w:sz w:val="18"/>
                <w:szCs w:val="18"/>
              </w:rPr>
            </w:pPr>
            <w:r w:rsidRPr="009B0AEB">
              <w:rPr>
                <w:sz w:val="18"/>
                <w:szCs w:val="18"/>
              </w:rPr>
              <w:t>-15.9</w:t>
            </w:r>
          </w:p>
        </w:tc>
        <w:tc>
          <w:tcPr>
            <w:tcW w:w="587" w:type="pct"/>
          </w:tcPr>
          <w:p w:rsidR="00915791" w:rsidRPr="00915791" w:rsidRDefault="00915791" w:rsidP="00097DF9">
            <w:pPr>
              <w:pStyle w:val="TableBodyText"/>
              <w:rPr>
                <w:sz w:val="18"/>
                <w:szCs w:val="18"/>
              </w:rPr>
            </w:pPr>
            <w:r w:rsidRPr="00915791">
              <w:rPr>
                <w:sz w:val="18"/>
                <w:szCs w:val="18"/>
              </w:rPr>
              <w:t>216.3</w:t>
            </w:r>
          </w:p>
        </w:tc>
        <w:tc>
          <w:tcPr>
            <w:tcW w:w="540" w:type="pct"/>
          </w:tcPr>
          <w:p w:rsidR="00915791" w:rsidRPr="00915791" w:rsidRDefault="00915791" w:rsidP="00097DF9">
            <w:pPr>
              <w:pStyle w:val="TableBodyText"/>
              <w:rPr>
                <w:sz w:val="18"/>
                <w:szCs w:val="18"/>
              </w:rPr>
            </w:pPr>
            <w:r w:rsidRPr="00915791">
              <w:rPr>
                <w:sz w:val="18"/>
                <w:szCs w:val="18"/>
              </w:rPr>
              <w:t>237.6</w:t>
            </w:r>
          </w:p>
        </w:tc>
        <w:tc>
          <w:tcPr>
            <w:tcW w:w="557" w:type="pct"/>
            <w:shd w:val="clear" w:color="auto" w:fill="B4C98B"/>
          </w:tcPr>
          <w:p w:rsidR="00915791" w:rsidRPr="00915791" w:rsidRDefault="00915791" w:rsidP="00097DF9">
            <w:pPr>
              <w:pStyle w:val="TableBodyText"/>
              <w:rPr>
                <w:sz w:val="18"/>
                <w:szCs w:val="18"/>
              </w:rPr>
            </w:pPr>
            <w:r w:rsidRPr="00915791">
              <w:rPr>
                <w:sz w:val="18"/>
                <w:szCs w:val="18"/>
              </w:rPr>
              <w:t>438.0</w:t>
            </w:r>
          </w:p>
        </w:tc>
      </w:tr>
      <w:tr w:rsidR="00915791" w:rsidRPr="009B0AEB" w:rsidTr="004F78AB">
        <w:tc>
          <w:tcPr>
            <w:tcW w:w="1613" w:type="pct"/>
            <w:vAlign w:val="center"/>
          </w:tcPr>
          <w:p w:rsidR="00915791" w:rsidRPr="009B0AEB" w:rsidRDefault="00915791" w:rsidP="00E95960">
            <w:pPr>
              <w:pStyle w:val="TableBodyText"/>
              <w:jc w:val="left"/>
              <w:rPr>
                <w:sz w:val="18"/>
                <w:szCs w:val="18"/>
              </w:rPr>
            </w:pPr>
            <w:r w:rsidRPr="009B0AEB">
              <w:rPr>
                <w:sz w:val="18"/>
                <w:szCs w:val="18"/>
              </w:rPr>
              <w:t>Other crop growing</w:t>
            </w:r>
          </w:p>
        </w:tc>
        <w:tc>
          <w:tcPr>
            <w:tcW w:w="547" w:type="pct"/>
            <w:vAlign w:val="center"/>
          </w:tcPr>
          <w:p w:rsidR="00915791" w:rsidRPr="009B0AEB" w:rsidRDefault="00915791" w:rsidP="00E95960">
            <w:pPr>
              <w:pStyle w:val="TableBodyText"/>
              <w:rPr>
                <w:sz w:val="18"/>
                <w:szCs w:val="18"/>
              </w:rPr>
            </w:pPr>
            <w:r w:rsidRPr="009B0AEB">
              <w:rPr>
                <w:sz w:val="18"/>
                <w:szCs w:val="18"/>
              </w:rPr>
              <w:t>2.1</w:t>
            </w:r>
          </w:p>
        </w:tc>
        <w:tc>
          <w:tcPr>
            <w:tcW w:w="550" w:type="pct"/>
            <w:vAlign w:val="center"/>
          </w:tcPr>
          <w:p w:rsidR="00915791" w:rsidRPr="009B0AEB" w:rsidRDefault="00915791" w:rsidP="00E95960">
            <w:pPr>
              <w:pStyle w:val="TableBodyText"/>
              <w:rPr>
                <w:sz w:val="18"/>
                <w:szCs w:val="18"/>
              </w:rPr>
            </w:pPr>
            <w:r w:rsidRPr="009B0AEB">
              <w:rPr>
                <w:sz w:val="18"/>
                <w:szCs w:val="18"/>
              </w:rPr>
              <w:t>-4.0</w:t>
            </w:r>
          </w:p>
        </w:tc>
        <w:tc>
          <w:tcPr>
            <w:tcW w:w="605" w:type="pct"/>
            <w:shd w:val="clear" w:color="auto" w:fill="B4C98B"/>
            <w:vAlign w:val="center"/>
          </w:tcPr>
          <w:p w:rsidR="00915791" w:rsidRPr="009B0AEB" w:rsidRDefault="00915791" w:rsidP="00E95960">
            <w:pPr>
              <w:pStyle w:val="TableBodyText"/>
              <w:rPr>
                <w:sz w:val="18"/>
                <w:szCs w:val="18"/>
              </w:rPr>
            </w:pPr>
            <w:r w:rsidRPr="009B0AEB">
              <w:rPr>
                <w:sz w:val="18"/>
                <w:szCs w:val="18"/>
              </w:rPr>
              <w:t>-2.0</w:t>
            </w:r>
          </w:p>
        </w:tc>
        <w:tc>
          <w:tcPr>
            <w:tcW w:w="587" w:type="pct"/>
          </w:tcPr>
          <w:p w:rsidR="00915791" w:rsidRPr="00915791" w:rsidRDefault="00915791" w:rsidP="00097DF9">
            <w:pPr>
              <w:pStyle w:val="TableBodyText"/>
              <w:rPr>
                <w:sz w:val="18"/>
                <w:szCs w:val="18"/>
              </w:rPr>
            </w:pPr>
            <w:r w:rsidRPr="00915791">
              <w:rPr>
                <w:sz w:val="18"/>
                <w:szCs w:val="18"/>
              </w:rPr>
              <w:t>41.7</w:t>
            </w:r>
          </w:p>
        </w:tc>
        <w:tc>
          <w:tcPr>
            <w:tcW w:w="540" w:type="pct"/>
          </w:tcPr>
          <w:p w:rsidR="00915791" w:rsidRPr="00915791" w:rsidRDefault="00915791" w:rsidP="00097DF9">
            <w:pPr>
              <w:pStyle w:val="TableBodyText"/>
              <w:rPr>
                <w:sz w:val="18"/>
                <w:szCs w:val="18"/>
              </w:rPr>
            </w:pPr>
            <w:r w:rsidRPr="00915791">
              <w:rPr>
                <w:sz w:val="18"/>
                <w:szCs w:val="18"/>
              </w:rPr>
              <w:t>19.2</w:t>
            </w:r>
          </w:p>
        </w:tc>
        <w:tc>
          <w:tcPr>
            <w:tcW w:w="557" w:type="pct"/>
            <w:shd w:val="clear" w:color="auto" w:fill="B4C98B"/>
          </w:tcPr>
          <w:p w:rsidR="00915791" w:rsidRPr="00915791" w:rsidRDefault="00915791" w:rsidP="00097DF9">
            <w:pPr>
              <w:pStyle w:val="TableBodyText"/>
              <w:rPr>
                <w:sz w:val="18"/>
                <w:szCs w:val="18"/>
              </w:rPr>
            </w:pPr>
            <w:r w:rsidRPr="00915791">
              <w:rPr>
                <w:sz w:val="18"/>
                <w:szCs w:val="18"/>
              </w:rPr>
              <w:t>58.9</w:t>
            </w:r>
          </w:p>
        </w:tc>
      </w:tr>
      <w:tr w:rsidR="00915791" w:rsidRPr="009B0AEB" w:rsidTr="004F78AB">
        <w:tc>
          <w:tcPr>
            <w:tcW w:w="1613" w:type="pct"/>
            <w:vAlign w:val="center"/>
          </w:tcPr>
          <w:p w:rsidR="00915791" w:rsidRPr="009B0AEB" w:rsidRDefault="00915791" w:rsidP="00E95960">
            <w:pPr>
              <w:pStyle w:val="TableBodyText"/>
              <w:jc w:val="left"/>
              <w:rPr>
                <w:sz w:val="18"/>
                <w:szCs w:val="18"/>
              </w:rPr>
            </w:pPr>
            <w:r w:rsidRPr="009B0AEB">
              <w:rPr>
                <w:sz w:val="18"/>
                <w:szCs w:val="18"/>
              </w:rPr>
              <w:t>Dairy cattle farming</w:t>
            </w:r>
          </w:p>
        </w:tc>
        <w:tc>
          <w:tcPr>
            <w:tcW w:w="547" w:type="pct"/>
            <w:vAlign w:val="center"/>
          </w:tcPr>
          <w:p w:rsidR="00915791" w:rsidRPr="009B0AEB" w:rsidRDefault="00915791" w:rsidP="00E95960">
            <w:pPr>
              <w:pStyle w:val="TableBodyText"/>
              <w:rPr>
                <w:sz w:val="18"/>
                <w:szCs w:val="18"/>
              </w:rPr>
            </w:pPr>
            <w:r w:rsidRPr="009B0AEB">
              <w:rPr>
                <w:sz w:val="18"/>
                <w:szCs w:val="18"/>
              </w:rPr>
              <w:t>–</w:t>
            </w:r>
          </w:p>
        </w:tc>
        <w:tc>
          <w:tcPr>
            <w:tcW w:w="550" w:type="pct"/>
            <w:vAlign w:val="center"/>
          </w:tcPr>
          <w:p w:rsidR="00915791" w:rsidRPr="009B0AEB" w:rsidRDefault="00915791" w:rsidP="00E95960">
            <w:pPr>
              <w:pStyle w:val="TableBodyText"/>
              <w:rPr>
                <w:sz w:val="18"/>
                <w:szCs w:val="18"/>
              </w:rPr>
            </w:pPr>
            <w:r w:rsidRPr="009B0AEB">
              <w:rPr>
                <w:sz w:val="18"/>
                <w:szCs w:val="18"/>
              </w:rPr>
              <w:t>-2.0</w:t>
            </w:r>
          </w:p>
        </w:tc>
        <w:tc>
          <w:tcPr>
            <w:tcW w:w="605" w:type="pct"/>
            <w:shd w:val="clear" w:color="auto" w:fill="B4C98B"/>
            <w:vAlign w:val="center"/>
          </w:tcPr>
          <w:p w:rsidR="00915791" w:rsidRPr="009B0AEB" w:rsidRDefault="00915791" w:rsidP="00E95960">
            <w:pPr>
              <w:pStyle w:val="TableBodyText"/>
              <w:rPr>
                <w:sz w:val="18"/>
                <w:szCs w:val="18"/>
              </w:rPr>
            </w:pPr>
            <w:r w:rsidRPr="009B0AEB">
              <w:rPr>
                <w:sz w:val="18"/>
                <w:szCs w:val="18"/>
              </w:rPr>
              <w:t>-2.0</w:t>
            </w:r>
          </w:p>
        </w:tc>
        <w:tc>
          <w:tcPr>
            <w:tcW w:w="587" w:type="pct"/>
          </w:tcPr>
          <w:p w:rsidR="00915791" w:rsidRPr="00915791" w:rsidRDefault="00915791" w:rsidP="00097DF9">
            <w:pPr>
              <w:pStyle w:val="TableBodyText"/>
              <w:rPr>
                <w:sz w:val="18"/>
                <w:szCs w:val="18"/>
              </w:rPr>
            </w:pPr>
            <w:r w:rsidRPr="00915791">
              <w:rPr>
                <w:sz w:val="18"/>
                <w:szCs w:val="18"/>
              </w:rPr>
              <w:t>26.8</w:t>
            </w:r>
          </w:p>
        </w:tc>
        <w:tc>
          <w:tcPr>
            <w:tcW w:w="540" w:type="pct"/>
          </w:tcPr>
          <w:p w:rsidR="00915791" w:rsidRPr="00915791" w:rsidRDefault="00915791" w:rsidP="00097DF9">
            <w:pPr>
              <w:pStyle w:val="TableBodyText"/>
              <w:rPr>
                <w:sz w:val="18"/>
                <w:szCs w:val="18"/>
              </w:rPr>
            </w:pPr>
            <w:r w:rsidRPr="00915791">
              <w:rPr>
                <w:sz w:val="18"/>
                <w:szCs w:val="18"/>
              </w:rPr>
              <w:t>23.1</w:t>
            </w:r>
          </w:p>
        </w:tc>
        <w:tc>
          <w:tcPr>
            <w:tcW w:w="557" w:type="pct"/>
            <w:shd w:val="clear" w:color="auto" w:fill="B4C98B"/>
          </w:tcPr>
          <w:p w:rsidR="00915791" w:rsidRPr="00915791" w:rsidRDefault="00915791" w:rsidP="00097DF9">
            <w:pPr>
              <w:pStyle w:val="TableBodyText"/>
              <w:rPr>
                <w:sz w:val="18"/>
                <w:szCs w:val="18"/>
              </w:rPr>
            </w:pPr>
            <w:r w:rsidRPr="00915791">
              <w:rPr>
                <w:sz w:val="18"/>
                <w:szCs w:val="18"/>
              </w:rPr>
              <w:t>47.9</w:t>
            </w:r>
          </w:p>
        </w:tc>
      </w:tr>
      <w:tr w:rsidR="00915791" w:rsidRPr="009B0AEB" w:rsidTr="004F78AB">
        <w:tc>
          <w:tcPr>
            <w:tcW w:w="1613" w:type="pct"/>
            <w:vAlign w:val="center"/>
          </w:tcPr>
          <w:p w:rsidR="00915791" w:rsidRPr="009B0AEB" w:rsidRDefault="00915791" w:rsidP="00E95960">
            <w:pPr>
              <w:pStyle w:val="TableBodyText"/>
              <w:jc w:val="left"/>
              <w:rPr>
                <w:sz w:val="18"/>
                <w:szCs w:val="18"/>
              </w:rPr>
            </w:pPr>
            <w:r w:rsidRPr="009B0AEB">
              <w:rPr>
                <w:sz w:val="18"/>
                <w:szCs w:val="18"/>
              </w:rPr>
              <w:t>Other livestock farming</w:t>
            </w:r>
          </w:p>
        </w:tc>
        <w:tc>
          <w:tcPr>
            <w:tcW w:w="547" w:type="pct"/>
            <w:vAlign w:val="center"/>
          </w:tcPr>
          <w:p w:rsidR="00915791" w:rsidRPr="009B0AEB" w:rsidRDefault="00915791" w:rsidP="00E95960">
            <w:pPr>
              <w:pStyle w:val="TableBodyText"/>
              <w:rPr>
                <w:sz w:val="18"/>
                <w:szCs w:val="18"/>
              </w:rPr>
            </w:pPr>
            <w:r w:rsidRPr="009B0AEB">
              <w:rPr>
                <w:sz w:val="18"/>
                <w:szCs w:val="18"/>
              </w:rPr>
              <w:t>–</w:t>
            </w:r>
          </w:p>
        </w:tc>
        <w:tc>
          <w:tcPr>
            <w:tcW w:w="550" w:type="pct"/>
            <w:vAlign w:val="center"/>
          </w:tcPr>
          <w:p w:rsidR="00915791" w:rsidRPr="009B0AEB" w:rsidRDefault="00915791" w:rsidP="00E95960">
            <w:pPr>
              <w:pStyle w:val="TableBodyText"/>
              <w:rPr>
                <w:sz w:val="18"/>
                <w:szCs w:val="18"/>
              </w:rPr>
            </w:pPr>
            <w:r w:rsidRPr="009B0AEB">
              <w:rPr>
                <w:sz w:val="18"/>
                <w:szCs w:val="18"/>
              </w:rPr>
              <w:t>-4.1</w:t>
            </w:r>
          </w:p>
        </w:tc>
        <w:tc>
          <w:tcPr>
            <w:tcW w:w="605" w:type="pct"/>
            <w:shd w:val="clear" w:color="auto" w:fill="B4C98B"/>
            <w:vAlign w:val="center"/>
          </w:tcPr>
          <w:p w:rsidR="00915791" w:rsidRPr="009B0AEB" w:rsidRDefault="00915791" w:rsidP="00E95960">
            <w:pPr>
              <w:pStyle w:val="TableBodyText"/>
              <w:rPr>
                <w:sz w:val="18"/>
                <w:szCs w:val="18"/>
              </w:rPr>
            </w:pPr>
            <w:r w:rsidRPr="009B0AEB">
              <w:rPr>
                <w:sz w:val="18"/>
                <w:szCs w:val="18"/>
              </w:rPr>
              <w:t>-4.1</w:t>
            </w:r>
          </w:p>
        </w:tc>
        <w:tc>
          <w:tcPr>
            <w:tcW w:w="587" w:type="pct"/>
          </w:tcPr>
          <w:p w:rsidR="00915791" w:rsidRPr="00915791" w:rsidRDefault="00915791" w:rsidP="00097DF9">
            <w:pPr>
              <w:pStyle w:val="TableBodyText"/>
              <w:rPr>
                <w:sz w:val="18"/>
                <w:szCs w:val="18"/>
              </w:rPr>
            </w:pPr>
            <w:r w:rsidRPr="00915791">
              <w:rPr>
                <w:sz w:val="18"/>
                <w:szCs w:val="18"/>
              </w:rPr>
              <w:t>22.1</w:t>
            </w:r>
          </w:p>
        </w:tc>
        <w:tc>
          <w:tcPr>
            <w:tcW w:w="540" w:type="pct"/>
          </w:tcPr>
          <w:p w:rsidR="00915791" w:rsidRPr="00915791" w:rsidRDefault="00915791" w:rsidP="00097DF9">
            <w:pPr>
              <w:pStyle w:val="TableBodyText"/>
              <w:rPr>
                <w:sz w:val="18"/>
                <w:szCs w:val="18"/>
              </w:rPr>
            </w:pPr>
            <w:r w:rsidRPr="00915791">
              <w:rPr>
                <w:sz w:val="18"/>
                <w:szCs w:val="18"/>
              </w:rPr>
              <w:t>15.2</w:t>
            </w:r>
          </w:p>
        </w:tc>
        <w:tc>
          <w:tcPr>
            <w:tcW w:w="557" w:type="pct"/>
            <w:shd w:val="clear" w:color="auto" w:fill="B4C98B"/>
          </w:tcPr>
          <w:p w:rsidR="00915791" w:rsidRPr="00915791" w:rsidRDefault="00915791" w:rsidP="00097DF9">
            <w:pPr>
              <w:pStyle w:val="TableBodyText"/>
              <w:rPr>
                <w:sz w:val="18"/>
                <w:szCs w:val="18"/>
              </w:rPr>
            </w:pPr>
            <w:r w:rsidRPr="00915791">
              <w:rPr>
                <w:sz w:val="18"/>
                <w:szCs w:val="18"/>
              </w:rPr>
              <w:t>33.2</w:t>
            </w:r>
          </w:p>
        </w:tc>
      </w:tr>
      <w:tr w:rsidR="00915791" w:rsidRPr="009B0AEB" w:rsidTr="004F78AB">
        <w:tc>
          <w:tcPr>
            <w:tcW w:w="1613" w:type="pct"/>
            <w:vAlign w:val="center"/>
          </w:tcPr>
          <w:p w:rsidR="00915791" w:rsidRPr="009B0AEB" w:rsidRDefault="00915791" w:rsidP="00E95960">
            <w:pPr>
              <w:pStyle w:val="TableBodyText"/>
              <w:jc w:val="left"/>
              <w:rPr>
                <w:sz w:val="18"/>
                <w:szCs w:val="18"/>
              </w:rPr>
            </w:pPr>
            <w:r w:rsidRPr="009B0AEB">
              <w:rPr>
                <w:sz w:val="18"/>
                <w:szCs w:val="18"/>
              </w:rPr>
              <w:t>Aquaculture and fishing</w:t>
            </w:r>
          </w:p>
        </w:tc>
        <w:tc>
          <w:tcPr>
            <w:tcW w:w="547" w:type="pct"/>
            <w:vAlign w:val="center"/>
          </w:tcPr>
          <w:p w:rsidR="00915791" w:rsidRPr="009B0AEB" w:rsidRDefault="00915791" w:rsidP="00E95960">
            <w:pPr>
              <w:pStyle w:val="TableBodyText"/>
              <w:rPr>
                <w:sz w:val="18"/>
                <w:szCs w:val="18"/>
              </w:rPr>
            </w:pPr>
            <w:r w:rsidRPr="009B0AEB">
              <w:rPr>
                <w:sz w:val="18"/>
                <w:szCs w:val="18"/>
              </w:rPr>
              <w:t>1.0</w:t>
            </w:r>
          </w:p>
        </w:tc>
        <w:tc>
          <w:tcPr>
            <w:tcW w:w="550" w:type="pct"/>
            <w:vAlign w:val="center"/>
          </w:tcPr>
          <w:p w:rsidR="00915791" w:rsidRPr="009B0AEB" w:rsidRDefault="00915791" w:rsidP="00E95960">
            <w:pPr>
              <w:pStyle w:val="TableBodyText"/>
              <w:rPr>
                <w:sz w:val="18"/>
                <w:szCs w:val="18"/>
              </w:rPr>
            </w:pPr>
            <w:r w:rsidRPr="009B0AEB">
              <w:rPr>
                <w:sz w:val="18"/>
                <w:szCs w:val="18"/>
              </w:rPr>
              <w:t>-15.4</w:t>
            </w:r>
          </w:p>
        </w:tc>
        <w:tc>
          <w:tcPr>
            <w:tcW w:w="605" w:type="pct"/>
            <w:shd w:val="clear" w:color="auto" w:fill="B4C98B"/>
            <w:vAlign w:val="center"/>
          </w:tcPr>
          <w:p w:rsidR="00915791" w:rsidRPr="009B0AEB" w:rsidRDefault="00915791" w:rsidP="00E95960">
            <w:pPr>
              <w:pStyle w:val="TableBodyText"/>
              <w:rPr>
                <w:sz w:val="18"/>
                <w:szCs w:val="18"/>
              </w:rPr>
            </w:pPr>
            <w:r w:rsidRPr="009B0AEB">
              <w:rPr>
                <w:sz w:val="18"/>
                <w:szCs w:val="18"/>
              </w:rPr>
              <w:t>-14.4</w:t>
            </w:r>
          </w:p>
        </w:tc>
        <w:tc>
          <w:tcPr>
            <w:tcW w:w="587" w:type="pct"/>
          </w:tcPr>
          <w:p w:rsidR="00915791" w:rsidRPr="00915791" w:rsidRDefault="00915791" w:rsidP="00097DF9">
            <w:pPr>
              <w:pStyle w:val="TableBodyText"/>
              <w:rPr>
                <w:sz w:val="18"/>
                <w:szCs w:val="18"/>
              </w:rPr>
            </w:pPr>
            <w:r w:rsidRPr="00915791">
              <w:rPr>
                <w:sz w:val="18"/>
                <w:szCs w:val="18"/>
              </w:rPr>
              <w:t>62.4</w:t>
            </w:r>
          </w:p>
        </w:tc>
        <w:tc>
          <w:tcPr>
            <w:tcW w:w="540" w:type="pct"/>
          </w:tcPr>
          <w:p w:rsidR="00915791" w:rsidRPr="00915791" w:rsidRDefault="00915791" w:rsidP="00097DF9">
            <w:pPr>
              <w:pStyle w:val="TableBodyText"/>
              <w:rPr>
                <w:sz w:val="18"/>
                <w:szCs w:val="18"/>
              </w:rPr>
            </w:pPr>
            <w:r w:rsidRPr="00915791">
              <w:rPr>
                <w:sz w:val="18"/>
                <w:szCs w:val="18"/>
              </w:rPr>
              <w:t>9.2</w:t>
            </w:r>
          </w:p>
        </w:tc>
        <w:tc>
          <w:tcPr>
            <w:tcW w:w="557" w:type="pct"/>
            <w:shd w:val="clear" w:color="auto" w:fill="B4C98B"/>
          </w:tcPr>
          <w:p w:rsidR="00915791" w:rsidRPr="00915791" w:rsidRDefault="00915791" w:rsidP="00097DF9">
            <w:pPr>
              <w:pStyle w:val="TableBodyText"/>
              <w:rPr>
                <w:sz w:val="18"/>
                <w:szCs w:val="18"/>
              </w:rPr>
            </w:pPr>
            <w:r w:rsidRPr="00915791">
              <w:rPr>
                <w:sz w:val="18"/>
                <w:szCs w:val="18"/>
              </w:rPr>
              <w:t>57.1</w:t>
            </w:r>
          </w:p>
        </w:tc>
      </w:tr>
      <w:tr w:rsidR="00915791" w:rsidRPr="009B0AEB" w:rsidTr="004F78AB">
        <w:tc>
          <w:tcPr>
            <w:tcW w:w="1613" w:type="pct"/>
            <w:vAlign w:val="center"/>
          </w:tcPr>
          <w:p w:rsidR="00915791" w:rsidRPr="009B0AEB" w:rsidRDefault="00915791" w:rsidP="00E95960">
            <w:pPr>
              <w:pStyle w:val="TableBodyText"/>
              <w:jc w:val="left"/>
              <w:rPr>
                <w:sz w:val="18"/>
                <w:szCs w:val="18"/>
              </w:rPr>
            </w:pPr>
            <w:r w:rsidRPr="009B0AEB">
              <w:rPr>
                <w:sz w:val="18"/>
                <w:szCs w:val="18"/>
              </w:rPr>
              <w:t>Forestry and logging</w:t>
            </w:r>
          </w:p>
        </w:tc>
        <w:tc>
          <w:tcPr>
            <w:tcW w:w="547" w:type="pct"/>
            <w:vAlign w:val="center"/>
          </w:tcPr>
          <w:p w:rsidR="00915791" w:rsidRPr="009B0AEB" w:rsidRDefault="00915791" w:rsidP="00E95960">
            <w:pPr>
              <w:pStyle w:val="TableBodyText"/>
              <w:rPr>
                <w:sz w:val="18"/>
                <w:szCs w:val="18"/>
              </w:rPr>
            </w:pPr>
            <w:r w:rsidRPr="009B0AEB">
              <w:rPr>
                <w:sz w:val="18"/>
                <w:szCs w:val="18"/>
              </w:rPr>
              <w:t>61.7</w:t>
            </w:r>
          </w:p>
        </w:tc>
        <w:tc>
          <w:tcPr>
            <w:tcW w:w="550" w:type="pct"/>
            <w:vAlign w:val="center"/>
          </w:tcPr>
          <w:p w:rsidR="00915791" w:rsidRPr="009B0AEB" w:rsidRDefault="00915791" w:rsidP="00E95960">
            <w:pPr>
              <w:pStyle w:val="TableBodyText"/>
              <w:rPr>
                <w:sz w:val="18"/>
                <w:szCs w:val="18"/>
              </w:rPr>
            </w:pPr>
            <w:r w:rsidRPr="009B0AEB">
              <w:rPr>
                <w:sz w:val="18"/>
                <w:szCs w:val="18"/>
              </w:rPr>
              <w:t>-12.2</w:t>
            </w:r>
          </w:p>
        </w:tc>
        <w:tc>
          <w:tcPr>
            <w:tcW w:w="605" w:type="pct"/>
            <w:shd w:val="clear" w:color="auto" w:fill="B4C98B"/>
            <w:vAlign w:val="center"/>
          </w:tcPr>
          <w:p w:rsidR="00915791" w:rsidRPr="009B0AEB" w:rsidRDefault="00915791" w:rsidP="00E95960">
            <w:pPr>
              <w:pStyle w:val="TableBodyText"/>
              <w:rPr>
                <w:sz w:val="18"/>
                <w:szCs w:val="18"/>
              </w:rPr>
            </w:pPr>
            <w:r w:rsidRPr="009B0AEB">
              <w:rPr>
                <w:sz w:val="18"/>
                <w:szCs w:val="18"/>
              </w:rPr>
              <w:t>49.5</w:t>
            </w:r>
          </w:p>
        </w:tc>
        <w:tc>
          <w:tcPr>
            <w:tcW w:w="587" w:type="pct"/>
          </w:tcPr>
          <w:p w:rsidR="00915791" w:rsidRPr="00915791" w:rsidRDefault="00915791" w:rsidP="00097DF9">
            <w:pPr>
              <w:pStyle w:val="TableBodyText"/>
              <w:rPr>
                <w:sz w:val="18"/>
                <w:szCs w:val="18"/>
              </w:rPr>
            </w:pPr>
            <w:r w:rsidRPr="00915791">
              <w:rPr>
                <w:sz w:val="18"/>
                <w:szCs w:val="18"/>
              </w:rPr>
              <w:t>35.2</w:t>
            </w:r>
          </w:p>
        </w:tc>
        <w:tc>
          <w:tcPr>
            <w:tcW w:w="540" w:type="pct"/>
          </w:tcPr>
          <w:p w:rsidR="00915791" w:rsidRPr="00915791" w:rsidRDefault="00915791" w:rsidP="00097DF9">
            <w:pPr>
              <w:pStyle w:val="TableBodyText"/>
              <w:rPr>
                <w:sz w:val="18"/>
                <w:szCs w:val="18"/>
              </w:rPr>
            </w:pPr>
            <w:r w:rsidRPr="00915791">
              <w:rPr>
                <w:sz w:val="18"/>
                <w:szCs w:val="18"/>
              </w:rPr>
              <w:t>8.6</w:t>
            </w:r>
          </w:p>
        </w:tc>
        <w:tc>
          <w:tcPr>
            <w:tcW w:w="557" w:type="pct"/>
            <w:shd w:val="clear" w:color="auto" w:fill="B4C98B"/>
          </w:tcPr>
          <w:p w:rsidR="00915791" w:rsidRPr="00915791" w:rsidRDefault="00915791" w:rsidP="00097DF9">
            <w:pPr>
              <w:pStyle w:val="TableBodyText"/>
              <w:rPr>
                <w:sz w:val="18"/>
                <w:szCs w:val="18"/>
              </w:rPr>
            </w:pPr>
            <w:r w:rsidRPr="00915791">
              <w:rPr>
                <w:sz w:val="18"/>
                <w:szCs w:val="18"/>
              </w:rPr>
              <w:t>93.2</w:t>
            </w:r>
          </w:p>
        </w:tc>
      </w:tr>
      <w:tr w:rsidR="00915791" w:rsidRPr="009B0AEB" w:rsidTr="004F78AB">
        <w:tc>
          <w:tcPr>
            <w:tcW w:w="1613" w:type="pct"/>
            <w:vAlign w:val="center"/>
          </w:tcPr>
          <w:p w:rsidR="00915791" w:rsidRPr="009B0AEB" w:rsidRDefault="00915791" w:rsidP="00E95960">
            <w:pPr>
              <w:pStyle w:val="TableBodyText"/>
              <w:jc w:val="left"/>
              <w:rPr>
                <w:sz w:val="18"/>
                <w:szCs w:val="18"/>
              </w:rPr>
            </w:pPr>
            <w:r w:rsidRPr="009B0AEB">
              <w:rPr>
                <w:sz w:val="18"/>
                <w:szCs w:val="18"/>
              </w:rPr>
              <w:t>Primary production services</w:t>
            </w:r>
          </w:p>
        </w:tc>
        <w:tc>
          <w:tcPr>
            <w:tcW w:w="547" w:type="pct"/>
            <w:vAlign w:val="center"/>
          </w:tcPr>
          <w:p w:rsidR="00915791" w:rsidRPr="009B0AEB" w:rsidRDefault="00CB1090" w:rsidP="00CB1090">
            <w:pPr>
              <w:pStyle w:val="TableBodyText"/>
              <w:rPr>
                <w:sz w:val="18"/>
                <w:szCs w:val="18"/>
              </w:rPr>
            </w:pPr>
            <w:r w:rsidRPr="009B0AEB">
              <w:rPr>
                <w:sz w:val="18"/>
                <w:szCs w:val="18"/>
              </w:rPr>
              <w:t>–</w:t>
            </w:r>
          </w:p>
        </w:tc>
        <w:tc>
          <w:tcPr>
            <w:tcW w:w="550" w:type="pct"/>
            <w:vAlign w:val="center"/>
          </w:tcPr>
          <w:p w:rsidR="00915791" w:rsidRPr="009B0AEB" w:rsidRDefault="00915791" w:rsidP="00E95960">
            <w:pPr>
              <w:pStyle w:val="TableBodyText"/>
              <w:rPr>
                <w:sz w:val="18"/>
                <w:szCs w:val="18"/>
              </w:rPr>
            </w:pPr>
            <w:r w:rsidRPr="009B0AEB">
              <w:rPr>
                <w:sz w:val="18"/>
                <w:szCs w:val="18"/>
              </w:rPr>
              <w:t>-16.6</w:t>
            </w:r>
          </w:p>
        </w:tc>
        <w:tc>
          <w:tcPr>
            <w:tcW w:w="605" w:type="pct"/>
            <w:shd w:val="clear" w:color="auto" w:fill="B4C98B"/>
            <w:vAlign w:val="center"/>
          </w:tcPr>
          <w:p w:rsidR="00915791" w:rsidRPr="009B0AEB" w:rsidRDefault="00915791" w:rsidP="00E95960">
            <w:pPr>
              <w:pStyle w:val="TableBodyText"/>
              <w:rPr>
                <w:sz w:val="18"/>
                <w:szCs w:val="18"/>
              </w:rPr>
            </w:pPr>
            <w:r w:rsidRPr="009B0AEB">
              <w:rPr>
                <w:sz w:val="18"/>
                <w:szCs w:val="18"/>
              </w:rPr>
              <w:t>-16.6</w:t>
            </w:r>
          </w:p>
        </w:tc>
        <w:tc>
          <w:tcPr>
            <w:tcW w:w="587" w:type="pct"/>
          </w:tcPr>
          <w:p w:rsidR="00915791" w:rsidRPr="00915791" w:rsidRDefault="00915791" w:rsidP="00097DF9">
            <w:pPr>
              <w:pStyle w:val="TableBodyText"/>
              <w:rPr>
                <w:sz w:val="18"/>
                <w:szCs w:val="18"/>
              </w:rPr>
            </w:pPr>
            <w:r w:rsidRPr="00915791">
              <w:rPr>
                <w:sz w:val="18"/>
                <w:szCs w:val="18"/>
              </w:rPr>
              <w:t>6.2</w:t>
            </w:r>
          </w:p>
        </w:tc>
        <w:tc>
          <w:tcPr>
            <w:tcW w:w="540" w:type="pct"/>
          </w:tcPr>
          <w:p w:rsidR="00915791" w:rsidRPr="00915791" w:rsidRDefault="00915791" w:rsidP="00097DF9">
            <w:pPr>
              <w:pStyle w:val="TableBodyText"/>
              <w:rPr>
                <w:sz w:val="18"/>
                <w:szCs w:val="18"/>
              </w:rPr>
            </w:pPr>
            <w:r w:rsidRPr="00915791">
              <w:rPr>
                <w:sz w:val="18"/>
                <w:szCs w:val="18"/>
              </w:rPr>
              <w:t>9.3</w:t>
            </w:r>
          </w:p>
        </w:tc>
        <w:tc>
          <w:tcPr>
            <w:tcW w:w="557" w:type="pct"/>
            <w:shd w:val="clear" w:color="auto" w:fill="B4C98B"/>
          </w:tcPr>
          <w:p w:rsidR="00915791" w:rsidRPr="00915791" w:rsidRDefault="00915791" w:rsidP="00097DF9">
            <w:pPr>
              <w:pStyle w:val="TableBodyText"/>
              <w:rPr>
                <w:sz w:val="18"/>
                <w:szCs w:val="18"/>
              </w:rPr>
            </w:pPr>
            <w:r w:rsidRPr="00915791">
              <w:rPr>
                <w:sz w:val="18"/>
                <w:szCs w:val="18"/>
              </w:rPr>
              <w:t>-1.1</w:t>
            </w:r>
          </w:p>
        </w:tc>
      </w:tr>
      <w:tr w:rsidR="00915791" w:rsidRPr="009B0AEB" w:rsidTr="004F78AB">
        <w:tc>
          <w:tcPr>
            <w:tcW w:w="1613" w:type="pct"/>
            <w:vAlign w:val="center"/>
          </w:tcPr>
          <w:p w:rsidR="00915791" w:rsidRPr="009B0AEB" w:rsidRDefault="00915791" w:rsidP="00E95960">
            <w:pPr>
              <w:pStyle w:val="TableBodyText"/>
              <w:jc w:val="left"/>
              <w:rPr>
                <w:sz w:val="18"/>
                <w:szCs w:val="18"/>
              </w:rPr>
            </w:pPr>
            <w:r w:rsidRPr="009B0AEB">
              <w:rPr>
                <w:sz w:val="18"/>
                <w:szCs w:val="18"/>
              </w:rPr>
              <w:t>Unallocated primary</w:t>
            </w:r>
            <w:r>
              <w:rPr>
                <w:sz w:val="18"/>
                <w:szCs w:val="18"/>
              </w:rPr>
              <w:t xml:space="preserve"> production</w:t>
            </w:r>
          </w:p>
        </w:tc>
        <w:tc>
          <w:tcPr>
            <w:tcW w:w="547" w:type="pct"/>
            <w:vAlign w:val="center"/>
          </w:tcPr>
          <w:p w:rsidR="00915791" w:rsidRPr="009B0AEB" w:rsidRDefault="00915791" w:rsidP="00E95960">
            <w:pPr>
              <w:pStyle w:val="TableBodyText"/>
              <w:rPr>
                <w:sz w:val="18"/>
                <w:szCs w:val="18"/>
              </w:rPr>
            </w:pPr>
            <w:r w:rsidRPr="009B0AEB">
              <w:rPr>
                <w:sz w:val="18"/>
                <w:szCs w:val="18"/>
              </w:rPr>
              <w:t>–</w:t>
            </w:r>
          </w:p>
        </w:tc>
        <w:tc>
          <w:tcPr>
            <w:tcW w:w="550" w:type="pct"/>
            <w:vAlign w:val="center"/>
          </w:tcPr>
          <w:p w:rsidR="00915791" w:rsidRPr="009B0AEB" w:rsidRDefault="00915791" w:rsidP="00E95960">
            <w:pPr>
              <w:pStyle w:val="TableBodyText"/>
              <w:rPr>
                <w:sz w:val="18"/>
                <w:szCs w:val="18"/>
              </w:rPr>
            </w:pPr>
            <w:r w:rsidRPr="009B0AEB">
              <w:rPr>
                <w:sz w:val="18"/>
                <w:szCs w:val="18"/>
              </w:rPr>
              <w:t>–</w:t>
            </w:r>
          </w:p>
        </w:tc>
        <w:tc>
          <w:tcPr>
            <w:tcW w:w="605" w:type="pct"/>
            <w:shd w:val="clear" w:color="auto" w:fill="B4C98B"/>
            <w:vAlign w:val="center"/>
          </w:tcPr>
          <w:p w:rsidR="00915791" w:rsidRPr="009B0AEB" w:rsidRDefault="00915791" w:rsidP="00E95960">
            <w:pPr>
              <w:pStyle w:val="TableBodyText"/>
              <w:rPr>
                <w:sz w:val="18"/>
                <w:szCs w:val="18"/>
              </w:rPr>
            </w:pPr>
            <w:r w:rsidRPr="009B0AEB">
              <w:rPr>
                <w:sz w:val="18"/>
                <w:szCs w:val="18"/>
              </w:rPr>
              <w:t>–</w:t>
            </w:r>
          </w:p>
        </w:tc>
        <w:tc>
          <w:tcPr>
            <w:tcW w:w="587" w:type="pct"/>
          </w:tcPr>
          <w:p w:rsidR="00915791" w:rsidRPr="00915791" w:rsidRDefault="00915791" w:rsidP="00097DF9">
            <w:pPr>
              <w:pStyle w:val="TableBodyText"/>
              <w:rPr>
                <w:sz w:val="18"/>
                <w:szCs w:val="18"/>
              </w:rPr>
            </w:pPr>
            <w:r w:rsidRPr="00915791">
              <w:rPr>
                <w:sz w:val="18"/>
                <w:szCs w:val="18"/>
              </w:rPr>
              <w:t>269.1</w:t>
            </w:r>
          </w:p>
        </w:tc>
        <w:tc>
          <w:tcPr>
            <w:tcW w:w="540" w:type="pct"/>
          </w:tcPr>
          <w:p w:rsidR="00915791" w:rsidRPr="00915791" w:rsidRDefault="00915791" w:rsidP="00097DF9">
            <w:pPr>
              <w:pStyle w:val="TableBodyText"/>
              <w:rPr>
                <w:sz w:val="18"/>
                <w:szCs w:val="18"/>
              </w:rPr>
            </w:pPr>
            <w:r w:rsidRPr="00915791">
              <w:rPr>
                <w:sz w:val="18"/>
                <w:szCs w:val="18"/>
              </w:rPr>
              <w:t>4.8</w:t>
            </w:r>
          </w:p>
        </w:tc>
        <w:tc>
          <w:tcPr>
            <w:tcW w:w="557" w:type="pct"/>
            <w:shd w:val="clear" w:color="auto" w:fill="B4C98B"/>
          </w:tcPr>
          <w:p w:rsidR="00915791" w:rsidRPr="00915791" w:rsidRDefault="00915791" w:rsidP="00097DF9">
            <w:pPr>
              <w:pStyle w:val="TableBodyText"/>
              <w:rPr>
                <w:sz w:val="18"/>
                <w:szCs w:val="18"/>
              </w:rPr>
            </w:pPr>
            <w:r w:rsidRPr="00915791">
              <w:rPr>
                <w:sz w:val="18"/>
                <w:szCs w:val="18"/>
              </w:rPr>
              <w:t>274.0</w:t>
            </w:r>
          </w:p>
        </w:tc>
      </w:tr>
      <w:tr w:rsidR="00915791" w:rsidRPr="009B0AEB" w:rsidTr="004F78AB">
        <w:tc>
          <w:tcPr>
            <w:tcW w:w="1613" w:type="pct"/>
            <w:vAlign w:val="center"/>
          </w:tcPr>
          <w:p w:rsidR="00915791" w:rsidRPr="009B0AEB" w:rsidRDefault="00915791" w:rsidP="00E95960">
            <w:pPr>
              <w:pStyle w:val="TableBodyText"/>
              <w:jc w:val="left"/>
              <w:rPr>
                <w:b/>
                <w:sz w:val="18"/>
                <w:szCs w:val="18"/>
              </w:rPr>
            </w:pPr>
            <w:r w:rsidRPr="009B0AEB">
              <w:rPr>
                <w:b/>
                <w:sz w:val="18"/>
                <w:szCs w:val="18"/>
              </w:rPr>
              <w:t>Mining</w:t>
            </w:r>
          </w:p>
        </w:tc>
        <w:tc>
          <w:tcPr>
            <w:tcW w:w="547" w:type="pct"/>
            <w:vAlign w:val="center"/>
          </w:tcPr>
          <w:p w:rsidR="00915791" w:rsidRPr="009B0AEB" w:rsidRDefault="00915791" w:rsidP="00AD61A3">
            <w:pPr>
              <w:pStyle w:val="TableBodyText"/>
              <w:rPr>
                <w:b/>
                <w:bCs/>
                <w:sz w:val="18"/>
                <w:szCs w:val="18"/>
              </w:rPr>
            </w:pPr>
            <w:r>
              <w:rPr>
                <w:b/>
                <w:bCs/>
                <w:sz w:val="18"/>
                <w:szCs w:val="18"/>
              </w:rPr>
              <w:t>1.0</w:t>
            </w:r>
          </w:p>
        </w:tc>
        <w:tc>
          <w:tcPr>
            <w:tcW w:w="550" w:type="pct"/>
            <w:vAlign w:val="center"/>
          </w:tcPr>
          <w:p w:rsidR="00915791" w:rsidRPr="009B0AEB" w:rsidRDefault="00915791" w:rsidP="00AD61A3">
            <w:pPr>
              <w:pStyle w:val="TableBodyText"/>
              <w:rPr>
                <w:b/>
                <w:bCs/>
                <w:sz w:val="18"/>
                <w:szCs w:val="18"/>
              </w:rPr>
            </w:pPr>
            <w:r w:rsidRPr="009B0AEB">
              <w:rPr>
                <w:b/>
                <w:bCs/>
                <w:sz w:val="18"/>
                <w:szCs w:val="18"/>
              </w:rPr>
              <w:t>-</w:t>
            </w:r>
            <w:r>
              <w:rPr>
                <w:b/>
                <w:bCs/>
                <w:sz w:val="18"/>
                <w:szCs w:val="18"/>
              </w:rPr>
              <w:t>216.8</w:t>
            </w:r>
          </w:p>
        </w:tc>
        <w:tc>
          <w:tcPr>
            <w:tcW w:w="605" w:type="pct"/>
            <w:shd w:val="clear" w:color="auto" w:fill="B4C98B"/>
            <w:vAlign w:val="center"/>
          </w:tcPr>
          <w:p w:rsidR="00915791" w:rsidRPr="009B0AEB" w:rsidRDefault="00915791" w:rsidP="00AD61A3">
            <w:pPr>
              <w:pStyle w:val="TableBodyText"/>
              <w:rPr>
                <w:b/>
                <w:sz w:val="18"/>
                <w:szCs w:val="18"/>
              </w:rPr>
            </w:pPr>
            <w:r w:rsidRPr="009B0AEB">
              <w:rPr>
                <w:b/>
                <w:sz w:val="18"/>
                <w:szCs w:val="18"/>
              </w:rPr>
              <w:t>-</w:t>
            </w:r>
            <w:r>
              <w:rPr>
                <w:b/>
                <w:sz w:val="18"/>
                <w:szCs w:val="18"/>
              </w:rPr>
              <w:t>215.8</w:t>
            </w:r>
          </w:p>
        </w:tc>
        <w:tc>
          <w:tcPr>
            <w:tcW w:w="587" w:type="pct"/>
          </w:tcPr>
          <w:p w:rsidR="00915791" w:rsidRPr="00915791" w:rsidRDefault="00915791" w:rsidP="00E95960">
            <w:pPr>
              <w:pStyle w:val="TableUnitsRow"/>
              <w:spacing w:before="0" w:after="40"/>
              <w:rPr>
                <w:b/>
                <w:sz w:val="18"/>
                <w:szCs w:val="18"/>
              </w:rPr>
            </w:pPr>
            <w:r w:rsidRPr="00915791">
              <w:rPr>
                <w:b/>
                <w:sz w:val="18"/>
                <w:szCs w:val="18"/>
              </w:rPr>
              <w:t>401.9</w:t>
            </w:r>
          </w:p>
        </w:tc>
        <w:tc>
          <w:tcPr>
            <w:tcW w:w="540" w:type="pct"/>
          </w:tcPr>
          <w:p w:rsidR="00915791" w:rsidRPr="00915791" w:rsidRDefault="00915791" w:rsidP="00E95960">
            <w:pPr>
              <w:pStyle w:val="TableUnitsRow"/>
              <w:spacing w:before="0" w:after="40"/>
              <w:rPr>
                <w:b/>
                <w:sz w:val="18"/>
                <w:szCs w:val="18"/>
              </w:rPr>
            </w:pPr>
            <w:r w:rsidRPr="00915791">
              <w:rPr>
                <w:b/>
                <w:sz w:val="18"/>
                <w:szCs w:val="18"/>
              </w:rPr>
              <w:t>144.5</w:t>
            </w:r>
          </w:p>
        </w:tc>
        <w:tc>
          <w:tcPr>
            <w:tcW w:w="557" w:type="pct"/>
            <w:shd w:val="clear" w:color="auto" w:fill="B4C98B"/>
          </w:tcPr>
          <w:p w:rsidR="00915791" w:rsidRPr="00915791" w:rsidRDefault="00915791" w:rsidP="00AD61A3">
            <w:pPr>
              <w:pStyle w:val="TableUnitsRow"/>
              <w:spacing w:before="0" w:after="40"/>
              <w:rPr>
                <w:b/>
                <w:sz w:val="18"/>
                <w:szCs w:val="18"/>
              </w:rPr>
            </w:pPr>
            <w:r w:rsidRPr="00915791">
              <w:rPr>
                <w:b/>
                <w:sz w:val="18"/>
                <w:szCs w:val="18"/>
              </w:rPr>
              <w:t>330.7</w:t>
            </w:r>
          </w:p>
        </w:tc>
      </w:tr>
      <w:tr w:rsidR="00915791" w:rsidRPr="009B0AEB" w:rsidTr="004F78AB">
        <w:tc>
          <w:tcPr>
            <w:tcW w:w="1613" w:type="pct"/>
            <w:vAlign w:val="center"/>
          </w:tcPr>
          <w:p w:rsidR="00915791" w:rsidRPr="009B0AEB" w:rsidRDefault="00915791" w:rsidP="00E95960">
            <w:pPr>
              <w:pStyle w:val="TableBodyText"/>
              <w:jc w:val="left"/>
              <w:rPr>
                <w:b/>
                <w:sz w:val="18"/>
                <w:szCs w:val="18"/>
              </w:rPr>
            </w:pPr>
            <w:r w:rsidRPr="009B0AEB">
              <w:rPr>
                <w:b/>
                <w:sz w:val="18"/>
                <w:szCs w:val="18"/>
              </w:rPr>
              <w:t>Manufacturing</w:t>
            </w:r>
          </w:p>
        </w:tc>
        <w:tc>
          <w:tcPr>
            <w:tcW w:w="547" w:type="pct"/>
            <w:vAlign w:val="center"/>
          </w:tcPr>
          <w:p w:rsidR="00915791" w:rsidRPr="009B0AEB" w:rsidRDefault="00915791" w:rsidP="00E95960">
            <w:pPr>
              <w:pStyle w:val="TableBodyText"/>
              <w:rPr>
                <w:b/>
                <w:bCs/>
                <w:sz w:val="18"/>
                <w:szCs w:val="18"/>
              </w:rPr>
            </w:pPr>
            <w:r w:rsidRPr="009B0AEB">
              <w:rPr>
                <w:b/>
                <w:bCs/>
                <w:sz w:val="18"/>
                <w:szCs w:val="18"/>
              </w:rPr>
              <w:t>7600.1</w:t>
            </w:r>
          </w:p>
        </w:tc>
        <w:tc>
          <w:tcPr>
            <w:tcW w:w="550" w:type="pct"/>
            <w:vAlign w:val="center"/>
          </w:tcPr>
          <w:p w:rsidR="00915791" w:rsidRPr="009B0AEB" w:rsidRDefault="00915791" w:rsidP="00E95960">
            <w:pPr>
              <w:pStyle w:val="TableBodyText"/>
              <w:rPr>
                <w:b/>
                <w:bCs/>
                <w:sz w:val="18"/>
                <w:szCs w:val="18"/>
              </w:rPr>
            </w:pPr>
            <w:r w:rsidRPr="009B0AEB">
              <w:rPr>
                <w:b/>
                <w:bCs/>
                <w:sz w:val="18"/>
                <w:szCs w:val="18"/>
              </w:rPr>
              <w:t>-2078.4</w:t>
            </w:r>
          </w:p>
        </w:tc>
        <w:tc>
          <w:tcPr>
            <w:tcW w:w="605" w:type="pct"/>
            <w:shd w:val="clear" w:color="auto" w:fill="B4C98B"/>
            <w:vAlign w:val="center"/>
          </w:tcPr>
          <w:p w:rsidR="00915791" w:rsidRPr="009B0AEB" w:rsidRDefault="00915791" w:rsidP="00E95960">
            <w:pPr>
              <w:pStyle w:val="TableBodyText"/>
              <w:rPr>
                <w:b/>
                <w:sz w:val="18"/>
                <w:szCs w:val="18"/>
              </w:rPr>
            </w:pPr>
            <w:r w:rsidRPr="009B0AEB">
              <w:rPr>
                <w:b/>
                <w:sz w:val="18"/>
                <w:szCs w:val="18"/>
              </w:rPr>
              <w:t>5521.7</w:t>
            </w:r>
          </w:p>
        </w:tc>
        <w:tc>
          <w:tcPr>
            <w:tcW w:w="587" w:type="pct"/>
          </w:tcPr>
          <w:p w:rsidR="00915791" w:rsidRPr="00915791" w:rsidRDefault="00915791" w:rsidP="00E95960">
            <w:pPr>
              <w:pStyle w:val="TableUnitsRow"/>
              <w:spacing w:before="0" w:after="40"/>
              <w:rPr>
                <w:b/>
                <w:bCs/>
                <w:sz w:val="18"/>
                <w:szCs w:val="18"/>
              </w:rPr>
            </w:pPr>
            <w:r w:rsidRPr="00915791">
              <w:rPr>
                <w:b/>
                <w:sz w:val="18"/>
                <w:szCs w:val="18"/>
              </w:rPr>
              <w:t>1333.3</w:t>
            </w:r>
          </w:p>
        </w:tc>
        <w:tc>
          <w:tcPr>
            <w:tcW w:w="540" w:type="pct"/>
          </w:tcPr>
          <w:p w:rsidR="00915791" w:rsidRPr="00915791" w:rsidRDefault="00915791" w:rsidP="00E95960">
            <w:pPr>
              <w:pStyle w:val="TableUnitsRow"/>
              <w:spacing w:before="0" w:after="40"/>
              <w:rPr>
                <w:b/>
                <w:bCs/>
                <w:sz w:val="18"/>
                <w:szCs w:val="18"/>
              </w:rPr>
            </w:pPr>
            <w:r w:rsidRPr="00915791">
              <w:rPr>
                <w:b/>
                <w:sz w:val="18"/>
                <w:szCs w:val="18"/>
              </w:rPr>
              <w:t>275.9</w:t>
            </w:r>
          </w:p>
        </w:tc>
        <w:tc>
          <w:tcPr>
            <w:tcW w:w="557" w:type="pct"/>
            <w:shd w:val="clear" w:color="auto" w:fill="B4C98B"/>
          </w:tcPr>
          <w:p w:rsidR="00915791" w:rsidRPr="00915791" w:rsidRDefault="00915791" w:rsidP="00E95960">
            <w:pPr>
              <w:pStyle w:val="TableUnitsRow"/>
              <w:spacing w:before="0" w:after="40"/>
              <w:rPr>
                <w:b/>
                <w:sz w:val="18"/>
                <w:szCs w:val="18"/>
              </w:rPr>
            </w:pPr>
            <w:r w:rsidRPr="00915791">
              <w:rPr>
                <w:b/>
                <w:sz w:val="18"/>
                <w:szCs w:val="18"/>
              </w:rPr>
              <w:t>7130.9</w:t>
            </w:r>
          </w:p>
        </w:tc>
      </w:tr>
      <w:tr w:rsidR="00915791" w:rsidRPr="009B0AEB" w:rsidTr="004F78AB">
        <w:tc>
          <w:tcPr>
            <w:tcW w:w="1613" w:type="pct"/>
            <w:vAlign w:val="center"/>
          </w:tcPr>
          <w:p w:rsidR="00915791" w:rsidRPr="009B0AEB" w:rsidRDefault="00915791" w:rsidP="00E95960">
            <w:pPr>
              <w:pStyle w:val="TableBodyText"/>
              <w:jc w:val="left"/>
              <w:rPr>
                <w:sz w:val="18"/>
                <w:szCs w:val="18"/>
              </w:rPr>
            </w:pPr>
            <w:r w:rsidRPr="009B0AEB">
              <w:rPr>
                <w:sz w:val="18"/>
                <w:szCs w:val="18"/>
              </w:rPr>
              <w:t>Food, beverages and tobacco</w:t>
            </w:r>
          </w:p>
        </w:tc>
        <w:tc>
          <w:tcPr>
            <w:tcW w:w="547" w:type="pct"/>
            <w:vAlign w:val="center"/>
          </w:tcPr>
          <w:p w:rsidR="00915791" w:rsidRPr="009B0AEB" w:rsidRDefault="00915791" w:rsidP="00E95960">
            <w:pPr>
              <w:pStyle w:val="TableBodyText"/>
              <w:rPr>
                <w:sz w:val="18"/>
                <w:szCs w:val="18"/>
              </w:rPr>
            </w:pPr>
            <w:r w:rsidRPr="009B0AEB">
              <w:rPr>
                <w:sz w:val="18"/>
                <w:szCs w:val="18"/>
              </w:rPr>
              <w:t>1739.8</w:t>
            </w:r>
          </w:p>
        </w:tc>
        <w:tc>
          <w:tcPr>
            <w:tcW w:w="550" w:type="pct"/>
            <w:vAlign w:val="center"/>
          </w:tcPr>
          <w:p w:rsidR="00915791" w:rsidRPr="009B0AEB" w:rsidRDefault="00915791" w:rsidP="00E95960">
            <w:pPr>
              <w:pStyle w:val="TableBodyText"/>
              <w:rPr>
                <w:sz w:val="18"/>
                <w:szCs w:val="18"/>
              </w:rPr>
            </w:pPr>
            <w:r w:rsidRPr="009B0AEB">
              <w:rPr>
                <w:sz w:val="18"/>
                <w:szCs w:val="18"/>
              </w:rPr>
              <w:t>-494.7</w:t>
            </w:r>
          </w:p>
        </w:tc>
        <w:tc>
          <w:tcPr>
            <w:tcW w:w="605" w:type="pct"/>
            <w:shd w:val="clear" w:color="auto" w:fill="B4C98B"/>
            <w:vAlign w:val="center"/>
          </w:tcPr>
          <w:p w:rsidR="00915791" w:rsidRPr="009B0AEB" w:rsidRDefault="00915791" w:rsidP="00E95960">
            <w:pPr>
              <w:pStyle w:val="TableBodyText"/>
              <w:rPr>
                <w:sz w:val="18"/>
                <w:szCs w:val="18"/>
              </w:rPr>
            </w:pPr>
            <w:r w:rsidRPr="009B0AEB">
              <w:rPr>
                <w:sz w:val="18"/>
                <w:szCs w:val="18"/>
              </w:rPr>
              <w:t>1245.1</w:t>
            </w:r>
          </w:p>
        </w:tc>
        <w:tc>
          <w:tcPr>
            <w:tcW w:w="587" w:type="pct"/>
          </w:tcPr>
          <w:p w:rsidR="00915791" w:rsidRPr="00915791" w:rsidRDefault="00915791" w:rsidP="00097DF9">
            <w:pPr>
              <w:pStyle w:val="TableBodyText"/>
              <w:rPr>
                <w:sz w:val="18"/>
                <w:szCs w:val="18"/>
              </w:rPr>
            </w:pPr>
            <w:r w:rsidRPr="00915791">
              <w:rPr>
                <w:sz w:val="18"/>
                <w:szCs w:val="18"/>
              </w:rPr>
              <w:t>65.3</w:t>
            </w:r>
          </w:p>
        </w:tc>
        <w:tc>
          <w:tcPr>
            <w:tcW w:w="540" w:type="pct"/>
          </w:tcPr>
          <w:p w:rsidR="00915791" w:rsidRPr="00915791" w:rsidRDefault="00915791" w:rsidP="00097DF9">
            <w:pPr>
              <w:pStyle w:val="TableBodyText"/>
              <w:rPr>
                <w:sz w:val="18"/>
                <w:szCs w:val="18"/>
              </w:rPr>
            </w:pPr>
            <w:r w:rsidRPr="00915791">
              <w:rPr>
                <w:sz w:val="18"/>
                <w:szCs w:val="18"/>
              </w:rPr>
              <w:t>37.0</w:t>
            </w:r>
          </w:p>
        </w:tc>
        <w:tc>
          <w:tcPr>
            <w:tcW w:w="557" w:type="pct"/>
            <w:shd w:val="clear" w:color="auto" w:fill="B4C98B"/>
          </w:tcPr>
          <w:p w:rsidR="00915791" w:rsidRPr="00915791" w:rsidRDefault="00915791" w:rsidP="00097DF9">
            <w:pPr>
              <w:pStyle w:val="TableBodyText"/>
              <w:rPr>
                <w:sz w:val="18"/>
                <w:szCs w:val="18"/>
              </w:rPr>
            </w:pPr>
            <w:r w:rsidRPr="00915791">
              <w:rPr>
                <w:sz w:val="18"/>
                <w:szCs w:val="18"/>
              </w:rPr>
              <w:t>1347.3</w:t>
            </w:r>
          </w:p>
        </w:tc>
      </w:tr>
      <w:tr w:rsidR="00915791" w:rsidRPr="009B0AEB" w:rsidTr="004F78AB">
        <w:tc>
          <w:tcPr>
            <w:tcW w:w="1613" w:type="pct"/>
            <w:vAlign w:val="center"/>
          </w:tcPr>
          <w:p w:rsidR="00915791" w:rsidRPr="009B0AEB" w:rsidRDefault="00915791" w:rsidP="00E95960">
            <w:pPr>
              <w:pStyle w:val="TableBodyText"/>
              <w:jc w:val="left"/>
              <w:rPr>
                <w:sz w:val="18"/>
                <w:szCs w:val="18"/>
              </w:rPr>
            </w:pPr>
            <w:r w:rsidRPr="009B0AEB">
              <w:rPr>
                <w:sz w:val="18"/>
                <w:szCs w:val="18"/>
              </w:rPr>
              <w:t>Textile, clothing and footwear</w:t>
            </w:r>
          </w:p>
        </w:tc>
        <w:tc>
          <w:tcPr>
            <w:tcW w:w="547" w:type="pct"/>
            <w:vAlign w:val="center"/>
          </w:tcPr>
          <w:p w:rsidR="00915791" w:rsidRPr="009B0AEB" w:rsidRDefault="00915791" w:rsidP="00E95960">
            <w:pPr>
              <w:pStyle w:val="TableBodyText"/>
              <w:rPr>
                <w:sz w:val="18"/>
                <w:szCs w:val="18"/>
              </w:rPr>
            </w:pPr>
            <w:r w:rsidRPr="009B0AEB">
              <w:rPr>
                <w:sz w:val="18"/>
                <w:szCs w:val="18"/>
              </w:rPr>
              <w:t>301.1</w:t>
            </w:r>
          </w:p>
        </w:tc>
        <w:tc>
          <w:tcPr>
            <w:tcW w:w="550" w:type="pct"/>
            <w:vAlign w:val="center"/>
          </w:tcPr>
          <w:p w:rsidR="00915791" w:rsidRPr="009B0AEB" w:rsidRDefault="00915791" w:rsidP="00E95960">
            <w:pPr>
              <w:pStyle w:val="TableBodyText"/>
              <w:rPr>
                <w:sz w:val="18"/>
                <w:szCs w:val="18"/>
              </w:rPr>
            </w:pPr>
            <w:r w:rsidRPr="009B0AEB">
              <w:rPr>
                <w:sz w:val="18"/>
                <w:szCs w:val="18"/>
              </w:rPr>
              <w:t>-61.5</w:t>
            </w:r>
          </w:p>
        </w:tc>
        <w:tc>
          <w:tcPr>
            <w:tcW w:w="605" w:type="pct"/>
            <w:shd w:val="clear" w:color="auto" w:fill="B4C98B"/>
            <w:vAlign w:val="center"/>
          </w:tcPr>
          <w:p w:rsidR="00915791" w:rsidRPr="009B0AEB" w:rsidRDefault="00915791" w:rsidP="00E95960">
            <w:pPr>
              <w:pStyle w:val="TableBodyText"/>
              <w:rPr>
                <w:sz w:val="18"/>
                <w:szCs w:val="18"/>
              </w:rPr>
            </w:pPr>
            <w:r w:rsidRPr="009B0AEB">
              <w:rPr>
                <w:sz w:val="18"/>
                <w:szCs w:val="18"/>
              </w:rPr>
              <w:t>239.6</w:t>
            </w:r>
          </w:p>
        </w:tc>
        <w:tc>
          <w:tcPr>
            <w:tcW w:w="587" w:type="pct"/>
          </w:tcPr>
          <w:p w:rsidR="00915791" w:rsidRPr="00915791" w:rsidRDefault="00915791" w:rsidP="00097DF9">
            <w:pPr>
              <w:pStyle w:val="TableBodyText"/>
              <w:rPr>
                <w:sz w:val="18"/>
                <w:szCs w:val="18"/>
              </w:rPr>
            </w:pPr>
            <w:r w:rsidRPr="00915791">
              <w:rPr>
                <w:sz w:val="18"/>
                <w:szCs w:val="18"/>
              </w:rPr>
              <w:t>54.9</w:t>
            </w:r>
          </w:p>
        </w:tc>
        <w:tc>
          <w:tcPr>
            <w:tcW w:w="540" w:type="pct"/>
          </w:tcPr>
          <w:p w:rsidR="00915791" w:rsidRPr="00915791" w:rsidRDefault="00915791" w:rsidP="00097DF9">
            <w:pPr>
              <w:pStyle w:val="TableBodyText"/>
              <w:rPr>
                <w:sz w:val="18"/>
                <w:szCs w:val="18"/>
              </w:rPr>
            </w:pPr>
            <w:r w:rsidRPr="00915791">
              <w:rPr>
                <w:sz w:val="18"/>
                <w:szCs w:val="18"/>
              </w:rPr>
              <w:t>7.3</w:t>
            </w:r>
          </w:p>
        </w:tc>
        <w:tc>
          <w:tcPr>
            <w:tcW w:w="557" w:type="pct"/>
            <w:shd w:val="clear" w:color="auto" w:fill="B4C98B"/>
          </w:tcPr>
          <w:p w:rsidR="00915791" w:rsidRPr="00915791" w:rsidRDefault="00915791" w:rsidP="00097DF9">
            <w:pPr>
              <w:pStyle w:val="TableBodyText"/>
              <w:rPr>
                <w:sz w:val="18"/>
                <w:szCs w:val="18"/>
              </w:rPr>
            </w:pPr>
            <w:r w:rsidRPr="00915791">
              <w:rPr>
                <w:sz w:val="18"/>
                <w:szCs w:val="18"/>
              </w:rPr>
              <w:t>301.8</w:t>
            </w:r>
          </w:p>
        </w:tc>
      </w:tr>
      <w:tr w:rsidR="00915791" w:rsidRPr="009B0AEB" w:rsidTr="004F78AB">
        <w:tc>
          <w:tcPr>
            <w:tcW w:w="1613" w:type="pct"/>
            <w:vAlign w:val="center"/>
          </w:tcPr>
          <w:p w:rsidR="00915791" w:rsidRPr="009B0AEB" w:rsidRDefault="00915791" w:rsidP="00E95960">
            <w:pPr>
              <w:pStyle w:val="TableBodyText"/>
              <w:jc w:val="left"/>
              <w:rPr>
                <w:sz w:val="18"/>
                <w:szCs w:val="18"/>
              </w:rPr>
            </w:pPr>
            <w:r w:rsidRPr="009B0AEB">
              <w:rPr>
                <w:sz w:val="18"/>
                <w:szCs w:val="18"/>
              </w:rPr>
              <w:t>Wood and paper products</w:t>
            </w:r>
          </w:p>
        </w:tc>
        <w:tc>
          <w:tcPr>
            <w:tcW w:w="547" w:type="pct"/>
            <w:vAlign w:val="center"/>
          </w:tcPr>
          <w:p w:rsidR="00915791" w:rsidRPr="009B0AEB" w:rsidRDefault="00915791" w:rsidP="00E95960">
            <w:pPr>
              <w:pStyle w:val="TableBodyText"/>
              <w:rPr>
                <w:sz w:val="18"/>
                <w:szCs w:val="18"/>
              </w:rPr>
            </w:pPr>
            <w:r w:rsidRPr="009B0AEB">
              <w:rPr>
                <w:sz w:val="18"/>
                <w:szCs w:val="18"/>
              </w:rPr>
              <w:t>640.3</w:t>
            </w:r>
          </w:p>
        </w:tc>
        <w:tc>
          <w:tcPr>
            <w:tcW w:w="550" w:type="pct"/>
            <w:vAlign w:val="center"/>
          </w:tcPr>
          <w:p w:rsidR="00915791" w:rsidRPr="009B0AEB" w:rsidRDefault="00915791" w:rsidP="00E95960">
            <w:pPr>
              <w:pStyle w:val="TableBodyText"/>
              <w:rPr>
                <w:sz w:val="18"/>
                <w:szCs w:val="18"/>
              </w:rPr>
            </w:pPr>
            <w:r w:rsidRPr="009B0AEB">
              <w:rPr>
                <w:sz w:val="18"/>
                <w:szCs w:val="18"/>
              </w:rPr>
              <w:t>-129.7</w:t>
            </w:r>
          </w:p>
        </w:tc>
        <w:tc>
          <w:tcPr>
            <w:tcW w:w="605" w:type="pct"/>
            <w:shd w:val="clear" w:color="auto" w:fill="B4C98B"/>
            <w:vAlign w:val="center"/>
          </w:tcPr>
          <w:p w:rsidR="00915791" w:rsidRPr="009B0AEB" w:rsidRDefault="00915791" w:rsidP="00E95960">
            <w:pPr>
              <w:pStyle w:val="TableBodyText"/>
              <w:rPr>
                <w:sz w:val="18"/>
                <w:szCs w:val="18"/>
              </w:rPr>
            </w:pPr>
            <w:r w:rsidRPr="009B0AEB">
              <w:rPr>
                <w:sz w:val="18"/>
                <w:szCs w:val="18"/>
              </w:rPr>
              <w:t>510.6</w:t>
            </w:r>
          </w:p>
        </w:tc>
        <w:tc>
          <w:tcPr>
            <w:tcW w:w="587" w:type="pct"/>
          </w:tcPr>
          <w:p w:rsidR="00915791" w:rsidRPr="00915791" w:rsidRDefault="00915791" w:rsidP="00097DF9">
            <w:pPr>
              <w:pStyle w:val="TableBodyText"/>
              <w:rPr>
                <w:sz w:val="18"/>
                <w:szCs w:val="18"/>
              </w:rPr>
            </w:pPr>
            <w:r w:rsidRPr="00915791">
              <w:rPr>
                <w:sz w:val="18"/>
                <w:szCs w:val="18"/>
              </w:rPr>
              <w:t>21.3</w:t>
            </w:r>
          </w:p>
        </w:tc>
        <w:tc>
          <w:tcPr>
            <w:tcW w:w="540" w:type="pct"/>
          </w:tcPr>
          <w:p w:rsidR="00915791" w:rsidRPr="00915791" w:rsidRDefault="00915791" w:rsidP="00097DF9">
            <w:pPr>
              <w:pStyle w:val="TableBodyText"/>
              <w:rPr>
                <w:sz w:val="18"/>
                <w:szCs w:val="18"/>
              </w:rPr>
            </w:pPr>
            <w:r w:rsidRPr="00915791">
              <w:rPr>
                <w:sz w:val="18"/>
                <w:szCs w:val="18"/>
              </w:rPr>
              <w:t>8.4</w:t>
            </w:r>
          </w:p>
        </w:tc>
        <w:tc>
          <w:tcPr>
            <w:tcW w:w="557" w:type="pct"/>
            <w:shd w:val="clear" w:color="auto" w:fill="B4C98B"/>
          </w:tcPr>
          <w:p w:rsidR="00915791" w:rsidRPr="00915791" w:rsidRDefault="00915791" w:rsidP="00097DF9">
            <w:pPr>
              <w:pStyle w:val="TableBodyText"/>
              <w:rPr>
                <w:sz w:val="18"/>
                <w:szCs w:val="18"/>
              </w:rPr>
            </w:pPr>
            <w:r w:rsidRPr="00915791">
              <w:rPr>
                <w:sz w:val="18"/>
                <w:szCs w:val="18"/>
              </w:rPr>
              <w:t>540.3</w:t>
            </w:r>
          </w:p>
        </w:tc>
      </w:tr>
      <w:tr w:rsidR="00915791" w:rsidRPr="009B0AEB" w:rsidTr="004F78AB">
        <w:tc>
          <w:tcPr>
            <w:tcW w:w="1613" w:type="pct"/>
            <w:vAlign w:val="center"/>
          </w:tcPr>
          <w:p w:rsidR="00915791" w:rsidRPr="009B0AEB" w:rsidRDefault="00915791" w:rsidP="00E95960">
            <w:pPr>
              <w:pStyle w:val="TableBodyText"/>
              <w:jc w:val="left"/>
              <w:rPr>
                <w:sz w:val="18"/>
                <w:szCs w:val="18"/>
              </w:rPr>
            </w:pPr>
            <w:r w:rsidRPr="009B0AEB">
              <w:rPr>
                <w:sz w:val="18"/>
                <w:szCs w:val="18"/>
              </w:rPr>
              <w:t>Printing and recorded media</w:t>
            </w:r>
          </w:p>
        </w:tc>
        <w:tc>
          <w:tcPr>
            <w:tcW w:w="547" w:type="pct"/>
            <w:vAlign w:val="center"/>
          </w:tcPr>
          <w:p w:rsidR="00915791" w:rsidRPr="009B0AEB" w:rsidRDefault="00915791" w:rsidP="00E95960">
            <w:pPr>
              <w:pStyle w:val="TableBodyText"/>
              <w:rPr>
                <w:sz w:val="18"/>
                <w:szCs w:val="18"/>
              </w:rPr>
            </w:pPr>
            <w:r w:rsidRPr="009B0AEB">
              <w:rPr>
                <w:sz w:val="18"/>
                <w:szCs w:val="18"/>
              </w:rPr>
              <w:t>220.2</w:t>
            </w:r>
          </w:p>
        </w:tc>
        <w:tc>
          <w:tcPr>
            <w:tcW w:w="550" w:type="pct"/>
            <w:vAlign w:val="center"/>
          </w:tcPr>
          <w:p w:rsidR="00915791" w:rsidRPr="009B0AEB" w:rsidRDefault="00915791" w:rsidP="00E95960">
            <w:pPr>
              <w:pStyle w:val="TableBodyText"/>
              <w:rPr>
                <w:sz w:val="18"/>
                <w:szCs w:val="18"/>
              </w:rPr>
            </w:pPr>
            <w:r w:rsidRPr="009B0AEB">
              <w:rPr>
                <w:sz w:val="18"/>
                <w:szCs w:val="18"/>
              </w:rPr>
              <w:t>-35.7</w:t>
            </w:r>
          </w:p>
        </w:tc>
        <w:tc>
          <w:tcPr>
            <w:tcW w:w="605" w:type="pct"/>
            <w:shd w:val="clear" w:color="auto" w:fill="B4C98B"/>
            <w:vAlign w:val="center"/>
          </w:tcPr>
          <w:p w:rsidR="00915791" w:rsidRPr="009B0AEB" w:rsidRDefault="00915791" w:rsidP="00E95960">
            <w:pPr>
              <w:pStyle w:val="TableBodyText"/>
              <w:rPr>
                <w:sz w:val="18"/>
                <w:szCs w:val="18"/>
              </w:rPr>
            </w:pPr>
            <w:r w:rsidRPr="009B0AEB">
              <w:rPr>
                <w:sz w:val="18"/>
                <w:szCs w:val="18"/>
              </w:rPr>
              <w:t>184.5</w:t>
            </w:r>
          </w:p>
        </w:tc>
        <w:tc>
          <w:tcPr>
            <w:tcW w:w="587" w:type="pct"/>
          </w:tcPr>
          <w:p w:rsidR="00915791" w:rsidRPr="00915791" w:rsidRDefault="00915791" w:rsidP="00097DF9">
            <w:pPr>
              <w:pStyle w:val="TableBodyText"/>
              <w:rPr>
                <w:sz w:val="18"/>
                <w:szCs w:val="18"/>
              </w:rPr>
            </w:pPr>
            <w:r w:rsidRPr="00915791">
              <w:rPr>
                <w:sz w:val="18"/>
                <w:szCs w:val="18"/>
              </w:rPr>
              <w:t>13.2</w:t>
            </w:r>
          </w:p>
        </w:tc>
        <w:tc>
          <w:tcPr>
            <w:tcW w:w="540" w:type="pct"/>
          </w:tcPr>
          <w:p w:rsidR="00915791" w:rsidRPr="00915791" w:rsidRDefault="00915791" w:rsidP="00097DF9">
            <w:pPr>
              <w:pStyle w:val="TableBodyText"/>
              <w:rPr>
                <w:sz w:val="18"/>
                <w:szCs w:val="18"/>
              </w:rPr>
            </w:pPr>
            <w:r w:rsidRPr="00915791">
              <w:rPr>
                <w:sz w:val="18"/>
                <w:szCs w:val="18"/>
              </w:rPr>
              <w:t>7.5</w:t>
            </w:r>
          </w:p>
        </w:tc>
        <w:tc>
          <w:tcPr>
            <w:tcW w:w="557" w:type="pct"/>
            <w:shd w:val="clear" w:color="auto" w:fill="B4C98B"/>
          </w:tcPr>
          <w:p w:rsidR="00915791" w:rsidRPr="00915791" w:rsidRDefault="00915791" w:rsidP="00097DF9">
            <w:pPr>
              <w:pStyle w:val="TableBodyText"/>
              <w:rPr>
                <w:sz w:val="18"/>
                <w:szCs w:val="18"/>
              </w:rPr>
            </w:pPr>
            <w:r w:rsidRPr="00915791">
              <w:rPr>
                <w:sz w:val="18"/>
                <w:szCs w:val="18"/>
              </w:rPr>
              <w:t>205.2</w:t>
            </w:r>
          </w:p>
        </w:tc>
      </w:tr>
      <w:tr w:rsidR="00915791" w:rsidRPr="009B0AEB" w:rsidTr="004F78AB">
        <w:tc>
          <w:tcPr>
            <w:tcW w:w="1613" w:type="pct"/>
            <w:vAlign w:val="center"/>
          </w:tcPr>
          <w:p w:rsidR="00915791" w:rsidRPr="009B0AEB" w:rsidRDefault="00915791" w:rsidP="00E95960">
            <w:pPr>
              <w:pStyle w:val="TableBodyText"/>
              <w:jc w:val="left"/>
              <w:rPr>
                <w:sz w:val="18"/>
                <w:szCs w:val="18"/>
              </w:rPr>
            </w:pPr>
            <w:r w:rsidRPr="009B0AEB">
              <w:rPr>
                <w:sz w:val="18"/>
                <w:szCs w:val="18"/>
              </w:rPr>
              <w:t>Petroleum, coal and chemicals</w:t>
            </w:r>
          </w:p>
        </w:tc>
        <w:tc>
          <w:tcPr>
            <w:tcW w:w="547" w:type="pct"/>
            <w:vAlign w:val="center"/>
          </w:tcPr>
          <w:p w:rsidR="00915791" w:rsidRPr="009B0AEB" w:rsidRDefault="00915791" w:rsidP="00E95960">
            <w:pPr>
              <w:pStyle w:val="TableBodyText"/>
              <w:rPr>
                <w:sz w:val="18"/>
                <w:szCs w:val="18"/>
              </w:rPr>
            </w:pPr>
            <w:r w:rsidRPr="009B0AEB">
              <w:rPr>
                <w:sz w:val="18"/>
                <w:szCs w:val="18"/>
              </w:rPr>
              <w:t>1024.1</w:t>
            </w:r>
          </w:p>
        </w:tc>
        <w:tc>
          <w:tcPr>
            <w:tcW w:w="550" w:type="pct"/>
            <w:vAlign w:val="center"/>
          </w:tcPr>
          <w:p w:rsidR="00915791" w:rsidRPr="009B0AEB" w:rsidRDefault="00915791" w:rsidP="00E95960">
            <w:pPr>
              <w:pStyle w:val="TableBodyText"/>
              <w:rPr>
                <w:sz w:val="18"/>
                <w:szCs w:val="18"/>
              </w:rPr>
            </w:pPr>
            <w:r w:rsidRPr="009B0AEB">
              <w:rPr>
                <w:sz w:val="18"/>
                <w:szCs w:val="18"/>
              </w:rPr>
              <w:t>-299.1</w:t>
            </w:r>
          </w:p>
        </w:tc>
        <w:tc>
          <w:tcPr>
            <w:tcW w:w="605" w:type="pct"/>
            <w:shd w:val="clear" w:color="auto" w:fill="B4C98B"/>
            <w:vAlign w:val="center"/>
          </w:tcPr>
          <w:p w:rsidR="00915791" w:rsidRPr="009B0AEB" w:rsidRDefault="00915791" w:rsidP="00E95960">
            <w:pPr>
              <w:pStyle w:val="TableBodyText"/>
              <w:rPr>
                <w:sz w:val="18"/>
                <w:szCs w:val="18"/>
              </w:rPr>
            </w:pPr>
            <w:r w:rsidRPr="009B0AEB">
              <w:rPr>
                <w:sz w:val="18"/>
                <w:szCs w:val="18"/>
              </w:rPr>
              <w:t>725.0</w:t>
            </w:r>
          </w:p>
        </w:tc>
        <w:tc>
          <w:tcPr>
            <w:tcW w:w="587" w:type="pct"/>
          </w:tcPr>
          <w:p w:rsidR="00915791" w:rsidRPr="00915791" w:rsidRDefault="00915791" w:rsidP="00097DF9">
            <w:pPr>
              <w:pStyle w:val="TableBodyText"/>
              <w:rPr>
                <w:sz w:val="18"/>
                <w:szCs w:val="18"/>
              </w:rPr>
            </w:pPr>
            <w:r w:rsidRPr="00915791">
              <w:rPr>
                <w:sz w:val="18"/>
                <w:szCs w:val="18"/>
              </w:rPr>
              <w:t>297.1</w:t>
            </w:r>
          </w:p>
        </w:tc>
        <w:tc>
          <w:tcPr>
            <w:tcW w:w="540" w:type="pct"/>
          </w:tcPr>
          <w:p w:rsidR="00915791" w:rsidRPr="00915791" w:rsidRDefault="00915791" w:rsidP="00097DF9">
            <w:pPr>
              <w:pStyle w:val="TableBodyText"/>
              <w:rPr>
                <w:sz w:val="18"/>
                <w:szCs w:val="18"/>
              </w:rPr>
            </w:pPr>
            <w:r w:rsidRPr="00915791">
              <w:rPr>
                <w:sz w:val="18"/>
                <w:szCs w:val="18"/>
              </w:rPr>
              <w:t>25.1</w:t>
            </w:r>
          </w:p>
        </w:tc>
        <w:tc>
          <w:tcPr>
            <w:tcW w:w="557" w:type="pct"/>
            <w:shd w:val="clear" w:color="auto" w:fill="B4C98B"/>
          </w:tcPr>
          <w:p w:rsidR="00915791" w:rsidRPr="00915791" w:rsidRDefault="00915791" w:rsidP="00097DF9">
            <w:pPr>
              <w:pStyle w:val="TableBodyText"/>
              <w:rPr>
                <w:sz w:val="18"/>
                <w:szCs w:val="18"/>
              </w:rPr>
            </w:pPr>
            <w:r w:rsidRPr="00915791">
              <w:rPr>
                <w:sz w:val="18"/>
                <w:szCs w:val="18"/>
              </w:rPr>
              <w:t>1047.2</w:t>
            </w:r>
          </w:p>
        </w:tc>
      </w:tr>
      <w:tr w:rsidR="00915791" w:rsidRPr="009B0AEB" w:rsidTr="004F78AB">
        <w:tc>
          <w:tcPr>
            <w:tcW w:w="1613" w:type="pct"/>
            <w:vAlign w:val="center"/>
          </w:tcPr>
          <w:p w:rsidR="00915791" w:rsidRPr="009B0AEB" w:rsidRDefault="00915791" w:rsidP="00E95960">
            <w:pPr>
              <w:pStyle w:val="TableBodyText"/>
              <w:jc w:val="left"/>
              <w:rPr>
                <w:sz w:val="18"/>
                <w:szCs w:val="18"/>
              </w:rPr>
            </w:pPr>
            <w:r w:rsidRPr="009B0AEB">
              <w:rPr>
                <w:sz w:val="18"/>
                <w:szCs w:val="18"/>
              </w:rPr>
              <w:t>Non-metallic mineral products</w:t>
            </w:r>
          </w:p>
        </w:tc>
        <w:tc>
          <w:tcPr>
            <w:tcW w:w="547" w:type="pct"/>
            <w:vAlign w:val="center"/>
          </w:tcPr>
          <w:p w:rsidR="00915791" w:rsidRPr="009B0AEB" w:rsidRDefault="00915791" w:rsidP="00E95960">
            <w:pPr>
              <w:pStyle w:val="TableBodyText"/>
              <w:rPr>
                <w:sz w:val="18"/>
                <w:szCs w:val="18"/>
              </w:rPr>
            </w:pPr>
            <w:r w:rsidRPr="009B0AEB">
              <w:rPr>
                <w:sz w:val="18"/>
                <w:szCs w:val="18"/>
              </w:rPr>
              <w:t>247.6</w:t>
            </w:r>
          </w:p>
        </w:tc>
        <w:tc>
          <w:tcPr>
            <w:tcW w:w="550" w:type="pct"/>
            <w:vAlign w:val="center"/>
          </w:tcPr>
          <w:p w:rsidR="00915791" w:rsidRPr="009B0AEB" w:rsidRDefault="00915791" w:rsidP="00E95960">
            <w:pPr>
              <w:pStyle w:val="TableBodyText"/>
              <w:rPr>
                <w:sz w:val="18"/>
                <w:szCs w:val="18"/>
              </w:rPr>
            </w:pPr>
            <w:r w:rsidRPr="009B0AEB">
              <w:rPr>
                <w:sz w:val="18"/>
                <w:szCs w:val="18"/>
              </w:rPr>
              <w:t>-42.5</w:t>
            </w:r>
          </w:p>
        </w:tc>
        <w:tc>
          <w:tcPr>
            <w:tcW w:w="605" w:type="pct"/>
            <w:shd w:val="clear" w:color="auto" w:fill="B4C98B"/>
            <w:vAlign w:val="center"/>
          </w:tcPr>
          <w:p w:rsidR="00915791" w:rsidRPr="009B0AEB" w:rsidRDefault="00915791" w:rsidP="00E95960">
            <w:pPr>
              <w:pStyle w:val="TableBodyText"/>
              <w:rPr>
                <w:sz w:val="18"/>
                <w:szCs w:val="18"/>
              </w:rPr>
            </w:pPr>
            <w:r w:rsidRPr="009B0AEB">
              <w:rPr>
                <w:sz w:val="18"/>
                <w:szCs w:val="18"/>
              </w:rPr>
              <w:t>205.1</w:t>
            </w:r>
          </w:p>
        </w:tc>
        <w:tc>
          <w:tcPr>
            <w:tcW w:w="587" w:type="pct"/>
          </w:tcPr>
          <w:p w:rsidR="00915791" w:rsidRPr="00915791" w:rsidRDefault="00915791" w:rsidP="00097DF9">
            <w:pPr>
              <w:pStyle w:val="TableBodyText"/>
              <w:rPr>
                <w:sz w:val="18"/>
                <w:szCs w:val="18"/>
              </w:rPr>
            </w:pPr>
            <w:r w:rsidRPr="00915791">
              <w:rPr>
                <w:sz w:val="18"/>
                <w:szCs w:val="18"/>
              </w:rPr>
              <w:t>30.0</w:t>
            </w:r>
          </w:p>
        </w:tc>
        <w:tc>
          <w:tcPr>
            <w:tcW w:w="540" w:type="pct"/>
          </w:tcPr>
          <w:p w:rsidR="00915791" w:rsidRPr="00915791" w:rsidRDefault="00915791" w:rsidP="00097DF9">
            <w:pPr>
              <w:pStyle w:val="TableBodyText"/>
              <w:rPr>
                <w:sz w:val="18"/>
                <w:szCs w:val="18"/>
              </w:rPr>
            </w:pPr>
            <w:r w:rsidRPr="00915791">
              <w:rPr>
                <w:sz w:val="18"/>
                <w:szCs w:val="18"/>
              </w:rPr>
              <w:t>4.0</w:t>
            </w:r>
          </w:p>
        </w:tc>
        <w:tc>
          <w:tcPr>
            <w:tcW w:w="557" w:type="pct"/>
            <w:shd w:val="clear" w:color="auto" w:fill="B4C98B"/>
          </w:tcPr>
          <w:p w:rsidR="00915791" w:rsidRPr="00915791" w:rsidRDefault="00915791" w:rsidP="00097DF9">
            <w:pPr>
              <w:pStyle w:val="TableBodyText"/>
              <w:rPr>
                <w:sz w:val="18"/>
                <w:szCs w:val="18"/>
              </w:rPr>
            </w:pPr>
            <w:r w:rsidRPr="00915791">
              <w:rPr>
                <w:sz w:val="18"/>
                <w:szCs w:val="18"/>
              </w:rPr>
              <w:t>239.2</w:t>
            </w:r>
          </w:p>
        </w:tc>
      </w:tr>
      <w:tr w:rsidR="00915791" w:rsidRPr="009B0AEB" w:rsidTr="004F78AB">
        <w:tc>
          <w:tcPr>
            <w:tcW w:w="1613" w:type="pct"/>
            <w:vAlign w:val="center"/>
          </w:tcPr>
          <w:p w:rsidR="00915791" w:rsidRPr="009B0AEB" w:rsidRDefault="00915791" w:rsidP="00E95960">
            <w:pPr>
              <w:pStyle w:val="TableBodyText"/>
              <w:jc w:val="left"/>
              <w:rPr>
                <w:sz w:val="18"/>
                <w:szCs w:val="18"/>
              </w:rPr>
            </w:pPr>
            <w:r w:rsidRPr="009B0AEB">
              <w:rPr>
                <w:sz w:val="18"/>
                <w:szCs w:val="18"/>
              </w:rPr>
              <w:t>Metal and fabricated products</w:t>
            </w:r>
          </w:p>
        </w:tc>
        <w:tc>
          <w:tcPr>
            <w:tcW w:w="547" w:type="pct"/>
            <w:vAlign w:val="center"/>
          </w:tcPr>
          <w:p w:rsidR="00915791" w:rsidRPr="009B0AEB" w:rsidRDefault="00915791" w:rsidP="00E95960">
            <w:pPr>
              <w:pStyle w:val="TableBodyText"/>
              <w:rPr>
                <w:sz w:val="18"/>
                <w:szCs w:val="18"/>
              </w:rPr>
            </w:pPr>
            <w:r w:rsidRPr="009B0AEB">
              <w:rPr>
                <w:sz w:val="18"/>
                <w:szCs w:val="18"/>
              </w:rPr>
              <w:t>1675.3</w:t>
            </w:r>
          </w:p>
        </w:tc>
        <w:tc>
          <w:tcPr>
            <w:tcW w:w="550" w:type="pct"/>
            <w:vAlign w:val="center"/>
          </w:tcPr>
          <w:p w:rsidR="00915791" w:rsidRPr="009B0AEB" w:rsidRDefault="00915791" w:rsidP="00E95960">
            <w:pPr>
              <w:pStyle w:val="TableBodyText"/>
              <w:rPr>
                <w:sz w:val="18"/>
                <w:szCs w:val="18"/>
              </w:rPr>
            </w:pPr>
            <w:r w:rsidRPr="009B0AEB">
              <w:rPr>
                <w:sz w:val="18"/>
                <w:szCs w:val="18"/>
              </w:rPr>
              <w:t>-397.8</w:t>
            </w:r>
          </w:p>
        </w:tc>
        <w:tc>
          <w:tcPr>
            <w:tcW w:w="605" w:type="pct"/>
            <w:shd w:val="clear" w:color="auto" w:fill="B4C98B"/>
            <w:vAlign w:val="center"/>
          </w:tcPr>
          <w:p w:rsidR="00915791" w:rsidRPr="009B0AEB" w:rsidRDefault="00915791" w:rsidP="00E95960">
            <w:pPr>
              <w:pStyle w:val="TableBodyText"/>
              <w:rPr>
                <w:sz w:val="18"/>
                <w:szCs w:val="18"/>
              </w:rPr>
            </w:pPr>
            <w:r w:rsidRPr="009B0AEB">
              <w:rPr>
                <w:sz w:val="18"/>
                <w:szCs w:val="18"/>
              </w:rPr>
              <w:t>1277.5</w:t>
            </w:r>
          </w:p>
        </w:tc>
        <w:tc>
          <w:tcPr>
            <w:tcW w:w="587" w:type="pct"/>
          </w:tcPr>
          <w:p w:rsidR="00915791" w:rsidRPr="00915791" w:rsidRDefault="00915791" w:rsidP="00097DF9">
            <w:pPr>
              <w:pStyle w:val="TableBodyText"/>
              <w:rPr>
                <w:sz w:val="18"/>
                <w:szCs w:val="18"/>
              </w:rPr>
            </w:pPr>
            <w:r w:rsidRPr="00915791">
              <w:rPr>
                <w:sz w:val="18"/>
                <w:szCs w:val="18"/>
              </w:rPr>
              <w:t>76.8</w:t>
            </w:r>
          </w:p>
        </w:tc>
        <w:tc>
          <w:tcPr>
            <w:tcW w:w="540" w:type="pct"/>
          </w:tcPr>
          <w:p w:rsidR="00915791" w:rsidRPr="00915791" w:rsidRDefault="00915791" w:rsidP="00097DF9">
            <w:pPr>
              <w:pStyle w:val="TableBodyText"/>
              <w:rPr>
                <w:sz w:val="18"/>
                <w:szCs w:val="18"/>
              </w:rPr>
            </w:pPr>
            <w:r w:rsidRPr="00915791">
              <w:rPr>
                <w:sz w:val="18"/>
                <w:szCs w:val="18"/>
              </w:rPr>
              <w:t>34.6</w:t>
            </w:r>
          </w:p>
        </w:tc>
        <w:tc>
          <w:tcPr>
            <w:tcW w:w="557" w:type="pct"/>
            <w:shd w:val="clear" w:color="auto" w:fill="B4C98B"/>
          </w:tcPr>
          <w:p w:rsidR="00915791" w:rsidRPr="00915791" w:rsidRDefault="00915791" w:rsidP="00097DF9">
            <w:pPr>
              <w:pStyle w:val="TableBodyText"/>
              <w:rPr>
                <w:sz w:val="18"/>
                <w:szCs w:val="18"/>
              </w:rPr>
            </w:pPr>
            <w:r w:rsidRPr="00915791">
              <w:rPr>
                <w:sz w:val="18"/>
                <w:szCs w:val="18"/>
              </w:rPr>
              <w:t>1388.8</w:t>
            </w:r>
          </w:p>
        </w:tc>
      </w:tr>
      <w:tr w:rsidR="00915791" w:rsidRPr="009B0AEB" w:rsidTr="004F78AB">
        <w:tc>
          <w:tcPr>
            <w:tcW w:w="1613" w:type="pct"/>
            <w:vAlign w:val="center"/>
          </w:tcPr>
          <w:p w:rsidR="00915791" w:rsidRPr="009B0AEB" w:rsidRDefault="00915791" w:rsidP="00E95960">
            <w:pPr>
              <w:pStyle w:val="TableBodyText"/>
              <w:jc w:val="left"/>
              <w:rPr>
                <w:sz w:val="18"/>
                <w:szCs w:val="18"/>
              </w:rPr>
            </w:pPr>
            <w:r w:rsidRPr="009B0AEB">
              <w:rPr>
                <w:sz w:val="18"/>
                <w:szCs w:val="18"/>
              </w:rPr>
              <w:t>Motor vehicle and parts</w:t>
            </w:r>
          </w:p>
        </w:tc>
        <w:tc>
          <w:tcPr>
            <w:tcW w:w="547" w:type="pct"/>
            <w:vAlign w:val="center"/>
          </w:tcPr>
          <w:p w:rsidR="00915791" w:rsidRPr="009B0AEB" w:rsidRDefault="00915791" w:rsidP="00E95960">
            <w:pPr>
              <w:pStyle w:val="TableBodyText"/>
              <w:rPr>
                <w:sz w:val="18"/>
                <w:szCs w:val="18"/>
              </w:rPr>
            </w:pPr>
            <w:r w:rsidRPr="009B0AEB">
              <w:rPr>
                <w:sz w:val="18"/>
                <w:szCs w:val="18"/>
              </w:rPr>
              <w:t>836.3</w:t>
            </w:r>
          </w:p>
        </w:tc>
        <w:tc>
          <w:tcPr>
            <w:tcW w:w="550" w:type="pct"/>
            <w:vAlign w:val="center"/>
          </w:tcPr>
          <w:p w:rsidR="00915791" w:rsidRPr="009B0AEB" w:rsidRDefault="00915791" w:rsidP="00E95960">
            <w:pPr>
              <w:pStyle w:val="TableBodyText"/>
              <w:rPr>
                <w:sz w:val="18"/>
                <w:szCs w:val="18"/>
              </w:rPr>
            </w:pPr>
            <w:r w:rsidRPr="009B0AEB">
              <w:rPr>
                <w:sz w:val="18"/>
                <w:szCs w:val="18"/>
              </w:rPr>
              <w:t>-308.0</w:t>
            </w:r>
          </w:p>
        </w:tc>
        <w:tc>
          <w:tcPr>
            <w:tcW w:w="605" w:type="pct"/>
            <w:shd w:val="clear" w:color="auto" w:fill="B4C98B"/>
            <w:vAlign w:val="center"/>
          </w:tcPr>
          <w:p w:rsidR="00915791" w:rsidRPr="009B0AEB" w:rsidRDefault="00915791" w:rsidP="00E95960">
            <w:pPr>
              <w:pStyle w:val="TableBodyText"/>
              <w:rPr>
                <w:sz w:val="18"/>
                <w:szCs w:val="18"/>
              </w:rPr>
            </w:pPr>
            <w:r w:rsidRPr="009B0AEB">
              <w:rPr>
                <w:sz w:val="18"/>
                <w:szCs w:val="18"/>
              </w:rPr>
              <w:t>528.3</w:t>
            </w:r>
          </w:p>
        </w:tc>
        <w:tc>
          <w:tcPr>
            <w:tcW w:w="587" w:type="pct"/>
          </w:tcPr>
          <w:p w:rsidR="00915791" w:rsidRPr="00915791" w:rsidRDefault="00915791" w:rsidP="00097DF9">
            <w:pPr>
              <w:pStyle w:val="TableBodyText"/>
              <w:rPr>
                <w:sz w:val="18"/>
                <w:szCs w:val="18"/>
              </w:rPr>
            </w:pPr>
            <w:r w:rsidRPr="00915791">
              <w:rPr>
                <w:sz w:val="18"/>
                <w:szCs w:val="18"/>
              </w:rPr>
              <w:t>426.6</w:t>
            </w:r>
          </w:p>
        </w:tc>
        <w:tc>
          <w:tcPr>
            <w:tcW w:w="540" w:type="pct"/>
          </w:tcPr>
          <w:p w:rsidR="00915791" w:rsidRPr="00915791" w:rsidRDefault="00915791" w:rsidP="00097DF9">
            <w:pPr>
              <w:pStyle w:val="TableBodyText"/>
              <w:rPr>
                <w:sz w:val="18"/>
                <w:szCs w:val="18"/>
              </w:rPr>
            </w:pPr>
            <w:r w:rsidRPr="00915791">
              <w:rPr>
                <w:sz w:val="18"/>
                <w:szCs w:val="18"/>
              </w:rPr>
              <w:t>35.2</w:t>
            </w:r>
          </w:p>
        </w:tc>
        <w:tc>
          <w:tcPr>
            <w:tcW w:w="557" w:type="pct"/>
            <w:shd w:val="clear" w:color="auto" w:fill="B4C98B"/>
          </w:tcPr>
          <w:p w:rsidR="00915791" w:rsidRPr="00915791" w:rsidRDefault="00915791" w:rsidP="00097DF9">
            <w:pPr>
              <w:pStyle w:val="TableBodyText"/>
              <w:rPr>
                <w:sz w:val="18"/>
                <w:szCs w:val="18"/>
              </w:rPr>
            </w:pPr>
            <w:r w:rsidRPr="00915791">
              <w:rPr>
                <w:sz w:val="18"/>
                <w:szCs w:val="18"/>
              </w:rPr>
              <w:t>990.1</w:t>
            </w:r>
          </w:p>
        </w:tc>
      </w:tr>
      <w:tr w:rsidR="00915791" w:rsidRPr="009B0AEB" w:rsidTr="004F78AB">
        <w:tc>
          <w:tcPr>
            <w:tcW w:w="1613" w:type="pct"/>
            <w:vAlign w:val="center"/>
          </w:tcPr>
          <w:p w:rsidR="00915791" w:rsidRPr="009B0AEB" w:rsidRDefault="00915791" w:rsidP="00E95960">
            <w:pPr>
              <w:pStyle w:val="TableBodyText"/>
              <w:jc w:val="left"/>
              <w:rPr>
                <w:sz w:val="18"/>
                <w:szCs w:val="18"/>
              </w:rPr>
            </w:pPr>
            <w:r w:rsidRPr="009B0AEB">
              <w:rPr>
                <w:sz w:val="18"/>
                <w:szCs w:val="18"/>
              </w:rPr>
              <w:t>Other transport equipment</w:t>
            </w:r>
          </w:p>
        </w:tc>
        <w:tc>
          <w:tcPr>
            <w:tcW w:w="547" w:type="pct"/>
            <w:vAlign w:val="center"/>
          </w:tcPr>
          <w:p w:rsidR="00915791" w:rsidRPr="009B0AEB" w:rsidRDefault="00915791" w:rsidP="00E95960">
            <w:pPr>
              <w:pStyle w:val="TableBodyText"/>
              <w:rPr>
                <w:sz w:val="18"/>
                <w:szCs w:val="18"/>
              </w:rPr>
            </w:pPr>
            <w:r w:rsidRPr="009B0AEB">
              <w:rPr>
                <w:sz w:val="18"/>
                <w:szCs w:val="18"/>
              </w:rPr>
              <w:t>77.3</w:t>
            </w:r>
          </w:p>
        </w:tc>
        <w:tc>
          <w:tcPr>
            <w:tcW w:w="550" w:type="pct"/>
            <w:vAlign w:val="center"/>
          </w:tcPr>
          <w:p w:rsidR="00915791" w:rsidRPr="009B0AEB" w:rsidRDefault="00915791" w:rsidP="00E95960">
            <w:pPr>
              <w:pStyle w:val="TableBodyText"/>
              <w:rPr>
                <w:sz w:val="18"/>
                <w:szCs w:val="18"/>
              </w:rPr>
            </w:pPr>
            <w:r w:rsidRPr="009B0AEB">
              <w:rPr>
                <w:sz w:val="18"/>
                <w:szCs w:val="18"/>
              </w:rPr>
              <w:t>-69.0</w:t>
            </w:r>
          </w:p>
        </w:tc>
        <w:tc>
          <w:tcPr>
            <w:tcW w:w="605" w:type="pct"/>
            <w:shd w:val="clear" w:color="auto" w:fill="B4C98B"/>
            <w:vAlign w:val="center"/>
          </w:tcPr>
          <w:p w:rsidR="00915791" w:rsidRPr="009B0AEB" w:rsidRDefault="00915791" w:rsidP="00E95960">
            <w:pPr>
              <w:pStyle w:val="TableBodyText"/>
              <w:rPr>
                <w:sz w:val="18"/>
                <w:szCs w:val="18"/>
              </w:rPr>
            </w:pPr>
            <w:r w:rsidRPr="009B0AEB">
              <w:rPr>
                <w:sz w:val="18"/>
                <w:szCs w:val="18"/>
              </w:rPr>
              <w:t>8.4</w:t>
            </w:r>
          </w:p>
        </w:tc>
        <w:tc>
          <w:tcPr>
            <w:tcW w:w="587" w:type="pct"/>
          </w:tcPr>
          <w:p w:rsidR="00915791" w:rsidRPr="00915791" w:rsidRDefault="00915791" w:rsidP="00097DF9">
            <w:pPr>
              <w:pStyle w:val="TableBodyText"/>
              <w:rPr>
                <w:sz w:val="18"/>
                <w:szCs w:val="18"/>
              </w:rPr>
            </w:pPr>
            <w:r w:rsidRPr="00915791">
              <w:rPr>
                <w:sz w:val="18"/>
                <w:szCs w:val="18"/>
              </w:rPr>
              <w:t>26.2</w:t>
            </w:r>
          </w:p>
        </w:tc>
        <w:tc>
          <w:tcPr>
            <w:tcW w:w="540" w:type="pct"/>
          </w:tcPr>
          <w:p w:rsidR="00915791" w:rsidRPr="00915791" w:rsidRDefault="00915791" w:rsidP="00097DF9">
            <w:pPr>
              <w:pStyle w:val="TableBodyText"/>
              <w:rPr>
                <w:sz w:val="18"/>
                <w:szCs w:val="18"/>
              </w:rPr>
            </w:pPr>
            <w:r w:rsidRPr="00915791">
              <w:rPr>
                <w:sz w:val="18"/>
                <w:szCs w:val="18"/>
              </w:rPr>
              <w:t>4.0</w:t>
            </w:r>
          </w:p>
        </w:tc>
        <w:tc>
          <w:tcPr>
            <w:tcW w:w="557" w:type="pct"/>
            <w:shd w:val="clear" w:color="auto" w:fill="B4C98B"/>
          </w:tcPr>
          <w:p w:rsidR="00915791" w:rsidRPr="00915791" w:rsidRDefault="00915791" w:rsidP="00097DF9">
            <w:pPr>
              <w:pStyle w:val="TableBodyText"/>
              <w:rPr>
                <w:sz w:val="18"/>
                <w:szCs w:val="18"/>
              </w:rPr>
            </w:pPr>
            <w:r w:rsidRPr="00915791">
              <w:rPr>
                <w:sz w:val="18"/>
                <w:szCs w:val="18"/>
              </w:rPr>
              <w:t>38.5</w:t>
            </w:r>
          </w:p>
        </w:tc>
      </w:tr>
      <w:tr w:rsidR="00915791" w:rsidRPr="009B0AEB" w:rsidTr="004F78AB">
        <w:tc>
          <w:tcPr>
            <w:tcW w:w="1613" w:type="pct"/>
            <w:vAlign w:val="center"/>
          </w:tcPr>
          <w:p w:rsidR="00915791" w:rsidRPr="009B0AEB" w:rsidRDefault="00915791" w:rsidP="00E95960">
            <w:pPr>
              <w:pStyle w:val="TableBodyText"/>
              <w:jc w:val="left"/>
              <w:rPr>
                <w:sz w:val="18"/>
                <w:szCs w:val="18"/>
              </w:rPr>
            </w:pPr>
            <w:r w:rsidRPr="009B0AEB">
              <w:rPr>
                <w:sz w:val="18"/>
                <w:szCs w:val="18"/>
              </w:rPr>
              <w:t>Machinery and equipment</w:t>
            </w:r>
          </w:p>
        </w:tc>
        <w:tc>
          <w:tcPr>
            <w:tcW w:w="547" w:type="pct"/>
            <w:vAlign w:val="center"/>
          </w:tcPr>
          <w:p w:rsidR="00915791" w:rsidRPr="009B0AEB" w:rsidRDefault="00915791" w:rsidP="00E95960">
            <w:pPr>
              <w:pStyle w:val="TableBodyText"/>
              <w:rPr>
                <w:sz w:val="18"/>
                <w:szCs w:val="18"/>
              </w:rPr>
            </w:pPr>
            <w:r w:rsidRPr="009B0AEB">
              <w:rPr>
                <w:sz w:val="18"/>
                <w:szCs w:val="18"/>
              </w:rPr>
              <w:t>628.8</w:t>
            </w:r>
          </w:p>
        </w:tc>
        <w:tc>
          <w:tcPr>
            <w:tcW w:w="550" w:type="pct"/>
            <w:vAlign w:val="center"/>
          </w:tcPr>
          <w:p w:rsidR="00915791" w:rsidRPr="009B0AEB" w:rsidRDefault="00915791" w:rsidP="00E95960">
            <w:pPr>
              <w:pStyle w:val="TableBodyText"/>
              <w:rPr>
                <w:sz w:val="18"/>
                <w:szCs w:val="18"/>
              </w:rPr>
            </w:pPr>
            <w:r w:rsidRPr="009B0AEB">
              <w:rPr>
                <w:sz w:val="18"/>
                <w:szCs w:val="18"/>
              </w:rPr>
              <w:t>-189.5</w:t>
            </w:r>
          </w:p>
        </w:tc>
        <w:tc>
          <w:tcPr>
            <w:tcW w:w="605" w:type="pct"/>
            <w:shd w:val="clear" w:color="auto" w:fill="B4C98B"/>
            <w:vAlign w:val="center"/>
          </w:tcPr>
          <w:p w:rsidR="00915791" w:rsidRPr="009B0AEB" w:rsidRDefault="00915791" w:rsidP="00E95960">
            <w:pPr>
              <w:pStyle w:val="TableBodyText"/>
              <w:rPr>
                <w:sz w:val="18"/>
                <w:szCs w:val="18"/>
              </w:rPr>
            </w:pPr>
            <w:r w:rsidRPr="009B0AEB">
              <w:rPr>
                <w:sz w:val="18"/>
                <w:szCs w:val="18"/>
              </w:rPr>
              <w:t>439.3</w:t>
            </w:r>
          </w:p>
        </w:tc>
        <w:tc>
          <w:tcPr>
            <w:tcW w:w="587" w:type="pct"/>
          </w:tcPr>
          <w:p w:rsidR="00915791" w:rsidRPr="00915791" w:rsidRDefault="00915791" w:rsidP="00097DF9">
            <w:pPr>
              <w:pStyle w:val="TableBodyText"/>
              <w:rPr>
                <w:sz w:val="18"/>
                <w:szCs w:val="18"/>
              </w:rPr>
            </w:pPr>
            <w:r w:rsidRPr="00915791">
              <w:rPr>
                <w:sz w:val="18"/>
                <w:szCs w:val="18"/>
              </w:rPr>
              <w:t>193.3</w:t>
            </w:r>
          </w:p>
        </w:tc>
        <w:tc>
          <w:tcPr>
            <w:tcW w:w="540" w:type="pct"/>
          </w:tcPr>
          <w:p w:rsidR="00915791" w:rsidRPr="00915791" w:rsidRDefault="00915791" w:rsidP="00097DF9">
            <w:pPr>
              <w:pStyle w:val="TableBodyText"/>
              <w:rPr>
                <w:sz w:val="18"/>
                <w:szCs w:val="18"/>
              </w:rPr>
            </w:pPr>
            <w:r w:rsidRPr="00915791">
              <w:rPr>
                <w:sz w:val="18"/>
                <w:szCs w:val="18"/>
              </w:rPr>
              <w:t>34.6</w:t>
            </w:r>
          </w:p>
        </w:tc>
        <w:tc>
          <w:tcPr>
            <w:tcW w:w="557" w:type="pct"/>
            <w:shd w:val="clear" w:color="auto" w:fill="B4C98B"/>
          </w:tcPr>
          <w:p w:rsidR="00915791" w:rsidRPr="00915791" w:rsidRDefault="00915791" w:rsidP="00097DF9">
            <w:pPr>
              <w:pStyle w:val="TableBodyText"/>
              <w:rPr>
                <w:sz w:val="18"/>
                <w:szCs w:val="18"/>
              </w:rPr>
            </w:pPr>
            <w:r w:rsidRPr="00915791">
              <w:rPr>
                <w:sz w:val="18"/>
                <w:szCs w:val="18"/>
              </w:rPr>
              <w:t>667.2</w:t>
            </w:r>
          </w:p>
        </w:tc>
      </w:tr>
      <w:tr w:rsidR="00915791" w:rsidRPr="009B0AEB" w:rsidTr="004F78AB">
        <w:tc>
          <w:tcPr>
            <w:tcW w:w="1613" w:type="pct"/>
            <w:vAlign w:val="center"/>
          </w:tcPr>
          <w:p w:rsidR="00915791" w:rsidRPr="009B0AEB" w:rsidRDefault="00915791" w:rsidP="00E95960">
            <w:pPr>
              <w:pStyle w:val="TableBodyText"/>
              <w:jc w:val="left"/>
              <w:rPr>
                <w:sz w:val="18"/>
                <w:szCs w:val="18"/>
              </w:rPr>
            </w:pPr>
            <w:r w:rsidRPr="009B0AEB">
              <w:rPr>
                <w:sz w:val="18"/>
                <w:szCs w:val="18"/>
              </w:rPr>
              <w:t>Furniture and other products</w:t>
            </w:r>
          </w:p>
        </w:tc>
        <w:tc>
          <w:tcPr>
            <w:tcW w:w="547" w:type="pct"/>
            <w:vAlign w:val="center"/>
          </w:tcPr>
          <w:p w:rsidR="00915791" w:rsidRPr="009B0AEB" w:rsidRDefault="00915791" w:rsidP="00E95960">
            <w:pPr>
              <w:pStyle w:val="TableBodyText"/>
              <w:rPr>
                <w:sz w:val="18"/>
                <w:szCs w:val="18"/>
              </w:rPr>
            </w:pPr>
            <w:r w:rsidRPr="009B0AEB">
              <w:rPr>
                <w:sz w:val="18"/>
                <w:szCs w:val="18"/>
              </w:rPr>
              <w:t>209.5</w:t>
            </w:r>
          </w:p>
        </w:tc>
        <w:tc>
          <w:tcPr>
            <w:tcW w:w="550" w:type="pct"/>
            <w:vAlign w:val="center"/>
          </w:tcPr>
          <w:p w:rsidR="00915791" w:rsidRPr="009B0AEB" w:rsidRDefault="00915791" w:rsidP="00E95960">
            <w:pPr>
              <w:pStyle w:val="TableBodyText"/>
              <w:rPr>
                <w:sz w:val="18"/>
                <w:szCs w:val="18"/>
              </w:rPr>
            </w:pPr>
            <w:r w:rsidRPr="009B0AEB">
              <w:rPr>
                <w:sz w:val="18"/>
                <w:szCs w:val="18"/>
              </w:rPr>
              <w:t>-51.0</w:t>
            </w:r>
          </w:p>
        </w:tc>
        <w:tc>
          <w:tcPr>
            <w:tcW w:w="605" w:type="pct"/>
            <w:shd w:val="clear" w:color="auto" w:fill="B4C98B"/>
            <w:vAlign w:val="center"/>
          </w:tcPr>
          <w:p w:rsidR="00915791" w:rsidRPr="009B0AEB" w:rsidRDefault="00915791" w:rsidP="00E95960">
            <w:pPr>
              <w:pStyle w:val="TableBodyText"/>
              <w:rPr>
                <w:sz w:val="18"/>
                <w:szCs w:val="18"/>
              </w:rPr>
            </w:pPr>
            <w:r w:rsidRPr="009B0AEB">
              <w:rPr>
                <w:sz w:val="18"/>
                <w:szCs w:val="18"/>
              </w:rPr>
              <w:t>158.4</w:t>
            </w:r>
          </w:p>
        </w:tc>
        <w:tc>
          <w:tcPr>
            <w:tcW w:w="587" w:type="pct"/>
          </w:tcPr>
          <w:p w:rsidR="00915791" w:rsidRPr="00915791" w:rsidRDefault="00915791" w:rsidP="00097DF9">
            <w:pPr>
              <w:pStyle w:val="TableBodyText"/>
              <w:rPr>
                <w:sz w:val="18"/>
                <w:szCs w:val="18"/>
              </w:rPr>
            </w:pPr>
            <w:r w:rsidRPr="00915791">
              <w:rPr>
                <w:sz w:val="18"/>
                <w:szCs w:val="18"/>
              </w:rPr>
              <w:t>35.6</w:t>
            </w:r>
          </w:p>
        </w:tc>
        <w:tc>
          <w:tcPr>
            <w:tcW w:w="540" w:type="pct"/>
          </w:tcPr>
          <w:p w:rsidR="00915791" w:rsidRPr="00915791" w:rsidRDefault="00915791" w:rsidP="00097DF9">
            <w:pPr>
              <w:pStyle w:val="TableBodyText"/>
              <w:rPr>
                <w:sz w:val="18"/>
                <w:szCs w:val="18"/>
              </w:rPr>
            </w:pPr>
            <w:r w:rsidRPr="00915791">
              <w:rPr>
                <w:sz w:val="18"/>
                <w:szCs w:val="18"/>
              </w:rPr>
              <w:t>4.3</w:t>
            </w:r>
          </w:p>
        </w:tc>
        <w:tc>
          <w:tcPr>
            <w:tcW w:w="557" w:type="pct"/>
            <w:shd w:val="clear" w:color="auto" w:fill="B4C98B"/>
          </w:tcPr>
          <w:p w:rsidR="00915791" w:rsidRPr="00915791" w:rsidRDefault="00915791" w:rsidP="00097DF9">
            <w:pPr>
              <w:pStyle w:val="TableBodyText"/>
              <w:rPr>
                <w:sz w:val="18"/>
                <w:szCs w:val="18"/>
              </w:rPr>
            </w:pPr>
            <w:r w:rsidRPr="00915791">
              <w:rPr>
                <w:sz w:val="18"/>
                <w:szCs w:val="18"/>
              </w:rPr>
              <w:t>198.3</w:t>
            </w:r>
          </w:p>
        </w:tc>
      </w:tr>
      <w:tr w:rsidR="00915791" w:rsidRPr="009B0AEB" w:rsidTr="004F78AB">
        <w:tc>
          <w:tcPr>
            <w:tcW w:w="1613" w:type="pct"/>
            <w:vAlign w:val="center"/>
          </w:tcPr>
          <w:p w:rsidR="00915791" w:rsidRPr="009B0AEB" w:rsidRDefault="00915791" w:rsidP="00E95960">
            <w:pPr>
              <w:pStyle w:val="TableBodyText"/>
              <w:jc w:val="left"/>
              <w:rPr>
                <w:sz w:val="18"/>
                <w:szCs w:val="18"/>
              </w:rPr>
            </w:pPr>
            <w:r w:rsidRPr="009B0AEB">
              <w:rPr>
                <w:sz w:val="18"/>
                <w:szCs w:val="18"/>
              </w:rPr>
              <w:t>Unallocated manufacturing</w:t>
            </w:r>
          </w:p>
        </w:tc>
        <w:tc>
          <w:tcPr>
            <w:tcW w:w="547" w:type="pct"/>
            <w:vAlign w:val="center"/>
          </w:tcPr>
          <w:p w:rsidR="00915791" w:rsidRPr="009B0AEB" w:rsidRDefault="00915791" w:rsidP="00E95960">
            <w:pPr>
              <w:pStyle w:val="TableBodyText"/>
              <w:rPr>
                <w:sz w:val="18"/>
                <w:szCs w:val="18"/>
              </w:rPr>
            </w:pPr>
            <w:r w:rsidRPr="009B0AEB">
              <w:rPr>
                <w:sz w:val="18"/>
                <w:szCs w:val="18"/>
              </w:rPr>
              <w:t>–</w:t>
            </w:r>
          </w:p>
        </w:tc>
        <w:tc>
          <w:tcPr>
            <w:tcW w:w="550" w:type="pct"/>
            <w:vAlign w:val="center"/>
          </w:tcPr>
          <w:p w:rsidR="00915791" w:rsidRPr="009B0AEB" w:rsidRDefault="00915791" w:rsidP="00E95960">
            <w:pPr>
              <w:pStyle w:val="TableBodyText"/>
              <w:rPr>
                <w:sz w:val="18"/>
                <w:szCs w:val="18"/>
              </w:rPr>
            </w:pPr>
            <w:r w:rsidRPr="009B0AEB">
              <w:rPr>
                <w:sz w:val="18"/>
                <w:szCs w:val="18"/>
              </w:rPr>
              <w:t>–</w:t>
            </w:r>
          </w:p>
        </w:tc>
        <w:tc>
          <w:tcPr>
            <w:tcW w:w="605" w:type="pct"/>
            <w:shd w:val="clear" w:color="auto" w:fill="B4C98B"/>
            <w:vAlign w:val="center"/>
          </w:tcPr>
          <w:p w:rsidR="00915791" w:rsidRPr="009B0AEB" w:rsidRDefault="00915791" w:rsidP="00E95960">
            <w:pPr>
              <w:pStyle w:val="TableBodyText"/>
              <w:rPr>
                <w:sz w:val="18"/>
                <w:szCs w:val="18"/>
              </w:rPr>
            </w:pPr>
            <w:r w:rsidRPr="009B0AEB">
              <w:rPr>
                <w:sz w:val="18"/>
                <w:szCs w:val="18"/>
              </w:rPr>
              <w:t>–</w:t>
            </w:r>
          </w:p>
        </w:tc>
        <w:tc>
          <w:tcPr>
            <w:tcW w:w="587" w:type="pct"/>
          </w:tcPr>
          <w:p w:rsidR="00915791" w:rsidRPr="00915791" w:rsidRDefault="00915791" w:rsidP="00097DF9">
            <w:pPr>
              <w:pStyle w:val="TableBodyText"/>
              <w:rPr>
                <w:sz w:val="18"/>
                <w:szCs w:val="18"/>
              </w:rPr>
            </w:pPr>
            <w:r w:rsidRPr="00915791">
              <w:rPr>
                <w:sz w:val="18"/>
                <w:szCs w:val="18"/>
              </w:rPr>
              <w:t>93.1</w:t>
            </w:r>
          </w:p>
        </w:tc>
        <w:tc>
          <w:tcPr>
            <w:tcW w:w="540" w:type="pct"/>
          </w:tcPr>
          <w:p w:rsidR="00915791" w:rsidRPr="00915791" w:rsidRDefault="00915791" w:rsidP="00097DF9">
            <w:pPr>
              <w:pStyle w:val="TableBodyText"/>
              <w:rPr>
                <w:sz w:val="18"/>
                <w:szCs w:val="18"/>
              </w:rPr>
            </w:pPr>
            <w:r w:rsidRPr="00915791">
              <w:rPr>
                <w:sz w:val="18"/>
                <w:szCs w:val="18"/>
              </w:rPr>
              <w:t>73.9</w:t>
            </w:r>
          </w:p>
        </w:tc>
        <w:tc>
          <w:tcPr>
            <w:tcW w:w="557" w:type="pct"/>
            <w:shd w:val="clear" w:color="auto" w:fill="B4C98B"/>
          </w:tcPr>
          <w:p w:rsidR="00915791" w:rsidRPr="00915791" w:rsidRDefault="00915791" w:rsidP="00097DF9">
            <w:pPr>
              <w:pStyle w:val="TableBodyText"/>
              <w:rPr>
                <w:sz w:val="18"/>
                <w:szCs w:val="18"/>
              </w:rPr>
            </w:pPr>
            <w:r w:rsidRPr="00915791">
              <w:rPr>
                <w:sz w:val="18"/>
                <w:szCs w:val="18"/>
              </w:rPr>
              <w:t>167.0</w:t>
            </w:r>
          </w:p>
        </w:tc>
      </w:tr>
      <w:tr w:rsidR="00915791" w:rsidRPr="009B0AEB" w:rsidTr="004F78AB">
        <w:tc>
          <w:tcPr>
            <w:tcW w:w="1613" w:type="pct"/>
            <w:vAlign w:val="center"/>
          </w:tcPr>
          <w:p w:rsidR="00915791" w:rsidRPr="009B0AEB" w:rsidRDefault="00915791" w:rsidP="00E95960">
            <w:pPr>
              <w:pStyle w:val="TableBodyText"/>
              <w:jc w:val="left"/>
              <w:rPr>
                <w:b/>
                <w:sz w:val="18"/>
                <w:szCs w:val="18"/>
              </w:rPr>
            </w:pPr>
            <w:r w:rsidRPr="009B0AEB">
              <w:rPr>
                <w:b/>
                <w:sz w:val="18"/>
                <w:szCs w:val="18"/>
              </w:rPr>
              <w:t>Services</w:t>
            </w:r>
          </w:p>
        </w:tc>
        <w:tc>
          <w:tcPr>
            <w:tcW w:w="547" w:type="pct"/>
            <w:vAlign w:val="center"/>
          </w:tcPr>
          <w:p w:rsidR="00915791" w:rsidRPr="009B0AEB" w:rsidRDefault="00915791" w:rsidP="00E95960">
            <w:pPr>
              <w:pStyle w:val="TableBodyText"/>
              <w:rPr>
                <w:b/>
                <w:bCs/>
                <w:sz w:val="18"/>
                <w:szCs w:val="18"/>
              </w:rPr>
            </w:pPr>
            <w:r w:rsidRPr="009B0AEB">
              <w:rPr>
                <w:b/>
                <w:bCs/>
                <w:sz w:val="18"/>
                <w:szCs w:val="18"/>
              </w:rPr>
              <w:t>0.0</w:t>
            </w:r>
          </w:p>
        </w:tc>
        <w:tc>
          <w:tcPr>
            <w:tcW w:w="550" w:type="pct"/>
            <w:vAlign w:val="center"/>
          </w:tcPr>
          <w:p w:rsidR="00915791" w:rsidRPr="009B0AEB" w:rsidRDefault="00915791" w:rsidP="00E95960">
            <w:pPr>
              <w:pStyle w:val="TableBodyText"/>
              <w:rPr>
                <w:b/>
                <w:bCs/>
                <w:sz w:val="18"/>
                <w:szCs w:val="18"/>
              </w:rPr>
            </w:pPr>
            <w:r w:rsidRPr="009B0AEB">
              <w:rPr>
                <w:b/>
                <w:bCs/>
                <w:sz w:val="18"/>
                <w:szCs w:val="18"/>
              </w:rPr>
              <w:t>-4735.5</w:t>
            </w:r>
          </w:p>
        </w:tc>
        <w:tc>
          <w:tcPr>
            <w:tcW w:w="605" w:type="pct"/>
            <w:shd w:val="clear" w:color="auto" w:fill="B4C98B"/>
            <w:vAlign w:val="center"/>
          </w:tcPr>
          <w:p w:rsidR="00915791" w:rsidRPr="009B0AEB" w:rsidRDefault="00915791" w:rsidP="00E95960">
            <w:pPr>
              <w:pStyle w:val="TableBodyText"/>
              <w:rPr>
                <w:b/>
                <w:sz w:val="18"/>
                <w:szCs w:val="18"/>
              </w:rPr>
            </w:pPr>
            <w:r w:rsidRPr="009B0AEB">
              <w:rPr>
                <w:b/>
                <w:sz w:val="18"/>
                <w:szCs w:val="18"/>
              </w:rPr>
              <w:t>-4735.5</w:t>
            </w:r>
          </w:p>
        </w:tc>
        <w:tc>
          <w:tcPr>
            <w:tcW w:w="587" w:type="pct"/>
          </w:tcPr>
          <w:p w:rsidR="00915791" w:rsidRPr="00915791" w:rsidRDefault="00915791" w:rsidP="00E95960">
            <w:pPr>
              <w:pStyle w:val="TableUnitsRow"/>
              <w:spacing w:before="0" w:after="40"/>
              <w:rPr>
                <w:b/>
                <w:bCs/>
                <w:sz w:val="18"/>
                <w:szCs w:val="18"/>
              </w:rPr>
            </w:pPr>
            <w:r w:rsidRPr="00915791">
              <w:rPr>
                <w:b/>
                <w:sz w:val="18"/>
                <w:szCs w:val="18"/>
              </w:rPr>
              <w:t>1597.2</w:t>
            </w:r>
          </w:p>
        </w:tc>
        <w:tc>
          <w:tcPr>
            <w:tcW w:w="540" w:type="pct"/>
          </w:tcPr>
          <w:p w:rsidR="00915791" w:rsidRPr="00915791" w:rsidRDefault="00915791" w:rsidP="00E95960">
            <w:pPr>
              <w:pStyle w:val="TableUnitsRow"/>
              <w:spacing w:before="0" w:after="40"/>
              <w:rPr>
                <w:b/>
                <w:bCs/>
                <w:sz w:val="18"/>
                <w:szCs w:val="18"/>
              </w:rPr>
            </w:pPr>
            <w:r w:rsidRPr="00915791">
              <w:rPr>
                <w:b/>
                <w:sz w:val="18"/>
                <w:szCs w:val="18"/>
              </w:rPr>
              <w:t>1729.5</w:t>
            </w:r>
          </w:p>
        </w:tc>
        <w:tc>
          <w:tcPr>
            <w:tcW w:w="557" w:type="pct"/>
            <w:shd w:val="clear" w:color="auto" w:fill="B4C98B"/>
          </w:tcPr>
          <w:p w:rsidR="00915791" w:rsidRPr="00915791" w:rsidRDefault="00915791" w:rsidP="00E95960">
            <w:pPr>
              <w:pStyle w:val="TableUnitsRow"/>
              <w:spacing w:before="0" w:after="40"/>
              <w:rPr>
                <w:b/>
                <w:sz w:val="18"/>
                <w:szCs w:val="18"/>
              </w:rPr>
            </w:pPr>
            <w:r w:rsidRPr="00915791">
              <w:rPr>
                <w:b/>
                <w:sz w:val="18"/>
                <w:szCs w:val="18"/>
              </w:rPr>
              <w:t>-1408.8</w:t>
            </w:r>
          </w:p>
        </w:tc>
      </w:tr>
      <w:tr w:rsidR="00915791" w:rsidRPr="009B0AEB" w:rsidTr="004F78AB">
        <w:tc>
          <w:tcPr>
            <w:tcW w:w="1613" w:type="pct"/>
            <w:vAlign w:val="center"/>
          </w:tcPr>
          <w:p w:rsidR="00915791" w:rsidRPr="009B0AEB" w:rsidRDefault="00915791" w:rsidP="00E95960">
            <w:pPr>
              <w:pStyle w:val="TableBodyText"/>
              <w:jc w:val="left"/>
              <w:rPr>
                <w:sz w:val="18"/>
                <w:szCs w:val="18"/>
              </w:rPr>
            </w:pPr>
            <w:r w:rsidRPr="009B0AEB">
              <w:rPr>
                <w:sz w:val="18"/>
                <w:szCs w:val="18"/>
              </w:rPr>
              <w:t>Electricity, gas, water and waste</w:t>
            </w:r>
          </w:p>
        </w:tc>
        <w:tc>
          <w:tcPr>
            <w:tcW w:w="547" w:type="pct"/>
            <w:vAlign w:val="center"/>
          </w:tcPr>
          <w:p w:rsidR="00915791" w:rsidRPr="009B0AEB" w:rsidRDefault="00915791" w:rsidP="00E95960">
            <w:pPr>
              <w:pStyle w:val="TableBodyText"/>
              <w:rPr>
                <w:sz w:val="18"/>
                <w:szCs w:val="18"/>
              </w:rPr>
            </w:pPr>
            <w:r w:rsidRPr="009B0AEB">
              <w:rPr>
                <w:sz w:val="18"/>
                <w:szCs w:val="18"/>
              </w:rPr>
              <w:t>–</w:t>
            </w:r>
          </w:p>
        </w:tc>
        <w:tc>
          <w:tcPr>
            <w:tcW w:w="550" w:type="pct"/>
            <w:vAlign w:val="center"/>
          </w:tcPr>
          <w:p w:rsidR="00915791" w:rsidRPr="009B0AEB" w:rsidRDefault="00915791" w:rsidP="00E95960">
            <w:pPr>
              <w:pStyle w:val="TableBodyText"/>
              <w:rPr>
                <w:sz w:val="18"/>
                <w:szCs w:val="18"/>
              </w:rPr>
            </w:pPr>
            <w:r w:rsidRPr="009B0AEB">
              <w:rPr>
                <w:sz w:val="18"/>
                <w:szCs w:val="18"/>
              </w:rPr>
              <w:t>-97.1</w:t>
            </w:r>
          </w:p>
        </w:tc>
        <w:tc>
          <w:tcPr>
            <w:tcW w:w="605" w:type="pct"/>
            <w:shd w:val="clear" w:color="auto" w:fill="B4C98B"/>
            <w:vAlign w:val="center"/>
          </w:tcPr>
          <w:p w:rsidR="00915791" w:rsidRPr="009B0AEB" w:rsidRDefault="00915791" w:rsidP="00E95960">
            <w:pPr>
              <w:pStyle w:val="TableBodyText"/>
              <w:rPr>
                <w:sz w:val="18"/>
                <w:szCs w:val="18"/>
              </w:rPr>
            </w:pPr>
            <w:r w:rsidRPr="009B0AEB">
              <w:rPr>
                <w:sz w:val="18"/>
                <w:szCs w:val="18"/>
              </w:rPr>
              <w:t>-97.1</w:t>
            </w:r>
          </w:p>
        </w:tc>
        <w:tc>
          <w:tcPr>
            <w:tcW w:w="587" w:type="pct"/>
          </w:tcPr>
          <w:p w:rsidR="00915791" w:rsidRPr="00915791" w:rsidRDefault="00915791" w:rsidP="00097DF9">
            <w:pPr>
              <w:pStyle w:val="TableBodyText"/>
              <w:rPr>
                <w:sz w:val="18"/>
                <w:szCs w:val="18"/>
              </w:rPr>
            </w:pPr>
            <w:r w:rsidRPr="00915791">
              <w:rPr>
                <w:sz w:val="18"/>
                <w:szCs w:val="18"/>
              </w:rPr>
              <w:t>116.2</w:t>
            </w:r>
          </w:p>
        </w:tc>
        <w:tc>
          <w:tcPr>
            <w:tcW w:w="540" w:type="pct"/>
          </w:tcPr>
          <w:p w:rsidR="00915791" w:rsidRPr="00915791" w:rsidRDefault="00915791" w:rsidP="00097DF9">
            <w:pPr>
              <w:pStyle w:val="TableBodyText"/>
              <w:rPr>
                <w:sz w:val="18"/>
                <w:szCs w:val="18"/>
              </w:rPr>
            </w:pPr>
            <w:r w:rsidRPr="00915791">
              <w:rPr>
                <w:sz w:val="18"/>
                <w:szCs w:val="18"/>
              </w:rPr>
              <w:t>13.4</w:t>
            </w:r>
          </w:p>
        </w:tc>
        <w:tc>
          <w:tcPr>
            <w:tcW w:w="557" w:type="pct"/>
            <w:shd w:val="clear" w:color="auto" w:fill="B4C98B"/>
          </w:tcPr>
          <w:p w:rsidR="00915791" w:rsidRPr="00915791" w:rsidRDefault="00915791" w:rsidP="00097DF9">
            <w:pPr>
              <w:pStyle w:val="TableBodyText"/>
              <w:rPr>
                <w:sz w:val="18"/>
                <w:szCs w:val="18"/>
              </w:rPr>
            </w:pPr>
            <w:r w:rsidRPr="00915791">
              <w:rPr>
                <w:sz w:val="18"/>
                <w:szCs w:val="18"/>
              </w:rPr>
              <w:t>32.4</w:t>
            </w:r>
          </w:p>
        </w:tc>
      </w:tr>
      <w:tr w:rsidR="00915791" w:rsidRPr="009B0AEB" w:rsidTr="004F78AB">
        <w:tc>
          <w:tcPr>
            <w:tcW w:w="1613" w:type="pct"/>
            <w:vAlign w:val="center"/>
          </w:tcPr>
          <w:p w:rsidR="00915791" w:rsidRPr="009B0AEB" w:rsidRDefault="00915791" w:rsidP="00E95960">
            <w:pPr>
              <w:pStyle w:val="TableBodyText"/>
              <w:jc w:val="left"/>
              <w:rPr>
                <w:sz w:val="18"/>
                <w:szCs w:val="18"/>
              </w:rPr>
            </w:pPr>
            <w:r w:rsidRPr="009B0AEB">
              <w:rPr>
                <w:sz w:val="18"/>
                <w:szCs w:val="18"/>
              </w:rPr>
              <w:t>Construction</w:t>
            </w:r>
          </w:p>
        </w:tc>
        <w:tc>
          <w:tcPr>
            <w:tcW w:w="547" w:type="pct"/>
            <w:vAlign w:val="center"/>
          </w:tcPr>
          <w:p w:rsidR="00915791" w:rsidRPr="009B0AEB" w:rsidRDefault="00915791" w:rsidP="00E95960">
            <w:pPr>
              <w:pStyle w:val="TableBodyText"/>
              <w:rPr>
                <w:sz w:val="18"/>
                <w:szCs w:val="18"/>
              </w:rPr>
            </w:pPr>
            <w:r w:rsidRPr="009B0AEB">
              <w:rPr>
                <w:sz w:val="18"/>
                <w:szCs w:val="18"/>
              </w:rPr>
              <w:t>–</w:t>
            </w:r>
          </w:p>
        </w:tc>
        <w:tc>
          <w:tcPr>
            <w:tcW w:w="550" w:type="pct"/>
            <w:vAlign w:val="center"/>
          </w:tcPr>
          <w:p w:rsidR="00915791" w:rsidRPr="009B0AEB" w:rsidRDefault="00915791" w:rsidP="00E95960">
            <w:pPr>
              <w:pStyle w:val="TableBodyText"/>
              <w:rPr>
                <w:sz w:val="18"/>
                <w:szCs w:val="18"/>
              </w:rPr>
            </w:pPr>
            <w:r w:rsidRPr="009B0AEB">
              <w:rPr>
                <w:sz w:val="18"/>
                <w:szCs w:val="18"/>
              </w:rPr>
              <w:t>-1698.1</w:t>
            </w:r>
          </w:p>
        </w:tc>
        <w:tc>
          <w:tcPr>
            <w:tcW w:w="605" w:type="pct"/>
            <w:shd w:val="clear" w:color="auto" w:fill="B4C98B"/>
            <w:vAlign w:val="center"/>
          </w:tcPr>
          <w:p w:rsidR="00915791" w:rsidRPr="009B0AEB" w:rsidRDefault="00915791" w:rsidP="00E95960">
            <w:pPr>
              <w:pStyle w:val="TableBodyText"/>
              <w:rPr>
                <w:sz w:val="18"/>
                <w:szCs w:val="18"/>
              </w:rPr>
            </w:pPr>
            <w:r w:rsidRPr="009B0AEB">
              <w:rPr>
                <w:sz w:val="18"/>
                <w:szCs w:val="18"/>
              </w:rPr>
              <w:t>-1698.1</w:t>
            </w:r>
          </w:p>
        </w:tc>
        <w:tc>
          <w:tcPr>
            <w:tcW w:w="587" w:type="pct"/>
          </w:tcPr>
          <w:p w:rsidR="00915791" w:rsidRPr="00915791" w:rsidRDefault="00915791" w:rsidP="00097DF9">
            <w:pPr>
              <w:pStyle w:val="TableBodyText"/>
              <w:rPr>
                <w:sz w:val="18"/>
                <w:szCs w:val="18"/>
              </w:rPr>
            </w:pPr>
            <w:r w:rsidRPr="00915791">
              <w:rPr>
                <w:sz w:val="18"/>
                <w:szCs w:val="18"/>
              </w:rPr>
              <w:t>67.1</w:t>
            </w:r>
          </w:p>
        </w:tc>
        <w:tc>
          <w:tcPr>
            <w:tcW w:w="540" w:type="pct"/>
          </w:tcPr>
          <w:p w:rsidR="00915791" w:rsidRPr="00915791" w:rsidRDefault="00915791" w:rsidP="00097DF9">
            <w:pPr>
              <w:pStyle w:val="TableBodyText"/>
              <w:rPr>
                <w:sz w:val="18"/>
                <w:szCs w:val="18"/>
              </w:rPr>
            </w:pPr>
            <w:r w:rsidRPr="00915791">
              <w:rPr>
                <w:sz w:val="18"/>
                <w:szCs w:val="18"/>
              </w:rPr>
              <w:t>101.4</w:t>
            </w:r>
          </w:p>
        </w:tc>
        <w:tc>
          <w:tcPr>
            <w:tcW w:w="557" w:type="pct"/>
            <w:shd w:val="clear" w:color="auto" w:fill="B4C98B"/>
          </w:tcPr>
          <w:p w:rsidR="00915791" w:rsidRPr="00915791" w:rsidRDefault="00915791" w:rsidP="00097DF9">
            <w:pPr>
              <w:pStyle w:val="TableBodyText"/>
              <w:rPr>
                <w:sz w:val="18"/>
                <w:szCs w:val="18"/>
              </w:rPr>
            </w:pPr>
            <w:r w:rsidRPr="00915791">
              <w:rPr>
                <w:sz w:val="18"/>
                <w:szCs w:val="18"/>
              </w:rPr>
              <w:t>-1529.6</w:t>
            </w:r>
          </w:p>
        </w:tc>
      </w:tr>
      <w:tr w:rsidR="00915791" w:rsidRPr="009B0AEB" w:rsidTr="004F78AB">
        <w:tc>
          <w:tcPr>
            <w:tcW w:w="1613" w:type="pct"/>
            <w:vAlign w:val="center"/>
          </w:tcPr>
          <w:p w:rsidR="00915791" w:rsidRPr="009B0AEB" w:rsidRDefault="00915791" w:rsidP="00E95960">
            <w:pPr>
              <w:pStyle w:val="TableBodyText"/>
              <w:jc w:val="left"/>
              <w:rPr>
                <w:sz w:val="18"/>
                <w:szCs w:val="18"/>
              </w:rPr>
            </w:pPr>
            <w:r w:rsidRPr="009B0AEB">
              <w:rPr>
                <w:sz w:val="18"/>
                <w:szCs w:val="18"/>
              </w:rPr>
              <w:t>Wholesale trade</w:t>
            </w:r>
          </w:p>
        </w:tc>
        <w:tc>
          <w:tcPr>
            <w:tcW w:w="547" w:type="pct"/>
            <w:vAlign w:val="center"/>
          </w:tcPr>
          <w:p w:rsidR="00915791" w:rsidRPr="009B0AEB" w:rsidRDefault="00915791" w:rsidP="00E95960">
            <w:pPr>
              <w:pStyle w:val="TableBodyText"/>
              <w:rPr>
                <w:sz w:val="18"/>
                <w:szCs w:val="18"/>
              </w:rPr>
            </w:pPr>
            <w:r w:rsidRPr="009B0AEB">
              <w:rPr>
                <w:sz w:val="18"/>
                <w:szCs w:val="18"/>
              </w:rPr>
              <w:t>–</w:t>
            </w:r>
          </w:p>
        </w:tc>
        <w:tc>
          <w:tcPr>
            <w:tcW w:w="550" w:type="pct"/>
            <w:vAlign w:val="center"/>
          </w:tcPr>
          <w:p w:rsidR="00915791" w:rsidRPr="009B0AEB" w:rsidRDefault="00915791" w:rsidP="00E95960">
            <w:pPr>
              <w:pStyle w:val="TableBodyText"/>
              <w:rPr>
                <w:sz w:val="18"/>
                <w:szCs w:val="18"/>
              </w:rPr>
            </w:pPr>
            <w:r w:rsidRPr="009B0AEB">
              <w:rPr>
                <w:sz w:val="18"/>
                <w:szCs w:val="18"/>
              </w:rPr>
              <w:t>-259.8</w:t>
            </w:r>
          </w:p>
        </w:tc>
        <w:tc>
          <w:tcPr>
            <w:tcW w:w="605" w:type="pct"/>
            <w:shd w:val="clear" w:color="auto" w:fill="B4C98B"/>
            <w:vAlign w:val="center"/>
          </w:tcPr>
          <w:p w:rsidR="00915791" w:rsidRPr="009B0AEB" w:rsidRDefault="00915791" w:rsidP="00E95960">
            <w:pPr>
              <w:pStyle w:val="TableBodyText"/>
              <w:rPr>
                <w:sz w:val="18"/>
                <w:szCs w:val="18"/>
              </w:rPr>
            </w:pPr>
            <w:r w:rsidRPr="009B0AEB">
              <w:rPr>
                <w:sz w:val="18"/>
                <w:szCs w:val="18"/>
              </w:rPr>
              <w:t>-259.8</w:t>
            </w:r>
          </w:p>
        </w:tc>
        <w:tc>
          <w:tcPr>
            <w:tcW w:w="587" w:type="pct"/>
          </w:tcPr>
          <w:p w:rsidR="00915791" w:rsidRPr="00915791" w:rsidRDefault="00915791" w:rsidP="00097DF9">
            <w:pPr>
              <w:pStyle w:val="TableBodyText"/>
              <w:rPr>
                <w:sz w:val="18"/>
                <w:szCs w:val="18"/>
              </w:rPr>
            </w:pPr>
            <w:r w:rsidRPr="00915791">
              <w:rPr>
                <w:sz w:val="18"/>
                <w:szCs w:val="18"/>
              </w:rPr>
              <w:t>122.2</w:t>
            </w:r>
          </w:p>
        </w:tc>
        <w:tc>
          <w:tcPr>
            <w:tcW w:w="540" w:type="pct"/>
          </w:tcPr>
          <w:p w:rsidR="00915791" w:rsidRPr="00915791" w:rsidRDefault="00915791" w:rsidP="00097DF9">
            <w:pPr>
              <w:pStyle w:val="TableBodyText"/>
              <w:rPr>
                <w:sz w:val="18"/>
                <w:szCs w:val="18"/>
              </w:rPr>
            </w:pPr>
            <w:r w:rsidRPr="00915791">
              <w:rPr>
                <w:sz w:val="18"/>
                <w:szCs w:val="18"/>
              </w:rPr>
              <w:t>77.5</w:t>
            </w:r>
          </w:p>
        </w:tc>
        <w:tc>
          <w:tcPr>
            <w:tcW w:w="557" w:type="pct"/>
            <w:shd w:val="clear" w:color="auto" w:fill="B4C98B"/>
          </w:tcPr>
          <w:p w:rsidR="00915791" w:rsidRPr="00915791" w:rsidRDefault="00915791" w:rsidP="00097DF9">
            <w:pPr>
              <w:pStyle w:val="TableBodyText"/>
              <w:rPr>
                <w:sz w:val="18"/>
                <w:szCs w:val="18"/>
              </w:rPr>
            </w:pPr>
            <w:r w:rsidRPr="00915791">
              <w:rPr>
                <w:sz w:val="18"/>
                <w:szCs w:val="18"/>
              </w:rPr>
              <w:t>-60.0</w:t>
            </w:r>
          </w:p>
        </w:tc>
      </w:tr>
      <w:tr w:rsidR="00915791" w:rsidRPr="009B0AEB" w:rsidTr="004F78AB">
        <w:tc>
          <w:tcPr>
            <w:tcW w:w="1613" w:type="pct"/>
            <w:vAlign w:val="center"/>
          </w:tcPr>
          <w:p w:rsidR="00915791" w:rsidRPr="009B0AEB" w:rsidRDefault="00915791" w:rsidP="00E95960">
            <w:pPr>
              <w:pStyle w:val="TableBodyText"/>
              <w:jc w:val="left"/>
              <w:rPr>
                <w:sz w:val="18"/>
                <w:szCs w:val="18"/>
              </w:rPr>
            </w:pPr>
            <w:r w:rsidRPr="009B0AEB">
              <w:rPr>
                <w:sz w:val="18"/>
                <w:szCs w:val="18"/>
              </w:rPr>
              <w:t>Retail trade</w:t>
            </w:r>
          </w:p>
        </w:tc>
        <w:tc>
          <w:tcPr>
            <w:tcW w:w="547" w:type="pct"/>
            <w:vAlign w:val="center"/>
          </w:tcPr>
          <w:p w:rsidR="00915791" w:rsidRPr="009B0AEB" w:rsidRDefault="00915791" w:rsidP="00E95960">
            <w:pPr>
              <w:pStyle w:val="TableBodyText"/>
              <w:rPr>
                <w:sz w:val="18"/>
                <w:szCs w:val="18"/>
              </w:rPr>
            </w:pPr>
            <w:r w:rsidRPr="009B0AEB">
              <w:rPr>
                <w:sz w:val="18"/>
                <w:szCs w:val="18"/>
              </w:rPr>
              <w:t>–</w:t>
            </w:r>
          </w:p>
        </w:tc>
        <w:tc>
          <w:tcPr>
            <w:tcW w:w="550" w:type="pct"/>
            <w:vAlign w:val="center"/>
          </w:tcPr>
          <w:p w:rsidR="00915791" w:rsidRPr="009B0AEB" w:rsidRDefault="00915791" w:rsidP="00E95960">
            <w:pPr>
              <w:pStyle w:val="TableBodyText"/>
              <w:rPr>
                <w:sz w:val="18"/>
                <w:szCs w:val="18"/>
              </w:rPr>
            </w:pPr>
            <w:r w:rsidRPr="009B0AEB">
              <w:rPr>
                <w:sz w:val="18"/>
                <w:szCs w:val="18"/>
              </w:rPr>
              <w:t>-188.0</w:t>
            </w:r>
          </w:p>
        </w:tc>
        <w:tc>
          <w:tcPr>
            <w:tcW w:w="605" w:type="pct"/>
            <w:shd w:val="clear" w:color="auto" w:fill="B4C98B"/>
            <w:vAlign w:val="center"/>
          </w:tcPr>
          <w:p w:rsidR="00915791" w:rsidRPr="009B0AEB" w:rsidRDefault="00915791" w:rsidP="00E95960">
            <w:pPr>
              <w:pStyle w:val="TableBodyText"/>
              <w:rPr>
                <w:sz w:val="18"/>
                <w:szCs w:val="18"/>
              </w:rPr>
            </w:pPr>
            <w:r w:rsidRPr="009B0AEB">
              <w:rPr>
                <w:sz w:val="18"/>
                <w:szCs w:val="18"/>
              </w:rPr>
              <w:t>-188.0</w:t>
            </w:r>
          </w:p>
        </w:tc>
        <w:tc>
          <w:tcPr>
            <w:tcW w:w="587" w:type="pct"/>
          </w:tcPr>
          <w:p w:rsidR="00915791" w:rsidRPr="00915791" w:rsidRDefault="00915791" w:rsidP="00097DF9">
            <w:pPr>
              <w:pStyle w:val="TableBodyText"/>
              <w:rPr>
                <w:sz w:val="18"/>
                <w:szCs w:val="18"/>
              </w:rPr>
            </w:pPr>
            <w:r w:rsidRPr="00915791">
              <w:rPr>
                <w:sz w:val="18"/>
                <w:szCs w:val="18"/>
              </w:rPr>
              <w:t>57.5</w:t>
            </w:r>
          </w:p>
        </w:tc>
        <w:tc>
          <w:tcPr>
            <w:tcW w:w="540" w:type="pct"/>
          </w:tcPr>
          <w:p w:rsidR="00915791" w:rsidRPr="00915791" w:rsidRDefault="00915791" w:rsidP="00097DF9">
            <w:pPr>
              <w:pStyle w:val="TableBodyText"/>
              <w:rPr>
                <w:sz w:val="18"/>
                <w:szCs w:val="18"/>
              </w:rPr>
            </w:pPr>
            <w:r w:rsidRPr="00915791">
              <w:rPr>
                <w:sz w:val="18"/>
                <w:szCs w:val="18"/>
              </w:rPr>
              <w:t>69.3</w:t>
            </w:r>
          </w:p>
        </w:tc>
        <w:tc>
          <w:tcPr>
            <w:tcW w:w="557" w:type="pct"/>
            <w:shd w:val="clear" w:color="auto" w:fill="B4C98B"/>
          </w:tcPr>
          <w:p w:rsidR="00915791" w:rsidRPr="00915791" w:rsidRDefault="00915791" w:rsidP="00097DF9">
            <w:pPr>
              <w:pStyle w:val="TableBodyText"/>
              <w:rPr>
                <w:sz w:val="18"/>
                <w:szCs w:val="18"/>
              </w:rPr>
            </w:pPr>
            <w:r w:rsidRPr="00915791">
              <w:rPr>
                <w:sz w:val="18"/>
                <w:szCs w:val="18"/>
              </w:rPr>
              <w:t>-61.2</w:t>
            </w:r>
          </w:p>
        </w:tc>
      </w:tr>
      <w:tr w:rsidR="00915791" w:rsidRPr="009B0AEB" w:rsidTr="004F78AB">
        <w:tc>
          <w:tcPr>
            <w:tcW w:w="1613" w:type="pct"/>
            <w:vAlign w:val="center"/>
          </w:tcPr>
          <w:p w:rsidR="00915791" w:rsidRPr="009B0AEB" w:rsidRDefault="00915791" w:rsidP="00393911">
            <w:pPr>
              <w:pStyle w:val="TableBodyText"/>
              <w:jc w:val="left"/>
              <w:rPr>
                <w:sz w:val="18"/>
                <w:szCs w:val="18"/>
              </w:rPr>
            </w:pPr>
            <w:r w:rsidRPr="009B0AEB">
              <w:rPr>
                <w:sz w:val="18"/>
                <w:szCs w:val="18"/>
              </w:rPr>
              <w:t>Accommodation &amp; food services</w:t>
            </w:r>
          </w:p>
        </w:tc>
        <w:tc>
          <w:tcPr>
            <w:tcW w:w="547" w:type="pct"/>
            <w:vAlign w:val="center"/>
          </w:tcPr>
          <w:p w:rsidR="00915791" w:rsidRPr="009B0AEB" w:rsidRDefault="00915791" w:rsidP="00E95960">
            <w:pPr>
              <w:pStyle w:val="TableBodyText"/>
              <w:rPr>
                <w:sz w:val="18"/>
                <w:szCs w:val="18"/>
              </w:rPr>
            </w:pPr>
            <w:r w:rsidRPr="009B0AEB">
              <w:rPr>
                <w:sz w:val="18"/>
                <w:szCs w:val="18"/>
              </w:rPr>
              <w:t>–</w:t>
            </w:r>
          </w:p>
        </w:tc>
        <w:tc>
          <w:tcPr>
            <w:tcW w:w="550" w:type="pct"/>
            <w:vAlign w:val="center"/>
          </w:tcPr>
          <w:p w:rsidR="00915791" w:rsidRPr="009B0AEB" w:rsidRDefault="00915791" w:rsidP="00E95960">
            <w:pPr>
              <w:pStyle w:val="TableBodyText"/>
              <w:rPr>
                <w:sz w:val="18"/>
                <w:szCs w:val="18"/>
              </w:rPr>
            </w:pPr>
            <w:r w:rsidRPr="009B0AEB">
              <w:rPr>
                <w:sz w:val="18"/>
                <w:szCs w:val="18"/>
              </w:rPr>
              <w:t>-523.6</w:t>
            </w:r>
          </w:p>
        </w:tc>
        <w:tc>
          <w:tcPr>
            <w:tcW w:w="605" w:type="pct"/>
            <w:shd w:val="clear" w:color="auto" w:fill="B4C98B"/>
            <w:vAlign w:val="center"/>
          </w:tcPr>
          <w:p w:rsidR="00915791" w:rsidRPr="009B0AEB" w:rsidRDefault="00915791" w:rsidP="00E95960">
            <w:pPr>
              <w:pStyle w:val="TableBodyText"/>
              <w:rPr>
                <w:sz w:val="18"/>
                <w:szCs w:val="18"/>
              </w:rPr>
            </w:pPr>
            <w:r w:rsidRPr="009B0AEB">
              <w:rPr>
                <w:sz w:val="18"/>
                <w:szCs w:val="18"/>
              </w:rPr>
              <w:t>-523.6</w:t>
            </w:r>
          </w:p>
        </w:tc>
        <w:tc>
          <w:tcPr>
            <w:tcW w:w="587" w:type="pct"/>
          </w:tcPr>
          <w:p w:rsidR="00915791" w:rsidRPr="00915791" w:rsidRDefault="00915791" w:rsidP="00097DF9">
            <w:pPr>
              <w:pStyle w:val="TableBodyText"/>
              <w:rPr>
                <w:sz w:val="18"/>
                <w:szCs w:val="18"/>
              </w:rPr>
            </w:pPr>
            <w:r w:rsidRPr="00915791">
              <w:rPr>
                <w:sz w:val="18"/>
                <w:szCs w:val="18"/>
              </w:rPr>
              <w:t>9.1</w:t>
            </w:r>
          </w:p>
        </w:tc>
        <w:tc>
          <w:tcPr>
            <w:tcW w:w="540" w:type="pct"/>
          </w:tcPr>
          <w:p w:rsidR="00915791" w:rsidRPr="00915791" w:rsidRDefault="00915791" w:rsidP="00097DF9">
            <w:pPr>
              <w:pStyle w:val="TableBodyText"/>
              <w:rPr>
                <w:sz w:val="18"/>
                <w:szCs w:val="18"/>
              </w:rPr>
            </w:pPr>
            <w:r w:rsidRPr="00915791">
              <w:rPr>
                <w:sz w:val="18"/>
                <w:szCs w:val="18"/>
              </w:rPr>
              <w:t>60.2</w:t>
            </w:r>
          </w:p>
        </w:tc>
        <w:tc>
          <w:tcPr>
            <w:tcW w:w="557" w:type="pct"/>
            <w:shd w:val="clear" w:color="auto" w:fill="B4C98B"/>
          </w:tcPr>
          <w:p w:rsidR="00915791" w:rsidRPr="00915791" w:rsidRDefault="00915791" w:rsidP="00097DF9">
            <w:pPr>
              <w:pStyle w:val="TableBodyText"/>
              <w:rPr>
                <w:sz w:val="18"/>
                <w:szCs w:val="18"/>
              </w:rPr>
            </w:pPr>
            <w:r w:rsidRPr="00915791">
              <w:rPr>
                <w:sz w:val="18"/>
                <w:szCs w:val="18"/>
              </w:rPr>
              <w:t>-454.3</w:t>
            </w:r>
          </w:p>
        </w:tc>
      </w:tr>
      <w:tr w:rsidR="00915791" w:rsidRPr="009B0AEB" w:rsidTr="004F78AB">
        <w:tc>
          <w:tcPr>
            <w:tcW w:w="1613" w:type="pct"/>
            <w:vAlign w:val="center"/>
          </w:tcPr>
          <w:p w:rsidR="00915791" w:rsidRPr="009B0AEB" w:rsidRDefault="00915791" w:rsidP="00E95960">
            <w:pPr>
              <w:pStyle w:val="TableBodyText"/>
              <w:jc w:val="left"/>
              <w:rPr>
                <w:sz w:val="18"/>
                <w:szCs w:val="18"/>
              </w:rPr>
            </w:pPr>
            <w:r w:rsidRPr="009B0AEB">
              <w:rPr>
                <w:sz w:val="18"/>
                <w:szCs w:val="18"/>
              </w:rPr>
              <w:t>Transport, postal &amp; warehousing</w:t>
            </w:r>
          </w:p>
        </w:tc>
        <w:tc>
          <w:tcPr>
            <w:tcW w:w="547" w:type="pct"/>
            <w:vAlign w:val="center"/>
          </w:tcPr>
          <w:p w:rsidR="00915791" w:rsidRPr="009B0AEB" w:rsidRDefault="00915791" w:rsidP="00E95960">
            <w:pPr>
              <w:pStyle w:val="TableBodyText"/>
              <w:rPr>
                <w:sz w:val="18"/>
                <w:szCs w:val="18"/>
              </w:rPr>
            </w:pPr>
            <w:r w:rsidRPr="009B0AEB">
              <w:rPr>
                <w:sz w:val="18"/>
                <w:szCs w:val="18"/>
              </w:rPr>
              <w:t>–</w:t>
            </w:r>
          </w:p>
        </w:tc>
        <w:tc>
          <w:tcPr>
            <w:tcW w:w="550" w:type="pct"/>
            <w:vAlign w:val="center"/>
          </w:tcPr>
          <w:p w:rsidR="00915791" w:rsidRPr="009B0AEB" w:rsidRDefault="00915791" w:rsidP="00E95960">
            <w:pPr>
              <w:pStyle w:val="TableBodyText"/>
              <w:rPr>
                <w:sz w:val="18"/>
                <w:szCs w:val="18"/>
              </w:rPr>
            </w:pPr>
            <w:r w:rsidRPr="009B0AEB">
              <w:rPr>
                <w:sz w:val="18"/>
                <w:szCs w:val="18"/>
              </w:rPr>
              <w:t>-211.8</w:t>
            </w:r>
          </w:p>
        </w:tc>
        <w:tc>
          <w:tcPr>
            <w:tcW w:w="605" w:type="pct"/>
            <w:shd w:val="clear" w:color="auto" w:fill="B4C98B"/>
            <w:vAlign w:val="center"/>
          </w:tcPr>
          <w:p w:rsidR="00915791" w:rsidRPr="009B0AEB" w:rsidRDefault="00915791" w:rsidP="00E95960">
            <w:pPr>
              <w:pStyle w:val="TableBodyText"/>
              <w:rPr>
                <w:sz w:val="18"/>
                <w:szCs w:val="18"/>
              </w:rPr>
            </w:pPr>
            <w:r w:rsidRPr="009B0AEB">
              <w:rPr>
                <w:sz w:val="18"/>
                <w:szCs w:val="18"/>
              </w:rPr>
              <w:t>-211.8</w:t>
            </w:r>
          </w:p>
        </w:tc>
        <w:tc>
          <w:tcPr>
            <w:tcW w:w="587" w:type="pct"/>
          </w:tcPr>
          <w:p w:rsidR="00915791" w:rsidRPr="00915791" w:rsidRDefault="00915791" w:rsidP="00097DF9">
            <w:pPr>
              <w:pStyle w:val="TableBodyText"/>
              <w:rPr>
                <w:sz w:val="18"/>
                <w:szCs w:val="18"/>
              </w:rPr>
            </w:pPr>
            <w:r w:rsidRPr="00915791">
              <w:rPr>
                <w:sz w:val="18"/>
                <w:szCs w:val="18"/>
              </w:rPr>
              <w:t>56.7</w:t>
            </w:r>
          </w:p>
        </w:tc>
        <w:tc>
          <w:tcPr>
            <w:tcW w:w="540" w:type="pct"/>
          </w:tcPr>
          <w:p w:rsidR="00915791" w:rsidRPr="00915791" w:rsidRDefault="00915791" w:rsidP="00097DF9">
            <w:pPr>
              <w:pStyle w:val="TableBodyText"/>
              <w:rPr>
                <w:sz w:val="18"/>
                <w:szCs w:val="18"/>
              </w:rPr>
            </w:pPr>
            <w:r w:rsidRPr="00915791">
              <w:rPr>
                <w:sz w:val="18"/>
                <w:szCs w:val="18"/>
              </w:rPr>
              <w:t>39.4</w:t>
            </w:r>
          </w:p>
        </w:tc>
        <w:tc>
          <w:tcPr>
            <w:tcW w:w="557" w:type="pct"/>
            <w:shd w:val="clear" w:color="auto" w:fill="B4C98B"/>
          </w:tcPr>
          <w:p w:rsidR="00915791" w:rsidRPr="00915791" w:rsidRDefault="00915791" w:rsidP="00097DF9">
            <w:pPr>
              <w:pStyle w:val="TableBodyText"/>
              <w:rPr>
                <w:sz w:val="18"/>
                <w:szCs w:val="18"/>
              </w:rPr>
            </w:pPr>
            <w:r w:rsidRPr="00915791">
              <w:rPr>
                <w:sz w:val="18"/>
                <w:szCs w:val="18"/>
              </w:rPr>
              <w:t>-115.7</w:t>
            </w:r>
          </w:p>
        </w:tc>
      </w:tr>
      <w:tr w:rsidR="00915791" w:rsidRPr="009B0AEB" w:rsidTr="004F78AB">
        <w:tc>
          <w:tcPr>
            <w:tcW w:w="1613" w:type="pct"/>
            <w:vAlign w:val="center"/>
          </w:tcPr>
          <w:p w:rsidR="00915791" w:rsidRPr="009B0AEB" w:rsidRDefault="00915791" w:rsidP="00E95960">
            <w:pPr>
              <w:pStyle w:val="TableBodyText"/>
              <w:jc w:val="left"/>
              <w:rPr>
                <w:sz w:val="18"/>
                <w:szCs w:val="18"/>
              </w:rPr>
            </w:pPr>
            <w:r w:rsidRPr="009B0AEB">
              <w:rPr>
                <w:sz w:val="18"/>
                <w:szCs w:val="18"/>
              </w:rPr>
              <w:t>Information &amp; telecommunications</w:t>
            </w:r>
          </w:p>
        </w:tc>
        <w:tc>
          <w:tcPr>
            <w:tcW w:w="547" w:type="pct"/>
            <w:vAlign w:val="center"/>
          </w:tcPr>
          <w:p w:rsidR="00915791" w:rsidRPr="009B0AEB" w:rsidRDefault="00915791" w:rsidP="00E95960">
            <w:pPr>
              <w:pStyle w:val="TableBodyText"/>
              <w:rPr>
                <w:sz w:val="18"/>
                <w:szCs w:val="18"/>
              </w:rPr>
            </w:pPr>
            <w:r w:rsidRPr="009B0AEB">
              <w:rPr>
                <w:sz w:val="18"/>
                <w:szCs w:val="18"/>
              </w:rPr>
              <w:t>–</w:t>
            </w:r>
          </w:p>
        </w:tc>
        <w:tc>
          <w:tcPr>
            <w:tcW w:w="550" w:type="pct"/>
            <w:vAlign w:val="center"/>
          </w:tcPr>
          <w:p w:rsidR="00915791" w:rsidRPr="009B0AEB" w:rsidRDefault="00915791" w:rsidP="00E95960">
            <w:pPr>
              <w:pStyle w:val="TableBodyText"/>
              <w:rPr>
                <w:sz w:val="18"/>
                <w:szCs w:val="18"/>
              </w:rPr>
            </w:pPr>
            <w:r w:rsidRPr="009B0AEB">
              <w:rPr>
                <w:sz w:val="18"/>
                <w:szCs w:val="18"/>
              </w:rPr>
              <w:t>-145.7</w:t>
            </w:r>
          </w:p>
        </w:tc>
        <w:tc>
          <w:tcPr>
            <w:tcW w:w="605" w:type="pct"/>
            <w:shd w:val="clear" w:color="auto" w:fill="B4C98B"/>
            <w:vAlign w:val="center"/>
          </w:tcPr>
          <w:p w:rsidR="00915791" w:rsidRPr="009B0AEB" w:rsidRDefault="00915791" w:rsidP="00E95960">
            <w:pPr>
              <w:pStyle w:val="TableBodyText"/>
              <w:rPr>
                <w:sz w:val="18"/>
                <w:szCs w:val="18"/>
              </w:rPr>
            </w:pPr>
            <w:r w:rsidRPr="009B0AEB">
              <w:rPr>
                <w:sz w:val="18"/>
                <w:szCs w:val="18"/>
              </w:rPr>
              <w:t>-145.7</w:t>
            </w:r>
          </w:p>
        </w:tc>
        <w:tc>
          <w:tcPr>
            <w:tcW w:w="587" w:type="pct"/>
          </w:tcPr>
          <w:p w:rsidR="00915791" w:rsidRPr="00915791" w:rsidRDefault="00915791" w:rsidP="00097DF9">
            <w:pPr>
              <w:pStyle w:val="TableBodyText"/>
              <w:rPr>
                <w:sz w:val="18"/>
                <w:szCs w:val="18"/>
              </w:rPr>
            </w:pPr>
            <w:r w:rsidRPr="00915791">
              <w:rPr>
                <w:sz w:val="18"/>
                <w:szCs w:val="18"/>
              </w:rPr>
              <w:t>171.6</w:t>
            </w:r>
          </w:p>
        </w:tc>
        <w:tc>
          <w:tcPr>
            <w:tcW w:w="540" w:type="pct"/>
          </w:tcPr>
          <w:p w:rsidR="00915791" w:rsidRPr="00915791" w:rsidRDefault="00915791" w:rsidP="00097DF9">
            <w:pPr>
              <w:pStyle w:val="TableBodyText"/>
              <w:rPr>
                <w:sz w:val="18"/>
                <w:szCs w:val="18"/>
              </w:rPr>
            </w:pPr>
            <w:r w:rsidRPr="00915791">
              <w:rPr>
                <w:sz w:val="18"/>
                <w:szCs w:val="18"/>
              </w:rPr>
              <w:t>186.1</w:t>
            </w:r>
          </w:p>
        </w:tc>
        <w:tc>
          <w:tcPr>
            <w:tcW w:w="557" w:type="pct"/>
            <w:shd w:val="clear" w:color="auto" w:fill="B4C98B"/>
          </w:tcPr>
          <w:p w:rsidR="00915791" w:rsidRPr="00915791" w:rsidRDefault="00915791" w:rsidP="00097DF9">
            <w:pPr>
              <w:pStyle w:val="TableBodyText"/>
              <w:rPr>
                <w:sz w:val="18"/>
                <w:szCs w:val="18"/>
              </w:rPr>
            </w:pPr>
            <w:r w:rsidRPr="00915791">
              <w:rPr>
                <w:sz w:val="18"/>
                <w:szCs w:val="18"/>
              </w:rPr>
              <w:t>212.0</w:t>
            </w:r>
          </w:p>
        </w:tc>
      </w:tr>
      <w:tr w:rsidR="00915791" w:rsidRPr="009B0AEB" w:rsidTr="004F78AB">
        <w:tc>
          <w:tcPr>
            <w:tcW w:w="1613" w:type="pct"/>
            <w:vAlign w:val="center"/>
          </w:tcPr>
          <w:p w:rsidR="00915791" w:rsidRPr="009B0AEB" w:rsidRDefault="00915791" w:rsidP="00E95960">
            <w:pPr>
              <w:pStyle w:val="TableBodyText"/>
              <w:jc w:val="left"/>
              <w:rPr>
                <w:sz w:val="18"/>
                <w:szCs w:val="18"/>
              </w:rPr>
            </w:pPr>
            <w:r w:rsidRPr="009B0AEB">
              <w:rPr>
                <w:sz w:val="18"/>
                <w:szCs w:val="18"/>
              </w:rPr>
              <w:t>Financial and insurance services</w:t>
            </w:r>
          </w:p>
        </w:tc>
        <w:tc>
          <w:tcPr>
            <w:tcW w:w="547" w:type="pct"/>
            <w:vAlign w:val="center"/>
          </w:tcPr>
          <w:p w:rsidR="00915791" w:rsidRPr="009B0AEB" w:rsidRDefault="00915791" w:rsidP="00E95960">
            <w:pPr>
              <w:pStyle w:val="TableBodyText"/>
              <w:rPr>
                <w:sz w:val="18"/>
                <w:szCs w:val="18"/>
              </w:rPr>
            </w:pPr>
            <w:r w:rsidRPr="009B0AEB">
              <w:rPr>
                <w:sz w:val="18"/>
                <w:szCs w:val="18"/>
              </w:rPr>
              <w:t>–</w:t>
            </w:r>
          </w:p>
        </w:tc>
        <w:tc>
          <w:tcPr>
            <w:tcW w:w="550" w:type="pct"/>
            <w:vAlign w:val="center"/>
          </w:tcPr>
          <w:p w:rsidR="00915791" w:rsidRPr="009B0AEB" w:rsidRDefault="00915791" w:rsidP="00E95960">
            <w:pPr>
              <w:pStyle w:val="TableBodyText"/>
              <w:rPr>
                <w:sz w:val="18"/>
                <w:szCs w:val="18"/>
              </w:rPr>
            </w:pPr>
            <w:r w:rsidRPr="009B0AEB">
              <w:rPr>
                <w:sz w:val="18"/>
                <w:szCs w:val="18"/>
              </w:rPr>
              <w:t>-9.7</w:t>
            </w:r>
          </w:p>
        </w:tc>
        <w:tc>
          <w:tcPr>
            <w:tcW w:w="605" w:type="pct"/>
            <w:shd w:val="clear" w:color="auto" w:fill="B4C98B"/>
            <w:vAlign w:val="center"/>
          </w:tcPr>
          <w:p w:rsidR="00915791" w:rsidRPr="009B0AEB" w:rsidRDefault="00915791" w:rsidP="00E95960">
            <w:pPr>
              <w:pStyle w:val="TableBodyText"/>
              <w:rPr>
                <w:sz w:val="18"/>
                <w:szCs w:val="18"/>
              </w:rPr>
            </w:pPr>
            <w:r w:rsidRPr="009B0AEB">
              <w:rPr>
                <w:sz w:val="18"/>
                <w:szCs w:val="18"/>
              </w:rPr>
              <w:t>-9.7</w:t>
            </w:r>
          </w:p>
        </w:tc>
        <w:tc>
          <w:tcPr>
            <w:tcW w:w="587" w:type="pct"/>
          </w:tcPr>
          <w:p w:rsidR="00915791" w:rsidRPr="00915791" w:rsidRDefault="00915791" w:rsidP="00097DF9">
            <w:pPr>
              <w:pStyle w:val="TableBodyText"/>
              <w:rPr>
                <w:sz w:val="18"/>
                <w:szCs w:val="18"/>
              </w:rPr>
            </w:pPr>
            <w:r w:rsidRPr="00915791">
              <w:rPr>
                <w:sz w:val="18"/>
                <w:szCs w:val="18"/>
              </w:rPr>
              <w:t>134.1</w:t>
            </w:r>
          </w:p>
        </w:tc>
        <w:tc>
          <w:tcPr>
            <w:tcW w:w="540" w:type="pct"/>
          </w:tcPr>
          <w:p w:rsidR="00915791" w:rsidRPr="00915791" w:rsidRDefault="00915791" w:rsidP="00097DF9">
            <w:pPr>
              <w:pStyle w:val="TableBodyText"/>
              <w:rPr>
                <w:sz w:val="18"/>
                <w:szCs w:val="18"/>
              </w:rPr>
            </w:pPr>
            <w:r w:rsidRPr="00915791">
              <w:rPr>
                <w:sz w:val="18"/>
                <w:szCs w:val="18"/>
              </w:rPr>
              <w:t>506.1</w:t>
            </w:r>
          </w:p>
        </w:tc>
        <w:tc>
          <w:tcPr>
            <w:tcW w:w="557" w:type="pct"/>
            <w:shd w:val="clear" w:color="auto" w:fill="B4C98B"/>
          </w:tcPr>
          <w:p w:rsidR="00915791" w:rsidRPr="00915791" w:rsidRDefault="00915791" w:rsidP="00097DF9">
            <w:pPr>
              <w:pStyle w:val="TableBodyText"/>
              <w:rPr>
                <w:sz w:val="18"/>
                <w:szCs w:val="18"/>
              </w:rPr>
            </w:pPr>
            <w:r w:rsidRPr="00915791">
              <w:rPr>
                <w:sz w:val="18"/>
                <w:szCs w:val="18"/>
              </w:rPr>
              <w:t>630.5</w:t>
            </w:r>
          </w:p>
        </w:tc>
      </w:tr>
      <w:tr w:rsidR="00915791" w:rsidRPr="009B0AEB" w:rsidTr="004F78AB">
        <w:tc>
          <w:tcPr>
            <w:tcW w:w="1613" w:type="pct"/>
            <w:vAlign w:val="center"/>
          </w:tcPr>
          <w:p w:rsidR="00915791" w:rsidRPr="009B0AEB" w:rsidRDefault="00915791" w:rsidP="00E95960">
            <w:pPr>
              <w:pStyle w:val="TableBodyText"/>
              <w:jc w:val="left"/>
              <w:rPr>
                <w:sz w:val="18"/>
                <w:szCs w:val="18"/>
              </w:rPr>
            </w:pPr>
            <w:r w:rsidRPr="009B0AEB">
              <w:rPr>
                <w:sz w:val="18"/>
                <w:szCs w:val="18"/>
              </w:rPr>
              <w:t xml:space="preserve">Property, professional &amp; admin. </w:t>
            </w:r>
          </w:p>
        </w:tc>
        <w:tc>
          <w:tcPr>
            <w:tcW w:w="547" w:type="pct"/>
            <w:vAlign w:val="center"/>
          </w:tcPr>
          <w:p w:rsidR="00915791" w:rsidRPr="009B0AEB" w:rsidRDefault="00915791" w:rsidP="00E95960">
            <w:pPr>
              <w:pStyle w:val="TableBodyText"/>
              <w:rPr>
                <w:sz w:val="18"/>
                <w:szCs w:val="18"/>
              </w:rPr>
            </w:pPr>
            <w:r w:rsidRPr="009B0AEB">
              <w:rPr>
                <w:sz w:val="18"/>
                <w:szCs w:val="18"/>
              </w:rPr>
              <w:t>–</w:t>
            </w:r>
          </w:p>
        </w:tc>
        <w:tc>
          <w:tcPr>
            <w:tcW w:w="550" w:type="pct"/>
            <w:vAlign w:val="center"/>
          </w:tcPr>
          <w:p w:rsidR="00915791" w:rsidRPr="009B0AEB" w:rsidRDefault="00915791" w:rsidP="00E95960">
            <w:pPr>
              <w:pStyle w:val="TableBodyText"/>
              <w:rPr>
                <w:sz w:val="18"/>
                <w:szCs w:val="18"/>
              </w:rPr>
            </w:pPr>
            <w:r w:rsidRPr="009B0AEB">
              <w:rPr>
                <w:sz w:val="18"/>
                <w:szCs w:val="18"/>
              </w:rPr>
              <w:t>-620.9</w:t>
            </w:r>
          </w:p>
        </w:tc>
        <w:tc>
          <w:tcPr>
            <w:tcW w:w="605" w:type="pct"/>
            <w:shd w:val="clear" w:color="auto" w:fill="B4C98B"/>
            <w:vAlign w:val="center"/>
          </w:tcPr>
          <w:p w:rsidR="00915791" w:rsidRPr="009B0AEB" w:rsidRDefault="00915791" w:rsidP="00E95960">
            <w:pPr>
              <w:pStyle w:val="TableBodyText"/>
              <w:rPr>
                <w:sz w:val="18"/>
                <w:szCs w:val="18"/>
              </w:rPr>
            </w:pPr>
            <w:r w:rsidRPr="009B0AEB">
              <w:rPr>
                <w:sz w:val="18"/>
                <w:szCs w:val="18"/>
              </w:rPr>
              <w:t>-620.9</w:t>
            </w:r>
          </w:p>
        </w:tc>
        <w:tc>
          <w:tcPr>
            <w:tcW w:w="587" w:type="pct"/>
          </w:tcPr>
          <w:p w:rsidR="00915791" w:rsidRPr="00915791" w:rsidRDefault="00915791" w:rsidP="00097DF9">
            <w:pPr>
              <w:pStyle w:val="TableBodyText"/>
              <w:rPr>
                <w:sz w:val="18"/>
                <w:szCs w:val="18"/>
              </w:rPr>
            </w:pPr>
            <w:r w:rsidRPr="00915791">
              <w:rPr>
                <w:sz w:val="18"/>
                <w:szCs w:val="18"/>
              </w:rPr>
              <w:t>384.4</w:t>
            </w:r>
          </w:p>
        </w:tc>
        <w:tc>
          <w:tcPr>
            <w:tcW w:w="540" w:type="pct"/>
          </w:tcPr>
          <w:p w:rsidR="00915791" w:rsidRPr="00915791" w:rsidRDefault="00915791" w:rsidP="00097DF9">
            <w:pPr>
              <w:pStyle w:val="TableBodyText"/>
              <w:rPr>
                <w:sz w:val="18"/>
                <w:szCs w:val="18"/>
              </w:rPr>
            </w:pPr>
            <w:r w:rsidRPr="00915791">
              <w:rPr>
                <w:sz w:val="18"/>
                <w:szCs w:val="18"/>
              </w:rPr>
              <w:t>293.0</w:t>
            </w:r>
          </w:p>
        </w:tc>
        <w:tc>
          <w:tcPr>
            <w:tcW w:w="557" w:type="pct"/>
            <w:shd w:val="clear" w:color="auto" w:fill="B4C98B"/>
          </w:tcPr>
          <w:p w:rsidR="00915791" w:rsidRPr="00915791" w:rsidRDefault="00915791" w:rsidP="00097DF9">
            <w:pPr>
              <w:pStyle w:val="TableBodyText"/>
              <w:rPr>
                <w:sz w:val="18"/>
                <w:szCs w:val="18"/>
              </w:rPr>
            </w:pPr>
            <w:r w:rsidRPr="00915791">
              <w:rPr>
                <w:sz w:val="18"/>
                <w:szCs w:val="18"/>
              </w:rPr>
              <w:t>56.6</w:t>
            </w:r>
          </w:p>
        </w:tc>
      </w:tr>
      <w:tr w:rsidR="00915791" w:rsidRPr="009B0AEB" w:rsidTr="004F78AB">
        <w:tc>
          <w:tcPr>
            <w:tcW w:w="1613" w:type="pct"/>
            <w:vAlign w:val="center"/>
          </w:tcPr>
          <w:p w:rsidR="00915791" w:rsidRPr="009B0AEB" w:rsidRDefault="00915791" w:rsidP="00E95960">
            <w:pPr>
              <w:pStyle w:val="TableBodyText"/>
              <w:jc w:val="left"/>
              <w:rPr>
                <w:sz w:val="18"/>
                <w:szCs w:val="18"/>
              </w:rPr>
            </w:pPr>
            <w:r w:rsidRPr="009B0AEB">
              <w:rPr>
                <w:sz w:val="18"/>
                <w:szCs w:val="18"/>
              </w:rPr>
              <w:t>Public administration and safety</w:t>
            </w:r>
          </w:p>
        </w:tc>
        <w:tc>
          <w:tcPr>
            <w:tcW w:w="547" w:type="pct"/>
            <w:vAlign w:val="center"/>
          </w:tcPr>
          <w:p w:rsidR="00915791" w:rsidRPr="009B0AEB" w:rsidRDefault="00915791" w:rsidP="00E95960">
            <w:pPr>
              <w:pStyle w:val="TableBodyText"/>
              <w:rPr>
                <w:sz w:val="18"/>
                <w:szCs w:val="18"/>
              </w:rPr>
            </w:pPr>
            <w:r w:rsidRPr="009B0AEB">
              <w:rPr>
                <w:sz w:val="18"/>
                <w:szCs w:val="18"/>
              </w:rPr>
              <w:t>–</w:t>
            </w:r>
          </w:p>
        </w:tc>
        <w:tc>
          <w:tcPr>
            <w:tcW w:w="550" w:type="pct"/>
            <w:vAlign w:val="center"/>
          </w:tcPr>
          <w:p w:rsidR="00915791" w:rsidRPr="009B0AEB" w:rsidRDefault="00915791" w:rsidP="00E95960">
            <w:pPr>
              <w:pStyle w:val="TableBodyText"/>
              <w:rPr>
                <w:sz w:val="18"/>
                <w:szCs w:val="18"/>
              </w:rPr>
            </w:pPr>
            <w:r w:rsidRPr="009B0AEB">
              <w:rPr>
                <w:sz w:val="18"/>
                <w:szCs w:val="18"/>
              </w:rPr>
              <w:t>-217.8</w:t>
            </w:r>
          </w:p>
        </w:tc>
        <w:tc>
          <w:tcPr>
            <w:tcW w:w="605" w:type="pct"/>
            <w:shd w:val="clear" w:color="auto" w:fill="B4C98B"/>
            <w:vAlign w:val="center"/>
          </w:tcPr>
          <w:p w:rsidR="00915791" w:rsidRPr="009B0AEB" w:rsidRDefault="00915791" w:rsidP="00E95960">
            <w:pPr>
              <w:pStyle w:val="TableBodyText"/>
              <w:rPr>
                <w:sz w:val="18"/>
                <w:szCs w:val="18"/>
              </w:rPr>
            </w:pPr>
            <w:r w:rsidRPr="009B0AEB">
              <w:rPr>
                <w:sz w:val="18"/>
                <w:szCs w:val="18"/>
              </w:rPr>
              <w:t>-217.8</w:t>
            </w:r>
          </w:p>
        </w:tc>
        <w:tc>
          <w:tcPr>
            <w:tcW w:w="587" w:type="pct"/>
          </w:tcPr>
          <w:p w:rsidR="00915791" w:rsidRPr="00915791" w:rsidRDefault="00915791" w:rsidP="00097DF9">
            <w:pPr>
              <w:pStyle w:val="TableBodyText"/>
              <w:rPr>
                <w:sz w:val="18"/>
                <w:szCs w:val="18"/>
              </w:rPr>
            </w:pPr>
            <w:r w:rsidRPr="00915791">
              <w:rPr>
                <w:sz w:val="18"/>
                <w:szCs w:val="18"/>
              </w:rPr>
              <w:t>13.5</w:t>
            </w:r>
          </w:p>
        </w:tc>
        <w:tc>
          <w:tcPr>
            <w:tcW w:w="540" w:type="pct"/>
          </w:tcPr>
          <w:p w:rsidR="00915791" w:rsidRPr="00915791" w:rsidRDefault="00915791" w:rsidP="00097DF9">
            <w:pPr>
              <w:pStyle w:val="TableBodyText"/>
              <w:rPr>
                <w:sz w:val="18"/>
                <w:szCs w:val="18"/>
              </w:rPr>
            </w:pPr>
            <w:r w:rsidRPr="00915791">
              <w:rPr>
                <w:sz w:val="18"/>
                <w:szCs w:val="18"/>
              </w:rPr>
              <w:t>4.0</w:t>
            </w:r>
          </w:p>
        </w:tc>
        <w:tc>
          <w:tcPr>
            <w:tcW w:w="557" w:type="pct"/>
            <w:shd w:val="clear" w:color="auto" w:fill="B4C98B"/>
          </w:tcPr>
          <w:p w:rsidR="00915791" w:rsidRPr="00915791" w:rsidRDefault="00915791" w:rsidP="00097DF9">
            <w:pPr>
              <w:pStyle w:val="TableBodyText"/>
              <w:rPr>
                <w:sz w:val="18"/>
                <w:szCs w:val="18"/>
              </w:rPr>
            </w:pPr>
            <w:r w:rsidRPr="00915791">
              <w:rPr>
                <w:sz w:val="18"/>
                <w:szCs w:val="18"/>
              </w:rPr>
              <w:t>-200.4</w:t>
            </w:r>
          </w:p>
        </w:tc>
      </w:tr>
      <w:tr w:rsidR="00915791" w:rsidRPr="009B0AEB" w:rsidTr="004F78AB">
        <w:tc>
          <w:tcPr>
            <w:tcW w:w="1613" w:type="pct"/>
            <w:vAlign w:val="center"/>
          </w:tcPr>
          <w:p w:rsidR="00915791" w:rsidRPr="009B0AEB" w:rsidRDefault="00915791" w:rsidP="00E95960">
            <w:pPr>
              <w:pStyle w:val="TableBodyText"/>
              <w:jc w:val="left"/>
              <w:rPr>
                <w:sz w:val="18"/>
                <w:szCs w:val="18"/>
              </w:rPr>
            </w:pPr>
            <w:r w:rsidRPr="009B0AEB">
              <w:rPr>
                <w:sz w:val="18"/>
                <w:szCs w:val="18"/>
              </w:rPr>
              <w:t>Education and training</w:t>
            </w:r>
          </w:p>
        </w:tc>
        <w:tc>
          <w:tcPr>
            <w:tcW w:w="547" w:type="pct"/>
            <w:vAlign w:val="center"/>
          </w:tcPr>
          <w:p w:rsidR="00915791" w:rsidRPr="009B0AEB" w:rsidRDefault="00915791" w:rsidP="00E95960">
            <w:pPr>
              <w:pStyle w:val="TableBodyText"/>
              <w:rPr>
                <w:sz w:val="18"/>
                <w:szCs w:val="18"/>
              </w:rPr>
            </w:pPr>
            <w:r w:rsidRPr="009B0AEB">
              <w:rPr>
                <w:sz w:val="18"/>
                <w:szCs w:val="18"/>
              </w:rPr>
              <w:t>–</w:t>
            </w:r>
          </w:p>
        </w:tc>
        <w:tc>
          <w:tcPr>
            <w:tcW w:w="550" w:type="pct"/>
            <w:vAlign w:val="center"/>
          </w:tcPr>
          <w:p w:rsidR="00915791" w:rsidRPr="009B0AEB" w:rsidRDefault="00915791" w:rsidP="00E95960">
            <w:pPr>
              <w:pStyle w:val="TableBodyText"/>
              <w:rPr>
                <w:sz w:val="18"/>
                <w:szCs w:val="18"/>
              </w:rPr>
            </w:pPr>
            <w:r w:rsidRPr="009B0AEB">
              <w:rPr>
                <w:sz w:val="18"/>
                <w:szCs w:val="18"/>
              </w:rPr>
              <w:t>-120.3</w:t>
            </w:r>
          </w:p>
        </w:tc>
        <w:tc>
          <w:tcPr>
            <w:tcW w:w="605" w:type="pct"/>
            <w:shd w:val="clear" w:color="auto" w:fill="B4C98B"/>
            <w:vAlign w:val="center"/>
          </w:tcPr>
          <w:p w:rsidR="00915791" w:rsidRPr="009B0AEB" w:rsidRDefault="00915791" w:rsidP="00E95960">
            <w:pPr>
              <w:pStyle w:val="TableBodyText"/>
              <w:rPr>
                <w:sz w:val="18"/>
                <w:szCs w:val="18"/>
              </w:rPr>
            </w:pPr>
            <w:r w:rsidRPr="009B0AEB">
              <w:rPr>
                <w:sz w:val="18"/>
                <w:szCs w:val="18"/>
              </w:rPr>
              <w:t>-120.3</w:t>
            </w:r>
          </w:p>
        </w:tc>
        <w:tc>
          <w:tcPr>
            <w:tcW w:w="587" w:type="pct"/>
          </w:tcPr>
          <w:p w:rsidR="00915791" w:rsidRPr="00915791" w:rsidRDefault="00915791" w:rsidP="00097DF9">
            <w:pPr>
              <w:pStyle w:val="TableBodyText"/>
              <w:rPr>
                <w:sz w:val="18"/>
                <w:szCs w:val="18"/>
              </w:rPr>
            </w:pPr>
            <w:r w:rsidRPr="00915791">
              <w:rPr>
                <w:sz w:val="18"/>
                <w:szCs w:val="18"/>
              </w:rPr>
              <w:t>27.1</w:t>
            </w:r>
          </w:p>
        </w:tc>
        <w:tc>
          <w:tcPr>
            <w:tcW w:w="540" w:type="pct"/>
          </w:tcPr>
          <w:p w:rsidR="00915791" w:rsidRPr="00915791" w:rsidRDefault="00915791" w:rsidP="00097DF9">
            <w:pPr>
              <w:pStyle w:val="TableBodyText"/>
              <w:rPr>
                <w:sz w:val="18"/>
                <w:szCs w:val="18"/>
              </w:rPr>
            </w:pPr>
            <w:r w:rsidRPr="00915791">
              <w:rPr>
                <w:sz w:val="18"/>
                <w:szCs w:val="18"/>
              </w:rPr>
              <w:t>11.8</w:t>
            </w:r>
          </w:p>
        </w:tc>
        <w:tc>
          <w:tcPr>
            <w:tcW w:w="557" w:type="pct"/>
            <w:shd w:val="clear" w:color="auto" w:fill="B4C98B"/>
          </w:tcPr>
          <w:p w:rsidR="00915791" w:rsidRPr="00915791" w:rsidRDefault="00915791" w:rsidP="00097DF9">
            <w:pPr>
              <w:pStyle w:val="TableBodyText"/>
              <w:rPr>
                <w:sz w:val="18"/>
                <w:szCs w:val="18"/>
              </w:rPr>
            </w:pPr>
            <w:r w:rsidRPr="00915791">
              <w:rPr>
                <w:sz w:val="18"/>
                <w:szCs w:val="18"/>
              </w:rPr>
              <w:t>-81.5</w:t>
            </w:r>
          </w:p>
        </w:tc>
      </w:tr>
      <w:tr w:rsidR="00915791" w:rsidRPr="009B0AEB" w:rsidTr="004F78AB">
        <w:tc>
          <w:tcPr>
            <w:tcW w:w="1613" w:type="pct"/>
            <w:vAlign w:val="center"/>
          </w:tcPr>
          <w:p w:rsidR="00915791" w:rsidRPr="009B0AEB" w:rsidRDefault="00915791" w:rsidP="00E95960">
            <w:pPr>
              <w:pStyle w:val="TableBodyText"/>
              <w:jc w:val="left"/>
              <w:rPr>
                <w:sz w:val="18"/>
                <w:szCs w:val="18"/>
              </w:rPr>
            </w:pPr>
            <w:r w:rsidRPr="009B0AEB">
              <w:rPr>
                <w:sz w:val="18"/>
                <w:szCs w:val="18"/>
              </w:rPr>
              <w:t>Health care and social assistance</w:t>
            </w:r>
          </w:p>
        </w:tc>
        <w:tc>
          <w:tcPr>
            <w:tcW w:w="547" w:type="pct"/>
            <w:vAlign w:val="center"/>
          </w:tcPr>
          <w:p w:rsidR="00915791" w:rsidRPr="009B0AEB" w:rsidRDefault="00915791" w:rsidP="00E95960">
            <w:pPr>
              <w:pStyle w:val="TableBodyText"/>
              <w:rPr>
                <w:sz w:val="18"/>
                <w:szCs w:val="18"/>
              </w:rPr>
            </w:pPr>
            <w:r w:rsidRPr="009B0AEB">
              <w:rPr>
                <w:sz w:val="18"/>
                <w:szCs w:val="18"/>
              </w:rPr>
              <w:t>–</w:t>
            </w:r>
          </w:p>
        </w:tc>
        <w:tc>
          <w:tcPr>
            <w:tcW w:w="550" w:type="pct"/>
            <w:vAlign w:val="center"/>
          </w:tcPr>
          <w:p w:rsidR="00915791" w:rsidRPr="009B0AEB" w:rsidRDefault="00915791" w:rsidP="00E95960">
            <w:pPr>
              <w:pStyle w:val="TableBodyText"/>
              <w:rPr>
                <w:sz w:val="18"/>
                <w:szCs w:val="18"/>
              </w:rPr>
            </w:pPr>
            <w:r w:rsidRPr="009B0AEB">
              <w:rPr>
                <w:sz w:val="18"/>
                <w:szCs w:val="18"/>
              </w:rPr>
              <w:t>-274.9</w:t>
            </w:r>
          </w:p>
        </w:tc>
        <w:tc>
          <w:tcPr>
            <w:tcW w:w="605" w:type="pct"/>
            <w:shd w:val="clear" w:color="auto" w:fill="B4C98B"/>
            <w:vAlign w:val="center"/>
          </w:tcPr>
          <w:p w:rsidR="00915791" w:rsidRPr="009B0AEB" w:rsidRDefault="00915791" w:rsidP="00E95960">
            <w:pPr>
              <w:pStyle w:val="TableBodyText"/>
              <w:rPr>
                <w:sz w:val="18"/>
                <w:szCs w:val="18"/>
              </w:rPr>
            </w:pPr>
            <w:r w:rsidRPr="009B0AEB">
              <w:rPr>
                <w:sz w:val="18"/>
                <w:szCs w:val="18"/>
              </w:rPr>
              <w:t>-274.9</w:t>
            </w:r>
          </w:p>
        </w:tc>
        <w:tc>
          <w:tcPr>
            <w:tcW w:w="587" w:type="pct"/>
          </w:tcPr>
          <w:p w:rsidR="00915791" w:rsidRPr="00915791" w:rsidRDefault="00915791" w:rsidP="00097DF9">
            <w:pPr>
              <w:pStyle w:val="TableBodyText"/>
              <w:rPr>
                <w:sz w:val="18"/>
                <w:szCs w:val="18"/>
              </w:rPr>
            </w:pPr>
            <w:r w:rsidRPr="00915791">
              <w:rPr>
                <w:sz w:val="18"/>
                <w:szCs w:val="18"/>
              </w:rPr>
              <w:t>102.1</w:t>
            </w:r>
          </w:p>
        </w:tc>
        <w:tc>
          <w:tcPr>
            <w:tcW w:w="540" w:type="pct"/>
          </w:tcPr>
          <w:p w:rsidR="00915791" w:rsidRPr="00915791" w:rsidRDefault="00915791" w:rsidP="00097DF9">
            <w:pPr>
              <w:pStyle w:val="TableBodyText"/>
              <w:rPr>
                <w:sz w:val="18"/>
                <w:szCs w:val="18"/>
              </w:rPr>
            </w:pPr>
            <w:r w:rsidRPr="00915791">
              <w:rPr>
                <w:sz w:val="18"/>
                <w:szCs w:val="18"/>
              </w:rPr>
              <w:t>56.1</w:t>
            </w:r>
          </w:p>
        </w:tc>
        <w:tc>
          <w:tcPr>
            <w:tcW w:w="557" w:type="pct"/>
            <w:shd w:val="clear" w:color="auto" w:fill="B4C98B"/>
          </w:tcPr>
          <w:p w:rsidR="00915791" w:rsidRPr="00915791" w:rsidRDefault="00915791" w:rsidP="00097DF9">
            <w:pPr>
              <w:pStyle w:val="TableBodyText"/>
              <w:rPr>
                <w:sz w:val="18"/>
                <w:szCs w:val="18"/>
              </w:rPr>
            </w:pPr>
            <w:r w:rsidRPr="00915791">
              <w:rPr>
                <w:sz w:val="18"/>
                <w:szCs w:val="18"/>
              </w:rPr>
              <w:t>-116.7</w:t>
            </w:r>
          </w:p>
        </w:tc>
      </w:tr>
      <w:tr w:rsidR="00915791" w:rsidRPr="009B0AEB" w:rsidTr="004F78AB">
        <w:tc>
          <w:tcPr>
            <w:tcW w:w="1613" w:type="pct"/>
            <w:vAlign w:val="center"/>
          </w:tcPr>
          <w:p w:rsidR="00915791" w:rsidRPr="009B0AEB" w:rsidRDefault="00915791" w:rsidP="00E95960">
            <w:pPr>
              <w:pStyle w:val="TableBodyText"/>
              <w:jc w:val="left"/>
              <w:rPr>
                <w:sz w:val="18"/>
                <w:szCs w:val="18"/>
              </w:rPr>
            </w:pPr>
            <w:r w:rsidRPr="009B0AEB">
              <w:rPr>
                <w:sz w:val="18"/>
                <w:szCs w:val="18"/>
              </w:rPr>
              <w:t>Arts and recreation services</w:t>
            </w:r>
          </w:p>
        </w:tc>
        <w:tc>
          <w:tcPr>
            <w:tcW w:w="547" w:type="pct"/>
            <w:vAlign w:val="center"/>
          </w:tcPr>
          <w:p w:rsidR="00915791" w:rsidRPr="009B0AEB" w:rsidRDefault="00915791" w:rsidP="00E95960">
            <w:pPr>
              <w:pStyle w:val="TableBodyText"/>
              <w:rPr>
                <w:sz w:val="18"/>
                <w:szCs w:val="18"/>
              </w:rPr>
            </w:pPr>
            <w:r w:rsidRPr="009B0AEB">
              <w:rPr>
                <w:sz w:val="18"/>
                <w:szCs w:val="18"/>
              </w:rPr>
              <w:t>–</w:t>
            </w:r>
          </w:p>
        </w:tc>
        <w:tc>
          <w:tcPr>
            <w:tcW w:w="550" w:type="pct"/>
            <w:vAlign w:val="center"/>
          </w:tcPr>
          <w:p w:rsidR="00915791" w:rsidRPr="009B0AEB" w:rsidRDefault="00915791" w:rsidP="00E95960">
            <w:pPr>
              <w:pStyle w:val="TableBodyText"/>
              <w:rPr>
                <w:sz w:val="18"/>
                <w:szCs w:val="18"/>
              </w:rPr>
            </w:pPr>
            <w:r w:rsidRPr="009B0AEB">
              <w:rPr>
                <w:sz w:val="18"/>
                <w:szCs w:val="18"/>
              </w:rPr>
              <w:t>-79.1</w:t>
            </w:r>
          </w:p>
        </w:tc>
        <w:tc>
          <w:tcPr>
            <w:tcW w:w="605" w:type="pct"/>
            <w:shd w:val="clear" w:color="auto" w:fill="B4C98B"/>
            <w:vAlign w:val="center"/>
          </w:tcPr>
          <w:p w:rsidR="00915791" w:rsidRPr="009B0AEB" w:rsidRDefault="00915791" w:rsidP="00E95960">
            <w:pPr>
              <w:pStyle w:val="TableBodyText"/>
              <w:rPr>
                <w:sz w:val="18"/>
                <w:szCs w:val="18"/>
              </w:rPr>
            </w:pPr>
            <w:r w:rsidRPr="009B0AEB">
              <w:rPr>
                <w:sz w:val="18"/>
                <w:szCs w:val="18"/>
              </w:rPr>
              <w:t>-79.1</w:t>
            </w:r>
          </w:p>
        </w:tc>
        <w:tc>
          <w:tcPr>
            <w:tcW w:w="587" w:type="pct"/>
          </w:tcPr>
          <w:p w:rsidR="00915791" w:rsidRPr="00915791" w:rsidRDefault="00915791" w:rsidP="00097DF9">
            <w:pPr>
              <w:pStyle w:val="TableBodyText"/>
              <w:rPr>
                <w:sz w:val="18"/>
                <w:szCs w:val="18"/>
              </w:rPr>
            </w:pPr>
            <w:r w:rsidRPr="00915791">
              <w:rPr>
                <w:sz w:val="18"/>
                <w:szCs w:val="18"/>
              </w:rPr>
              <w:t>125.9</w:t>
            </w:r>
          </w:p>
        </w:tc>
        <w:tc>
          <w:tcPr>
            <w:tcW w:w="540" w:type="pct"/>
          </w:tcPr>
          <w:p w:rsidR="00915791" w:rsidRPr="00915791" w:rsidRDefault="00915791" w:rsidP="00097DF9">
            <w:pPr>
              <w:pStyle w:val="TableBodyText"/>
              <w:rPr>
                <w:sz w:val="18"/>
                <w:szCs w:val="18"/>
              </w:rPr>
            </w:pPr>
            <w:r w:rsidRPr="00915791">
              <w:rPr>
                <w:sz w:val="18"/>
                <w:szCs w:val="18"/>
              </w:rPr>
              <w:t>281.5</w:t>
            </w:r>
          </w:p>
        </w:tc>
        <w:tc>
          <w:tcPr>
            <w:tcW w:w="557" w:type="pct"/>
            <w:shd w:val="clear" w:color="auto" w:fill="B4C98B"/>
          </w:tcPr>
          <w:p w:rsidR="00915791" w:rsidRPr="00915791" w:rsidRDefault="00915791" w:rsidP="00097DF9">
            <w:pPr>
              <w:pStyle w:val="TableBodyText"/>
              <w:rPr>
                <w:sz w:val="18"/>
                <w:szCs w:val="18"/>
              </w:rPr>
            </w:pPr>
            <w:r w:rsidRPr="00915791">
              <w:rPr>
                <w:sz w:val="18"/>
                <w:szCs w:val="18"/>
              </w:rPr>
              <w:t>328.4</w:t>
            </w:r>
          </w:p>
        </w:tc>
      </w:tr>
      <w:tr w:rsidR="00915791" w:rsidRPr="009B0AEB" w:rsidTr="004F78AB">
        <w:tc>
          <w:tcPr>
            <w:tcW w:w="1613" w:type="pct"/>
            <w:vAlign w:val="center"/>
          </w:tcPr>
          <w:p w:rsidR="00915791" w:rsidRPr="009B0AEB" w:rsidRDefault="00915791" w:rsidP="00E95960">
            <w:pPr>
              <w:pStyle w:val="TableBodyText"/>
              <w:jc w:val="left"/>
              <w:rPr>
                <w:sz w:val="18"/>
                <w:szCs w:val="18"/>
              </w:rPr>
            </w:pPr>
            <w:r w:rsidRPr="009B0AEB">
              <w:rPr>
                <w:sz w:val="18"/>
                <w:szCs w:val="18"/>
              </w:rPr>
              <w:t>Other services</w:t>
            </w:r>
          </w:p>
        </w:tc>
        <w:tc>
          <w:tcPr>
            <w:tcW w:w="547" w:type="pct"/>
            <w:vAlign w:val="center"/>
          </w:tcPr>
          <w:p w:rsidR="00915791" w:rsidRPr="009B0AEB" w:rsidRDefault="00915791" w:rsidP="00E95960">
            <w:pPr>
              <w:pStyle w:val="TableBodyText"/>
              <w:rPr>
                <w:sz w:val="18"/>
                <w:szCs w:val="18"/>
              </w:rPr>
            </w:pPr>
            <w:r w:rsidRPr="009B0AEB">
              <w:rPr>
                <w:sz w:val="18"/>
                <w:szCs w:val="18"/>
              </w:rPr>
              <w:t>–</w:t>
            </w:r>
          </w:p>
        </w:tc>
        <w:tc>
          <w:tcPr>
            <w:tcW w:w="550" w:type="pct"/>
            <w:vAlign w:val="center"/>
          </w:tcPr>
          <w:p w:rsidR="00915791" w:rsidRPr="009B0AEB" w:rsidRDefault="00915791" w:rsidP="00E95960">
            <w:pPr>
              <w:pStyle w:val="TableBodyText"/>
              <w:rPr>
                <w:sz w:val="18"/>
                <w:szCs w:val="18"/>
              </w:rPr>
            </w:pPr>
            <w:r w:rsidRPr="009B0AEB">
              <w:rPr>
                <w:sz w:val="18"/>
                <w:szCs w:val="18"/>
              </w:rPr>
              <w:t>-288.7</w:t>
            </w:r>
          </w:p>
        </w:tc>
        <w:tc>
          <w:tcPr>
            <w:tcW w:w="605" w:type="pct"/>
            <w:shd w:val="clear" w:color="auto" w:fill="B4C98B"/>
            <w:vAlign w:val="center"/>
          </w:tcPr>
          <w:p w:rsidR="00915791" w:rsidRPr="009B0AEB" w:rsidRDefault="00915791" w:rsidP="00E95960">
            <w:pPr>
              <w:pStyle w:val="TableBodyText"/>
              <w:rPr>
                <w:sz w:val="18"/>
                <w:szCs w:val="18"/>
              </w:rPr>
            </w:pPr>
            <w:r w:rsidRPr="009B0AEB">
              <w:rPr>
                <w:sz w:val="18"/>
                <w:szCs w:val="18"/>
              </w:rPr>
              <w:t>-288.7</w:t>
            </w:r>
          </w:p>
        </w:tc>
        <w:tc>
          <w:tcPr>
            <w:tcW w:w="587" w:type="pct"/>
          </w:tcPr>
          <w:p w:rsidR="00915791" w:rsidRPr="00915791" w:rsidRDefault="00915791" w:rsidP="00097DF9">
            <w:pPr>
              <w:pStyle w:val="TableBodyText"/>
              <w:rPr>
                <w:sz w:val="18"/>
                <w:szCs w:val="18"/>
              </w:rPr>
            </w:pPr>
            <w:r w:rsidRPr="00915791">
              <w:rPr>
                <w:sz w:val="18"/>
                <w:szCs w:val="18"/>
              </w:rPr>
              <w:t>38.9</w:t>
            </w:r>
          </w:p>
        </w:tc>
        <w:tc>
          <w:tcPr>
            <w:tcW w:w="540" w:type="pct"/>
          </w:tcPr>
          <w:p w:rsidR="00915791" w:rsidRPr="00915791" w:rsidRDefault="00915791" w:rsidP="00097DF9">
            <w:pPr>
              <w:pStyle w:val="TableBodyText"/>
              <w:rPr>
                <w:sz w:val="18"/>
                <w:szCs w:val="18"/>
              </w:rPr>
            </w:pPr>
            <w:r w:rsidRPr="00915791">
              <w:rPr>
                <w:sz w:val="18"/>
                <w:szCs w:val="18"/>
              </w:rPr>
              <w:t>29.7</w:t>
            </w:r>
          </w:p>
        </w:tc>
        <w:tc>
          <w:tcPr>
            <w:tcW w:w="557" w:type="pct"/>
            <w:shd w:val="clear" w:color="auto" w:fill="B4C98B"/>
          </w:tcPr>
          <w:p w:rsidR="00915791" w:rsidRPr="00915791" w:rsidRDefault="00915791" w:rsidP="00097DF9">
            <w:pPr>
              <w:pStyle w:val="TableBodyText"/>
              <w:rPr>
                <w:sz w:val="18"/>
                <w:szCs w:val="18"/>
              </w:rPr>
            </w:pPr>
            <w:r w:rsidRPr="00915791">
              <w:rPr>
                <w:sz w:val="18"/>
                <w:szCs w:val="18"/>
              </w:rPr>
              <w:t>-220.1</w:t>
            </w:r>
          </w:p>
        </w:tc>
      </w:tr>
      <w:tr w:rsidR="00915791" w:rsidRPr="009B0AEB" w:rsidTr="004F78AB">
        <w:tc>
          <w:tcPr>
            <w:tcW w:w="1613" w:type="pct"/>
            <w:vAlign w:val="center"/>
          </w:tcPr>
          <w:p w:rsidR="00915791" w:rsidRPr="009B0AEB" w:rsidRDefault="00915791" w:rsidP="00E95960">
            <w:pPr>
              <w:pStyle w:val="TableBodyText"/>
              <w:jc w:val="left"/>
              <w:rPr>
                <w:sz w:val="18"/>
                <w:szCs w:val="18"/>
              </w:rPr>
            </w:pPr>
            <w:r w:rsidRPr="009B0AEB">
              <w:rPr>
                <w:sz w:val="18"/>
                <w:szCs w:val="18"/>
              </w:rPr>
              <w:t>Unallocated services</w:t>
            </w:r>
          </w:p>
        </w:tc>
        <w:tc>
          <w:tcPr>
            <w:tcW w:w="547" w:type="pct"/>
            <w:vAlign w:val="center"/>
          </w:tcPr>
          <w:p w:rsidR="00915791" w:rsidRPr="009B0AEB" w:rsidRDefault="00915791" w:rsidP="00E95960">
            <w:pPr>
              <w:pStyle w:val="TableBodyText"/>
              <w:rPr>
                <w:sz w:val="18"/>
                <w:szCs w:val="18"/>
              </w:rPr>
            </w:pPr>
            <w:r w:rsidRPr="009B0AEB">
              <w:rPr>
                <w:sz w:val="18"/>
                <w:szCs w:val="18"/>
              </w:rPr>
              <w:t>–</w:t>
            </w:r>
          </w:p>
        </w:tc>
        <w:tc>
          <w:tcPr>
            <w:tcW w:w="550" w:type="pct"/>
            <w:vAlign w:val="center"/>
          </w:tcPr>
          <w:p w:rsidR="00915791" w:rsidRPr="009B0AEB" w:rsidRDefault="00915791" w:rsidP="00E95960">
            <w:pPr>
              <w:pStyle w:val="TableBodyText"/>
              <w:rPr>
                <w:sz w:val="18"/>
                <w:szCs w:val="18"/>
              </w:rPr>
            </w:pPr>
            <w:r w:rsidRPr="009B0AEB">
              <w:rPr>
                <w:sz w:val="18"/>
                <w:szCs w:val="18"/>
              </w:rPr>
              <w:t>–</w:t>
            </w:r>
          </w:p>
        </w:tc>
        <w:tc>
          <w:tcPr>
            <w:tcW w:w="605" w:type="pct"/>
            <w:shd w:val="clear" w:color="auto" w:fill="B4C98B"/>
            <w:vAlign w:val="center"/>
          </w:tcPr>
          <w:p w:rsidR="00915791" w:rsidRPr="009B0AEB" w:rsidRDefault="00915791" w:rsidP="00E95960">
            <w:pPr>
              <w:pStyle w:val="TableBodyText"/>
              <w:rPr>
                <w:sz w:val="18"/>
                <w:szCs w:val="18"/>
              </w:rPr>
            </w:pPr>
            <w:r w:rsidRPr="009B0AEB">
              <w:rPr>
                <w:sz w:val="18"/>
                <w:szCs w:val="18"/>
              </w:rPr>
              <w:t>–</w:t>
            </w:r>
          </w:p>
        </w:tc>
        <w:tc>
          <w:tcPr>
            <w:tcW w:w="587" w:type="pct"/>
          </w:tcPr>
          <w:p w:rsidR="00915791" w:rsidRPr="00915791" w:rsidRDefault="00915791" w:rsidP="00097DF9">
            <w:pPr>
              <w:pStyle w:val="TableBodyText"/>
              <w:rPr>
                <w:sz w:val="18"/>
                <w:szCs w:val="18"/>
              </w:rPr>
            </w:pPr>
            <w:r w:rsidRPr="00915791">
              <w:rPr>
                <w:sz w:val="18"/>
                <w:szCs w:val="18"/>
              </w:rPr>
              <w:t>170.8</w:t>
            </w:r>
          </w:p>
        </w:tc>
        <w:tc>
          <w:tcPr>
            <w:tcW w:w="540" w:type="pct"/>
          </w:tcPr>
          <w:p w:rsidR="00915791" w:rsidRPr="00915791" w:rsidRDefault="00915791" w:rsidP="00097DF9">
            <w:pPr>
              <w:pStyle w:val="TableBodyText"/>
              <w:rPr>
                <w:sz w:val="18"/>
                <w:szCs w:val="18"/>
              </w:rPr>
            </w:pPr>
            <w:r w:rsidRPr="00915791">
              <w:rPr>
                <w:sz w:val="18"/>
                <w:szCs w:val="18"/>
              </w:rPr>
              <w:t>0.0</w:t>
            </w:r>
          </w:p>
        </w:tc>
        <w:tc>
          <w:tcPr>
            <w:tcW w:w="557" w:type="pct"/>
            <w:shd w:val="clear" w:color="auto" w:fill="B4C98B"/>
          </w:tcPr>
          <w:p w:rsidR="00915791" w:rsidRPr="00915791" w:rsidRDefault="00915791" w:rsidP="00097DF9">
            <w:pPr>
              <w:pStyle w:val="TableBodyText"/>
              <w:rPr>
                <w:sz w:val="18"/>
                <w:szCs w:val="18"/>
              </w:rPr>
            </w:pPr>
            <w:r w:rsidRPr="00915791">
              <w:rPr>
                <w:sz w:val="18"/>
                <w:szCs w:val="18"/>
              </w:rPr>
              <w:t>170.8</w:t>
            </w:r>
          </w:p>
        </w:tc>
      </w:tr>
      <w:tr w:rsidR="00915791" w:rsidRPr="009B0AEB" w:rsidTr="004F78AB">
        <w:tc>
          <w:tcPr>
            <w:tcW w:w="1613" w:type="pct"/>
            <w:vAlign w:val="center"/>
          </w:tcPr>
          <w:p w:rsidR="00915791" w:rsidRPr="009B0AEB" w:rsidRDefault="00915791" w:rsidP="00E95960">
            <w:pPr>
              <w:pStyle w:val="TableBodyText"/>
              <w:jc w:val="left"/>
              <w:rPr>
                <w:b/>
                <w:sz w:val="18"/>
                <w:szCs w:val="18"/>
              </w:rPr>
            </w:pPr>
            <w:r w:rsidRPr="009B0AEB">
              <w:rPr>
                <w:b/>
                <w:sz w:val="18"/>
                <w:szCs w:val="18"/>
              </w:rPr>
              <w:t>Unallocated other</w:t>
            </w:r>
          </w:p>
        </w:tc>
        <w:tc>
          <w:tcPr>
            <w:tcW w:w="547" w:type="pct"/>
            <w:vAlign w:val="center"/>
          </w:tcPr>
          <w:p w:rsidR="00915791" w:rsidRPr="009B0AEB" w:rsidRDefault="00915791" w:rsidP="00E95960">
            <w:pPr>
              <w:pStyle w:val="TableBodyText"/>
              <w:rPr>
                <w:b/>
                <w:sz w:val="18"/>
                <w:szCs w:val="18"/>
              </w:rPr>
            </w:pPr>
            <w:r w:rsidRPr="009B0AEB">
              <w:rPr>
                <w:sz w:val="18"/>
                <w:szCs w:val="18"/>
              </w:rPr>
              <w:t>–</w:t>
            </w:r>
          </w:p>
        </w:tc>
        <w:tc>
          <w:tcPr>
            <w:tcW w:w="550" w:type="pct"/>
            <w:vAlign w:val="center"/>
          </w:tcPr>
          <w:p w:rsidR="00915791" w:rsidRPr="009B0AEB" w:rsidRDefault="00915791" w:rsidP="00E95960">
            <w:pPr>
              <w:pStyle w:val="TableBodyText"/>
              <w:rPr>
                <w:b/>
                <w:bCs/>
                <w:sz w:val="18"/>
                <w:szCs w:val="18"/>
              </w:rPr>
            </w:pPr>
            <w:r w:rsidRPr="009B0AEB">
              <w:rPr>
                <w:sz w:val="18"/>
                <w:szCs w:val="18"/>
              </w:rPr>
              <w:t>–</w:t>
            </w:r>
          </w:p>
        </w:tc>
        <w:tc>
          <w:tcPr>
            <w:tcW w:w="605" w:type="pct"/>
            <w:shd w:val="clear" w:color="auto" w:fill="B4C98B"/>
            <w:vAlign w:val="center"/>
          </w:tcPr>
          <w:p w:rsidR="00915791" w:rsidRPr="009B0AEB" w:rsidRDefault="00915791" w:rsidP="00E95960">
            <w:pPr>
              <w:pStyle w:val="TableBodyText"/>
              <w:rPr>
                <w:b/>
                <w:sz w:val="18"/>
                <w:szCs w:val="18"/>
              </w:rPr>
            </w:pPr>
            <w:r w:rsidRPr="009B0AEB">
              <w:rPr>
                <w:sz w:val="18"/>
                <w:szCs w:val="18"/>
              </w:rPr>
              <w:t>–</w:t>
            </w:r>
          </w:p>
        </w:tc>
        <w:tc>
          <w:tcPr>
            <w:tcW w:w="587" w:type="pct"/>
          </w:tcPr>
          <w:p w:rsidR="00915791" w:rsidRPr="00915791" w:rsidRDefault="00915791" w:rsidP="00E95960">
            <w:pPr>
              <w:pStyle w:val="TableUnitsRow"/>
              <w:spacing w:before="0" w:after="40"/>
              <w:rPr>
                <w:b/>
                <w:bCs/>
                <w:sz w:val="18"/>
                <w:szCs w:val="18"/>
              </w:rPr>
            </w:pPr>
            <w:r w:rsidRPr="00915791">
              <w:rPr>
                <w:sz w:val="18"/>
                <w:szCs w:val="18"/>
              </w:rPr>
              <w:t>280.0</w:t>
            </w:r>
          </w:p>
        </w:tc>
        <w:tc>
          <w:tcPr>
            <w:tcW w:w="540" w:type="pct"/>
          </w:tcPr>
          <w:p w:rsidR="00915791" w:rsidRPr="00915791" w:rsidRDefault="00915791" w:rsidP="00E95960">
            <w:pPr>
              <w:pStyle w:val="TableUnitsRow"/>
              <w:spacing w:before="0" w:after="40"/>
              <w:rPr>
                <w:b/>
                <w:bCs/>
                <w:sz w:val="18"/>
                <w:szCs w:val="18"/>
              </w:rPr>
            </w:pPr>
            <w:r w:rsidRPr="00915791">
              <w:rPr>
                <w:sz w:val="18"/>
                <w:szCs w:val="18"/>
              </w:rPr>
              <w:t>875.8</w:t>
            </w:r>
          </w:p>
        </w:tc>
        <w:tc>
          <w:tcPr>
            <w:tcW w:w="557" w:type="pct"/>
            <w:shd w:val="clear" w:color="auto" w:fill="B4C98B"/>
          </w:tcPr>
          <w:p w:rsidR="00915791" w:rsidRPr="00915791" w:rsidRDefault="00915791" w:rsidP="00E95960">
            <w:pPr>
              <w:pStyle w:val="TableUnitsRow"/>
              <w:spacing w:before="0" w:after="40"/>
              <w:rPr>
                <w:b/>
                <w:sz w:val="18"/>
                <w:szCs w:val="18"/>
              </w:rPr>
            </w:pPr>
            <w:r w:rsidRPr="00915791">
              <w:rPr>
                <w:sz w:val="18"/>
                <w:szCs w:val="18"/>
              </w:rPr>
              <w:t>1155.8</w:t>
            </w:r>
          </w:p>
        </w:tc>
      </w:tr>
      <w:tr w:rsidR="00915791" w:rsidRPr="009B0AEB" w:rsidTr="004F78AB">
        <w:tc>
          <w:tcPr>
            <w:tcW w:w="1613" w:type="pct"/>
            <w:tcBorders>
              <w:bottom w:val="single" w:sz="6" w:space="0" w:color="auto"/>
            </w:tcBorders>
            <w:shd w:val="clear" w:color="auto" w:fill="auto"/>
            <w:vAlign w:val="center"/>
          </w:tcPr>
          <w:p w:rsidR="00915791" w:rsidRPr="009B0AEB" w:rsidRDefault="00915791" w:rsidP="00E95960">
            <w:pPr>
              <w:pStyle w:val="TableBodyText"/>
              <w:jc w:val="left"/>
              <w:rPr>
                <w:b/>
                <w:sz w:val="18"/>
                <w:szCs w:val="18"/>
              </w:rPr>
            </w:pPr>
            <w:r w:rsidRPr="009B0AEB">
              <w:rPr>
                <w:b/>
                <w:sz w:val="18"/>
                <w:szCs w:val="18"/>
              </w:rPr>
              <w:t>Total</w:t>
            </w:r>
          </w:p>
        </w:tc>
        <w:tc>
          <w:tcPr>
            <w:tcW w:w="547" w:type="pct"/>
            <w:tcBorders>
              <w:bottom w:val="single" w:sz="6" w:space="0" w:color="auto"/>
            </w:tcBorders>
            <w:vAlign w:val="center"/>
          </w:tcPr>
          <w:p w:rsidR="00915791" w:rsidRPr="009B0AEB" w:rsidRDefault="00915791" w:rsidP="00AD61A3">
            <w:pPr>
              <w:pStyle w:val="TableBodyText"/>
              <w:rPr>
                <w:b/>
                <w:sz w:val="18"/>
                <w:szCs w:val="18"/>
              </w:rPr>
            </w:pPr>
            <w:r w:rsidRPr="009B0AEB">
              <w:rPr>
                <w:b/>
                <w:sz w:val="18"/>
                <w:szCs w:val="18"/>
              </w:rPr>
              <w:t>784</w:t>
            </w:r>
            <w:r>
              <w:rPr>
                <w:b/>
                <w:sz w:val="18"/>
                <w:szCs w:val="18"/>
              </w:rPr>
              <w:t>3.1</w:t>
            </w:r>
          </w:p>
        </w:tc>
        <w:tc>
          <w:tcPr>
            <w:tcW w:w="550" w:type="pct"/>
            <w:tcBorders>
              <w:bottom w:val="single" w:sz="6" w:space="0" w:color="auto"/>
            </w:tcBorders>
            <w:vAlign w:val="center"/>
          </w:tcPr>
          <w:p w:rsidR="00915791" w:rsidRPr="009B0AEB" w:rsidRDefault="00915791" w:rsidP="00AD61A3">
            <w:pPr>
              <w:pStyle w:val="TableBodyText"/>
              <w:rPr>
                <w:b/>
                <w:bCs/>
                <w:sz w:val="18"/>
                <w:szCs w:val="18"/>
              </w:rPr>
            </w:pPr>
            <w:r w:rsidRPr="009B0AEB">
              <w:rPr>
                <w:b/>
                <w:bCs/>
                <w:sz w:val="18"/>
                <w:szCs w:val="18"/>
              </w:rPr>
              <w:t>-7</w:t>
            </w:r>
            <w:r>
              <w:rPr>
                <w:b/>
                <w:bCs/>
                <w:sz w:val="18"/>
                <w:szCs w:val="18"/>
              </w:rPr>
              <w:t>112.4</w:t>
            </w:r>
          </w:p>
        </w:tc>
        <w:tc>
          <w:tcPr>
            <w:tcW w:w="605" w:type="pct"/>
            <w:tcBorders>
              <w:bottom w:val="single" w:sz="6" w:space="0" w:color="auto"/>
            </w:tcBorders>
            <w:shd w:val="clear" w:color="auto" w:fill="B4C98B"/>
            <w:vAlign w:val="center"/>
          </w:tcPr>
          <w:p w:rsidR="00915791" w:rsidRPr="009B0AEB" w:rsidRDefault="00915791" w:rsidP="00AD61A3">
            <w:pPr>
              <w:pStyle w:val="TableBodyText"/>
              <w:rPr>
                <w:b/>
                <w:sz w:val="18"/>
                <w:szCs w:val="18"/>
              </w:rPr>
            </w:pPr>
            <w:r w:rsidRPr="009B0AEB">
              <w:rPr>
                <w:b/>
                <w:sz w:val="18"/>
                <w:szCs w:val="18"/>
              </w:rPr>
              <w:t>7</w:t>
            </w:r>
            <w:r>
              <w:rPr>
                <w:b/>
                <w:sz w:val="18"/>
                <w:szCs w:val="18"/>
              </w:rPr>
              <w:t>30.7</w:t>
            </w:r>
          </w:p>
        </w:tc>
        <w:tc>
          <w:tcPr>
            <w:tcW w:w="587" w:type="pct"/>
            <w:tcBorders>
              <w:bottom w:val="single" w:sz="6" w:space="0" w:color="auto"/>
            </w:tcBorders>
          </w:tcPr>
          <w:p w:rsidR="00915791" w:rsidRPr="00915791" w:rsidRDefault="00915791" w:rsidP="00E95960">
            <w:pPr>
              <w:pStyle w:val="TableUnitsRow"/>
              <w:spacing w:before="0" w:after="40"/>
              <w:rPr>
                <w:b/>
                <w:bCs/>
                <w:sz w:val="18"/>
                <w:szCs w:val="18"/>
              </w:rPr>
            </w:pPr>
            <w:r w:rsidRPr="00915791">
              <w:rPr>
                <w:b/>
                <w:sz w:val="18"/>
                <w:szCs w:val="18"/>
              </w:rPr>
              <w:t>4375.1</w:t>
            </w:r>
          </w:p>
        </w:tc>
        <w:tc>
          <w:tcPr>
            <w:tcW w:w="540" w:type="pct"/>
            <w:tcBorders>
              <w:bottom w:val="single" w:sz="6" w:space="0" w:color="auto"/>
            </w:tcBorders>
            <w:shd w:val="clear" w:color="auto" w:fill="auto"/>
          </w:tcPr>
          <w:p w:rsidR="00915791" w:rsidRPr="00915791" w:rsidRDefault="00915791" w:rsidP="00E95960">
            <w:pPr>
              <w:pStyle w:val="TableUnitsRow"/>
              <w:spacing w:before="0" w:after="40"/>
              <w:rPr>
                <w:b/>
                <w:bCs/>
                <w:sz w:val="18"/>
                <w:szCs w:val="18"/>
              </w:rPr>
            </w:pPr>
            <w:r w:rsidRPr="00915791">
              <w:rPr>
                <w:b/>
                <w:sz w:val="18"/>
                <w:szCs w:val="18"/>
              </w:rPr>
              <w:t>3395.8</w:t>
            </w:r>
          </w:p>
        </w:tc>
        <w:tc>
          <w:tcPr>
            <w:tcW w:w="557" w:type="pct"/>
            <w:tcBorders>
              <w:bottom w:val="single" w:sz="6" w:space="0" w:color="auto"/>
            </w:tcBorders>
            <w:shd w:val="clear" w:color="auto" w:fill="B4C98B"/>
          </w:tcPr>
          <w:p w:rsidR="00915791" w:rsidRPr="00915791" w:rsidRDefault="00915791" w:rsidP="00AD61A3">
            <w:pPr>
              <w:pStyle w:val="TableUnitsRow"/>
              <w:spacing w:before="0" w:after="40"/>
              <w:rPr>
                <w:b/>
                <w:bCs/>
                <w:sz w:val="18"/>
                <w:szCs w:val="18"/>
              </w:rPr>
            </w:pPr>
            <w:r w:rsidRPr="00915791">
              <w:rPr>
                <w:b/>
                <w:sz w:val="18"/>
                <w:szCs w:val="18"/>
              </w:rPr>
              <w:t>8501.6</w:t>
            </w:r>
          </w:p>
        </w:tc>
      </w:tr>
    </w:tbl>
    <w:p w:rsidR="00D42BA5" w:rsidRDefault="00B60BA0" w:rsidP="00C2755E">
      <w:pPr>
        <w:pStyle w:val="Note"/>
      </w:pPr>
      <w:r w:rsidRPr="00AC2CC6">
        <w:t>– </w:t>
      </w:r>
      <w:r>
        <w:t>N</w:t>
      </w:r>
      <w:r w:rsidRPr="00AC2CC6">
        <w:t>il</w:t>
      </w:r>
      <w:r>
        <w:t xml:space="preserve">.  </w:t>
      </w:r>
      <w:r w:rsidR="00D42BA5" w:rsidRPr="008E77FE">
        <w:rPr>
          <w:rStyle w:val="NoteLabel"/>
        </w:rPr>
        <w:t>a</w:t>
      </w:r>
      <w:r w:rsidR="00A809C4">
        <w:t> </w:t>
      </w:r>
      <w:r>
        <w:t>Read in conjunction with notes to tables 2.2 and 2.4</w:t>
      </w:r>
      <w:r w:rsidR="00D42BA5">
        <w:t>.</w:t>
      </w:r>
      <w:r w:rsidR="00A809C4">
        <w:t xml:space="preserve"> </w:t>
      </w:r>
    </w:p>
    <w:p w:rsidR="00D42BA5" w:rsidRPr="008E77FE" w:rsidRDefault="00D42BA5" w:rsidP="00C2755E">
      <w:pPr>
        <w:pStyle w:val="Source"/>
      </w:pPr>
      <w:r>
        <w:rPr>
          <w:i/>
        </w:rPr>
        <w:t>Source</w:t>
      </w:r>
      <w:r>
        <w:t>: Commission estimates.</w:t>
      </w:r>
    </w:p>
    <w:p w:rsidR="00DB3FFC" w:rsidRDefault="00DB3FFC" w:rsidP="00DB3FFC">
      <w:pPr>
        <w:pStyle w:val="BodyText"/>
      </w:pPr>
      <w:r w:rsidRPr="004877DD">
        <w:lastRenderedPageBreak/>
        <w:t>because of the tariff assistance on its outputs. Although the services sector receives the most budgetary assistance (around $</w:t>
      </w:r>
      <w:r>
        <w:t>3</w:t>
      </w:r>
      <w:r w:rsidRPr="004877DD">
        <w:t>.</w:t>
      </w:r>
      <w:r>
        <w:t>3 </w:t>
      </w:r>
      <w:r w:rsidRPr="004877DD">
        <w:t>billion in identifiable support), such assistance is outweighed by the estimated input tariff penalty ($4.</w:t>
      </w:r>
      <w:r>
        <w:t>7 </w:t>
      </w:r>
      <w:r w:rsidRPr="004877DD">
        <w:t>billion). The primary production sector received the majority of its assistance in the form of budgetary outlays, although some tariff protection continues to be afforded to a range of horticultural, crop and forestry products. A time series of net combined assistance (</w:t>
      </w:r>
      <w:r w:rsidR="00393911">
        <w:t>table </w:t>
      </w:r>
      <w:r w:rsidR="00E121B3">
        <w:t>4.6</w:t>
      </w:r>
      <w:r w:rsidR="00393911">
        <w:t xml:space="preserve"> </w:t>
      </w:r>
      <w:r w:rsidRPr="004877DD">
        <w:t>column</w:t>
      </w:r>
      <w:r w:rsidR="00393911">
        <w:t> </w:t>
      </w:r>
      <w:r w:rsidRPr="004877DD">
        <w:t>7) by industry grouping for the period 200</w:t>
      </w:r>
      <w:r>
        <w:t>7</w:t>
      </w:r>
      <w:r>
        <w:noBreakHyphen/>
      </w:r>
      <w:r w:rsidRPr="004877DD">
        <w:t>0</w:t>
      </w:r>
      <w:r>
        <w:t>8</w:t>
      </w:r>
      <w:r w:rsidRPr="004877DD">
        <w:t xml:space="preserve"> to 201</w:t>
      </w:r>
      <w:r>
        <w:t>2</w:t>
      </w:r>
      <w:r>
        <w:noBreakHyphen/>
      </w:r>
      <w:r w:rsidRPr="004877DD">
        <w:t>1</w:t>
      </w:r>
      <w:r>
        <w:t>3</w:t>
      </w:r>
      <w:r w:rsidRPr="004877DD">
        <w:t xml:space="preserve"> is presented in appendix</w:t>
      </w:r>
      <w:r w:rsidR="00812A7A">
        <w:t> </w:t>
      </w:r>
      <w:r w:rsidRPr="004877DD">
        <w:t>A.</w:t>
      </w:r>
      <w:r>
        <w:t xml:space="preserve"> </w:t>
      </w:r>
    </w:p>
    <w:p w:rsidR="00D42BA5" w:rsidRDefault="00BF747D" w:rsidP="00BF747D">
      <w:pPr>
        <w:pStyle w:val="Heading3"/>
      </w:pPr>
      <w:r>
        <w:t>Effective rates of (combined) assistance</w:t>
      </w:r>
    </w:p>
    <w:p w:rsidR="00D42BA5" w:rsidRDefault="0057657D" w:rsidP="0057657D">
      <w:pPr>
        <w:pStyle w:val="Heading4"/>
      </w:pPr>
      <w:r>
        <w:t>Estimated effective rates of combined assistance by industry grouping</w:t>
      </w:r>
    </w:p>
    <w:p w:rsidR="00D13862" w:rsidRDefault="00D13862" w:rsidP="00D13862">
      <w:pPr>
        <w:pStyle w:val="BodyText"/>
      </w:pPr>
      <w:r>
        <w:t>For the manufacturing sector, the estimated effective rate of assistance — that is, the value of assistance as a proportion of (unassisted) value added — was 4.</w:t>
      </w:r>
      <w:r w:rsidR="00B75646">
        <w:t>2</w:t>
      </w:r>
      <w:r>
        <w:t> per cent in 2012</w:t>
      </w:r>
      <w:r>
        <w:noBreakHyphen/>
        <w:t xml:space="preserve">13, and </w:t>
      </w:r>
      <w:r w:rsidR="0026720C">
        <w:t xml:space="preserve">was </w:t>
      </w:r>
      <w:r>
        <w:t>in line with the estimate for previous years (table </w:t>
      </w:r>
      <w:r w:rsidR="00E121B3">
        <w:t>4.7</w:t>
      </w:r>
      <w:r>
        <w:t>). The effective rate for the primary sector in 2012</w:t>
      </w:r>
      <w:r>
        <w:noBreakHyphen/>
        <w:t>13 was 2.</w:t>
      </w:r>
      <w:r w:rsidR="000B2052">
        <w:t>6</w:t>
      </w:r>
      <w:r>
        <w:t> per cent. (It had reached 6.4 per cent in 2007</w:t>
      </w:r>
      <w:r>
        <w:noBreakHyphen/>
        <w:t>08, reflecting assistance afforded the industry for drought relief</w:t>
      </w:r>
      <w:r w:rsidR="00EC32C2">
        <w:t xml:space="preserve"> and the Dairy Structural Adjustment Program</w:t>
      </w:r>
      <w:r>
        <w:t>). The estimated effective rate of assistance from tariff and budgetary assistance for mining is negligible.</w:t>
      </w:r>
    </w:p>
    <w:p w:rsidR="0000351C" w:rsidRPr="00393911" w:rsidRDefault="0000351C" w:rsidP="00393911">
      <w:pPr>
        <w:pStyle w:val="Heading5"/>
      </w:pPr>
      <w:r w:rsidRPr="00393911">
        <w:t>Textiles, leather, clothing and footwear and Motor vehicles and parts</w:t>
      </w:r>
    </w:p>
    <w:p w:rsidR="0000351C" w:rsidRDefault="0000351C" w:rsidP="00D13862">
      <w:pPr>
        <w:pStyle w:val="BodyText"/>
      </w:pPr>
      <w:r>
        <w:t xml:space="preserve">The </w:t>
      </w:r>
      <w:r w:rsidRPr="00B543AB">
        <w:rPr>
          <w:i/>
        </w:rPr>
        <w:t>Textiles, leather, clothing and footwear</w:t>
      </w:r>
      <w:r>
        <w:t xml:space="preserve"> and </w:t>
      </w:r>
      <w:r w:rsidRPr="00B543AB">
        <w:rPr>
          <w:i/>
        </w:rPr>
        <w:t>Motor vehicle and parts</w:t>
      </w:r>
      <w:r>
        <w:t xml:space="preserve"> industry groupings continue to have higher effective rates of combined assistance than other manufacturing activities. While remaining relatively high, the estimated effective rates of assistance to both industry groups have declined significantly over recent decades following substantial reductions in tariff rates and the removal of import quotas. Effective rates of assistance for these industries have also declined significantly since 2008</w:t>
      </w:r>
      <w:r>
        <w:noBreakHyphen/>
        <w:t xml:space="preserve">09, following the legislated tariff cuts in January 2010 and net reductions in budgetary assistance following the closure of </w:t>
      </w:r>
      <w:r w:rsidR="00393911">
        <w:t xml:space="preserve">the Automotive Competitiveness and Investment Scheme </w:t>
      </w:r>
      <w:r>
        <w:t xml:space="preserve">and introduction of new automotive assistance arrangements. </w:t>
      </w:r>
    </w:p>
    <w:p w:rsidR="00BF747D" w:rsidRDefault="00BF747D">
      <w:pPr>
        <w:pStyle w:val="TableTitle"/>
      </w:pPr>
      <w:r>
        <w:rPr>
          <w:b w:val="0"/>
        </w:rPr>
        <w:lastRenderedPageBreak/>
        <w:t xml:space="preserve">Table </w:t>
      </w:r>
      <w:bookmarkStart w:id="16" w:name="OLE_LINK8"/>
      <w:r w:rsidR="00361E17">
        <w:rPr>
          <w:b w:val="0"/>
        </w:rPr>
        <w:t>4.</w:t>
      </w:r>
      <w:r w:rsidR="00000604">
        <w:rPr>
          <w:b w:val="0"/>
          <w:noProof/>
        </w:rPr>
        <w:t>7</w:t>
      </w:r>
      <w:bookmarkEnd w:id="16"/>
      <w:r>
        <w:tab/>
        <w:t>Effective rate of combined assistance by industry grouping, 2007</w:t>
      </w:r>
      <w:r>
        <w:noBreakHyphen/>
        <w:t>08 to 2012</w:t>
      </w:r>
      <w:r>
        <w:noBreakHyphen/>
        <w:t>13</w:t>
      </w:r>
      <w:r w:rsidR="00B60BA0" w:rsidRPr="000567A8">
        <w:rPr>
          <w:rStyle w:val="NoteLabel"/>
        </w:rPr>
        <w:t>a</w:t>
      </w:r>
    </w:p>
    <w:p w:rsidR="00BF747D" w:rsidRDefault="00BF747D">
      <w:pPr>
        <w:pStyle w:val="Subtitle"/>
      </w:pPr>
      <w:r>
        <w:t>per cent</w:t>
      </w:r>
    </w:p>
    <w:tbl>
      <w:tblPr>
        <w:tblW w:w="5000" w:type="pct"/>
        <w:tblCellMar>
          <w:left w:w="0" w:type="dxa"/>
          <w:right w:w="0" w:type="dxa"/>
        </w:tblCellMar>
        <w:tblLook w:val="0000" w:firstRow="0" w:lastRow="0" w:firstColumn="0" w:lastColumn="0" w:noHBand="0" w:noVBand="0"/>
      </w:tblPr>
      <w:tblGrid>
        <w:gridCol w:w="2849"/>
        <w:gridCol w:w="990"/>
        <w:gridCol w:w="990"/>
        <w:gridCol w:w="990"/>
        <w:gridCol w:w="990"/>
        <w:gridCol w:w="990"/>
        <w:gridCol w:w="990"/>
      </w:tblGrid>
      <w:tr w:rsidR="001810DC" w:rsidTr="00A06CD1">
        <w:tc>
          <w:tcPr>
            <w:tcW w:w="1621" w:type="pct"/>
            <w:tcBorders>
              <w:top w:val="single" w:sz="6" w:space="0" w:color="auto"/>
              <w:bottom w:val="single" w:sz="6" w:space="0" w:color="auto"/>
            </w:tcBorders>
            <w:shd w:val="clear" w:color="auto" w:fill="auto"/>
          </w:tcPr>
          <w:p w:rsidR="001810DC" w:rsidRDefault="001810DC" w:rsidP="00C2755E">
            <w:pPr>
              <w:pStyle w:val="TableColumnHeading"/>
              <w:jc w:val="left"/>
            </w:pPr>
          </w:p>
        </w:tc>
        <w:tc>
          <w:tcPr>
            <w:tcW w:w="563" w:type="pct"/>
            <w:tcBorders>
              <w:top w:val="single" w:sz="6" w:space="0" w:color="auto"/>
              <w:bottom w:val="single" w:sz="6" w:space="0" w:color="auto"/>
            </w:tcBorders>
          </w:tcPr>
          <w:p w:rsidR="001810DC" w:rsidRDefault="001810DC" w:rsidP="00C2755E">
            <w:pPr>
              <w:pStyle w:val="TableColumnHeading"/>
            </w:pPr>
            <w:r>
              <w:t>2007-08</w:t>
            </w:r>
          </w:p>
        </w:tc>
        <w:tc>
          <w:tcPr>
            <w:tcW w:w="563" w:type="pct"/>
            <w:tcBorders>
              <w:top w:val="single" w:sz="6" w:space="0" w:color="auto"/>
              <w:bottom w:val="single" w:sz="6" w:space="0" w:color="auto"/>
            </w:tcBorders>
          </w:tcPr>
          <w:p w:rsidR="001810DC" w:rsidRDefault="001810DC" w:rsidP="00C2755E">
            <w:pPr>
              <w:pStyle w:val="TableColumnHeading"/>
            </w:pPr>
            <w:r>
              <w:t>2008-09</w:t>
            </w:r>
          </w:p>
        </w:tc>
        <w:tc>
          <w:tcPr>
            <w:tcW w:w="563" w:type="pct"/>
            <w:tcBorders>
              <w:top w:val="single" w:sz="6" w:space="0" w:color="auto"/>
              <w:bottom w:val="single" w:sz="6" w:space="0" w:color="auto"/>
            </w:tcBorders>
          </w:tcPr>
          <w:p w:rsidR="001810DC" w:rsidRDefault="001810DC" w:rsidP="00C2755E">
            <w:pPr>
              <w:pStyle w:val="TableColumnHeading"/>
            </w:pPr>
            <w:r>
              <w:t>2009-10</w:t>
            </w:r>
          </w:p>
        </w:tc>
        <w:tc>
          <w:tcPr>
            <w:tcW w:w="563" w:type="pct"/>
            <w:tcBorders>
              <w:top w:val="single" w:sz="6" w:space="0" w:color="auto"/>
              <w:bottom w:val="single" w:sz="6" w:space="0" w:color="auto"/>
            </w:tcBorders>
          </w:tcPr>
          <w:p w:rsidR="001810DC" w:rsidRDefault="001810DC" w:rsidP="00C2755E">
            <w:pPr>
              <w:pStyle w:val="TableColumnHeading"/>
            </w:pPr>
            <w:r>
              <w:t>2010-11</w:t>
            </w:r>
          </w:p>
        </w:tc>
        <w:tc>
          <w:tcPr>
            <w:tcW w:w="563" w:type="pct"/>
            <w:tcBorders>
              <w:top w:val="single" w:sz="6" w:space="0" w:color="auto"/>
              <w:bottom w:val="single" w:sz="6" w:space="0" w:color="auto"/>
            </w:tcBorders>
            <w:shd w:val="clear" w:color="auto" w:fill="auto"/>
          </w:tcPr>
          <w:p w:rsidR="001810DC" w:rsidRDefault="001810DC" w:rsidP="00C2755E">
            <w:pPr>
              <w:pStyle w:val="TableColumnHeading"/>
            </w:pPr>
            <w:r>
              <w:t>2011-12</w:t>
            </w:r>
          </w:p>
        </w:tc>
        <w:tc>
          <w:tcPr>
            <w:tcW w:w="563" w:type="pct"/>
            <w:tcBorders>
              <w:top w:val="single" w:sz="6" w:space="0" w:color="auto"/>
              <w:bottom w:val="single" w:sz="6" w:space="0" w:color="auto"/>
            </w:tcBorders>
            <w:shd w:val="clear" w:color="auto" w:fill="auto"/>
          </w:tcPr>
          <w:p w:rsidR="001810DC" w:rsidRDefault="001810DC" w:rsidP="00C2755E">
            <w:pPr>
              <w:pStyle w:val="TableColumnHeading"/>
              <w:ind w:right="28"/>
            </w:pPr>
            <w:r>
              <w:t>2012-13</w:t>
            </w:r>
          </w:p>
        </w:tc>
      </w:tr>
      <w:tr w:rsidR="00C502CD" w:rsidTr="00A06CD1">
        <w:tc>
          <w:tcPr>
            <w:tcW w:w="1621" w:type="pct"/>
            <w:tcBorders>
              <w:top w:val="single" w:sz="6" w:space="0" w:color="auto"/>
            </w:tcBorders>
            <w:vAlign w:val="center"/>
          </w:tcPr>
          <w:p w:rsidR="00C502CD" w:rsidRPr="00ED5AA3" w:rsidRDefault="00C502CD" w:rsidP="00CF43FF">
            <w:pPr>
              <w:pStyle w:val="TableUnitsRow"/>
              <w:spacing w:after="40"/>
              <w:jc w:val="left"/>
            </w:pPr>
            <w:r w:rsidRPr="00A06CD1">
              <w:rPr>
                <w:b/>
              </w:rPr>
              <w:t>Primary production</w:t>
            </w:r>
            <w:r w:rsidRPr="000567A8">
              <w:rPr>
                <w:rStyle w:val="NoteLabel"/>
              </w:rPr>
              <w:t>b</w:t>
            </w:r>
          </w:p>
        </w:tc>
        <w:tc>
          <w:tcPr>
            <w:tcW w:w="563" w:type="pct"/>
            <w:tcBorders>
              <w:top w:val="single" w:sz="6" w:space="0" w:color="auto"/>
            </w:tcBorders>
          </w:tcPr>
          <w:p w:rsidR="00C502CD" w:rsidRPr="00C502CD" w:rsidRDefault="00C502CD" w:rsidP="00CF43FF">
            <w:pPr>
              <w:pStyle w:val="TableUnitsRow"/>
              <w:spacing w:before="120" w:after="40"/>
              <w:rPr>
                <w:b/>
              </w:rPr>
            </w:pPr>
            <w:r w:rsidRPr="00C502CD">
              <w:rPr>
                <w:b/>
              </w:rPr>
              <w:t>6.4</w:t>
            </w:r>
          </w:p>
        </w:tc>
        <w:tc>
          <w:tcPr>
            <w:tcW w:w="563" w:type="pct"/>
            <w:tcBorders>
              <w:top w:val="single" w:sz="6" w:space="0" w:color="auto"/>
            </w:tcBorders>
          </w:tcPr>
          <w:p w:rsidR="00C502CD" w:rsidRPr="00C502CD" w:rsidRDefault="00C502CD" w:rsidP="00CF43FF">
            <w:pPr>
              <w:pStyle w:val="TableUnitsRow"/>
              <w:spacing w:before="120" w:after="40"/>
              <w:rPr>
                <w:b/>
              </w:rPr>
            </w:pPr>
            <w:r w:rsidRPr="00C502CD">
              <w:rPr>
                <w:b/>
              </w:rPr>
              <w:t>4.7</w:t>
            </w:r>
          </w:p>
        </w:tc>
        <w:tc>
          <w:tcPr>
            <w:tcW w:w="563" w:type="pct"/>
            <w:tcBorders>
              <w:top w:val="single" w:sz="6" w:space="0" w:color="auto"/>
            </w:tcBorders>
          </w:tcPr>
          <w:p w:rsidR="00C502CD" w:rsidRPr="00C502CD" w:rsidRDefault="00C502CD" w:rsidP="00CF43FF">
            <w:pPr>
              <w:pStyle w:val="TableUnitsRow"/>
              <w:spacing w:before="120" w:after="40"/>
              <w:rPr>
                <w:b/>
              </w:rPr>
            </w:pPr>
            <w:r w:rsidRPr="00C502CD">
              <w:rPr>
                <w:b/>
              </w:rPr>
              <w:t>4.3</w:t>
            </w:r>
          </w:p>
        </w:tc>
        <w:tc>
          <w:tcPr>
            <w:tcW w:w="563" w:type="pct"/>
            <w:tcBorders>
              <w:top w:val="single" w:sz="6" w:space="0" w:color="auto"/>
            </w:tcBorders>
          </w:tcPr>
          <w:p w:rsidR="00C502CD" w:rsidRPr="00C502CD" w:rsidRDefault="00C502CD" w:rsidP="00090D7A">
            <w:pPr>
              <w:pStyle w:val="TableUnitsRow"/>
              <w:spacing w:before="120" w:after="40"/>
              <w:rPr>
                <w:b/>
              </w:rPr>
            </w:pPr>
            <w:r w:rsidRPr="00C502CD">
              <w:rPr>
                <w:b/>
              </w:rPr>
              <w:t>3.2</w:t>
            </w:r>
          </w:p>
        </w:tc>
        <w:tc>
          <w:tcPr>
            <w:tcW w:w="563" w:type="pct"/>
            <w:tcBorders>
              <w:top w:val="single" w:sz="6" w:space="0" w:color="auto"/>
            </w:tcBorders>
          </w:tcPr>
          <w:p w:rsidR="00C502CD" w:rsidRPr="00C502CD" w:rsidRDefault="00C502CD" w:rsidP="00090D7A">
            <w:pPr>
              <w:pStyle w:val="TableUnitsRow"/>
              <w:spacing w:before="120" w:after="40"/>
              <w:rPr>
                <w:b/>
              </w:rPr>
            </w:pPr>
            <w:r w:rsidRPr="00C502CD">
              <w:rPr>
                <w:b/>
              </w:rPr>
              <w:t>3.3</w:t>
            </w:r>
          </w:p>
        </w:tc>
        <w:tc>
          <w:tcPr>
            <w:tcW w:w="563" w:type="pct"/>
            <w:tcBorders>
              <w:top w:val="single" w:sz="6" w:space="0" w:color="auto"/>
            </w:tcBorders>
          </w:tcPr>
          <w:p w:rsidR="00C502CD" w:rsidRPr="00C502CD" w:rsidRDefault="00C502CD" w:rsidP="00090D7A">
            <w:pPr>
              <w:pStyle w:val="TableUnitsRow"/>
              <w:spacing w:before="120" w:after="40"/>
              <w:rPr>
                <w:b/>
              </w:rPr>
            </w:pPr>
            <w:r w:rsidRPr="00C502CD">
              <w:rPr>
                <w:b/>
              </w:rPr>
              <w:t>2.6</w:t>
            </w:r>
          </w:p>
        </w:tc>
      </w:tr>
      <w:tr w:rsidR="00C502CD" w:rsidTr="00B75646">
        <w:tc>
          <w:tcPr>
            <w:tcW w:w="1621" w:type="pct"/>
            <w:vAlign w:val="center"/>
          </w:tcPr>
          <w:p w:rsidR="00C502CD" w:rsidRDefault="00C502CD" w:rsidP="00C00219">
            <w:pPr>
              <w:pStyle w:val="TableBodyText"/>
              <w:jc w:val="left"/>
            </w:pPr>
            <w:r>
              <w:t>Horticulture and fruit growing</w:t>
            </w:r>
          </w:p>
        </w:tc>
        <w:tc>
          <w:tcPr>
            <w:tcW w:w="563" w:type="pct"/>
          </w:tcPr>
          <w:p w:rsidR="00C502CD" w:rsidRPr="00A2230C" w:rsidRDefault="00C502CD" w:rsidP="00090D7A">
            <w:pPr>
              <w:pStyle w:val="TableBodyText"/>
            </w:pPr>
            <w:r w:rsidRPr="00C2078C">
              <w:t>4.3</w:t>
            </w:r>
          </w:p>
        </w:tc>
        <w:tc>
          <w:tcPr>
            <w:tcW w:w="563" w:type="pct"/>
          </w:tcPr>
          <w:p w:rsidR="00C502CD" w:rsidRPr="00A2230C" w:rsidRDefault="00C502CD" w:rsidP="00090D7A">
            <w:pPr>
              <w:pStyle w:val="TableBodyText"/>
            </w:pPr>
            <w:r w:rsidRPr="00C2078C">
              <w:t>4.4</w:t>
            </w:r>
          </w:p>
        </w:tc>
        <w:tc>
          <w:tcPr>
            <w:tcW w:w="563" w:type="pct"/>
          </w:tcPr>
          <w:p w:rsidR="00C502CD" w:rsidRPr="00A2230C" w:rsidRDefault="00C502CD" w:rsidP="00090D7A">
            <w:pPr>
              <w:pStyle w:val="TableBodyText"/>
            </w:pPr>
            <w:r w:rsidRPr="00C2078C">
              <w:t>3.3</w:t>
            </w:r>
          </w:p>
        </w:tc>
        <w:tc>
          <w:tcPr>
            <w:tcW w:w="563" w:type="pct"/>
          </w:tcPr>
          <w:p w:rsidR="00C502CD" w:rsidRPr="00A2230C" w:rsidRDefault="00C502CD" w:rsidP="00090D7A">
            <w:pPr>
              <w:pStyle w:val="TableBodyText"/>
            </w:pPr>
            <w:r w:rsidRPr="00C2078C">
              <w:t>3.1</w:t>
            </w:r>
          </w:p>
        </w:tc>
        <w:tc>
          <w:tcPr>
            <w:tcW w:w="563" w:type="pct"/>
          </w:tcPr>
          <w:p w:rsidR="00C502CD" w:rsidRPr="00A2230C" w:rsidRDefault="00C502CD" w:rsidP="00090D7A">
            <w:pPr>
              <w:pStyle w:val="TableBodyText"/>
            </w:pPr>
            <w:r w:rsidRPr="00C2078C">
              <w:t>2.9</w:t>
            </w:r>
          </w:p>
        </w:tc>
        <w:tc>
          <w:tcPr>
            <w:tcW w:w="563" w:type="pct"/>
          </w:tcPr>
          <w:p w:rsidR="00C502CD" w:rsidRPr="00A2230C" w:rsidRDefault="00C502CD" w:rsidP="00090D7A">
            <w:pPr>
              <w:pStyle w:val="TableBodyText"/>
            </w:pPr>
            <w:r w:rsidRPr="00C2078C">
              <w:t>2.7</w:t>
            </w:r>
          </w:p>
        </w:tc>
      </w:tr>
      <w:tr w:rsidR="00C502CD" w:rsidTr="00B75646">
        <w:tc>
          <w:tcPr>
            <w:tcW w:w="1621" w:type="pct"/>
            <w:vAlign w:val="center"/>
          </w:tcPr>
          <w:p w:rsidR="00C502CD" w:rsidRDefault="00C502CD" w:rsidP="00C00219">
            <w:pPr>
              <w:pStyle w:val="TableBodyText"/>
              <w:jc w:val="left"/>
            </w:pPr>
            <w:r>
              <w:t>Sheep, beef cattle and grain</w:t>
            </w:r>
          </w:p>
        </w:tc>
        <w:tc>
          <w:tcPr>
            <w:tcW w:w="563" w:type="pct"/>
          </w:tcPr>
          <w:p w:rsidR="00C502CD" w:rsidRPr="00A2230C" w:rsidRDefault="00C502CD" w:rsidP="00090D7A">
            <w:pPr>
              <w:pStyle w:val="TableBodyText"/>
            </w:pPr>
            <w:r w:rsidRPr="00C2078C">
              <w:t>6.3</w:t>
            </w:r>
          </w:p>
        </w:tc>
        <w:tc>
          <w:tcPr>
            <w:tcW w:w="563" w:type="pct"/>
          </w:tcPr>
          <w:p w:rsidR="00C502CD" w:rsidRPr="00A2230C" w:rsidRDefault="00C502CD" w:rsidP="00090D7A">
            <w:pPr>
              <w:pStyle w:val="TableBodyText"/>
            </w:pPr>
            <w:r w:rsidRPr="00C2078C">
              <w:t>6.3</w:t>
            </w:r>
          </w:p>
        </w:tc>
        <w:tc>
          <w:tcPr>
            <w:tcW w:w="563" w:type="pct"/>
          </w:tcPr>
          <w:p w:rsidR="00C502CD" w:rsidRPr="00A2230C" w:rsidRDefault="00C502CD" w:rsidP="00090D7A">
            <w:pPr>
              <w:pStyle w:val="TableBodyText"/>
            </w:pPr>
            <w:r w:rsidRPr="00C2078C">
              <w:t>5.7</w:t>
            </w:r>
          </w:p>
        </w:tc>
        <w:tc>
          <w:tcPr>
            <w:tcW w:w="563" w:type="pct"/>
          </w:tcPr>
          <w:p w:rsidR="00C502CD" w:rsidRPr="00A2230C" w:rsidRDefault="00C502CD" w:rsidP="00090D7A">
            <w:pPr>
              <w:pStyle w:val="TableBodyText"/>
            </w:pPr>
            <w:r w:rsidRPr="00C2078C">
              <w:t>3.5</w:t>
            </w:r>
          </w:p>
        </w:tc>
        <w:tc>
          <w:tcPr>
            <w:tcW w:w="563" w:type="pct"/>
          </w:tcPr>
          <w:p w:rsidR="00C502CD" w:rsidRPr="00A2230C" w:rsidRDefault="00C502CD" w:rsidP="00090D7A">
            <w:pPr>
              <w:pStyle w:val="TableBodyText"/>
            </w:pPr>
            <w:r w:rsidRPr="00C2078C">
              <w:t>3.0</w:t>
            </w:r>
          </w:p>
        </w:tc>
        <w:tc>
          <w:tcPr>
            <w:tcW w:w="563" w:type="pct"/>
          </w:tcPr>
          <w:p w:rsidR="00C502CD" w:rsidRPr="00A2230C" w:rsidRDefault="00C502CD" w:rsidP="00090D7A">
            <w:pPr>
              <w:pStyle w:val="TableBodyText"/>
            </w:pPr>
            <w:r w:rsidRPr="00C2078C">
              <w:t>2.3</w:t>
            </w:r>
          </w:p>
        </w:tc>
      </w:tr>
      <w:tr w:rsidR="00C502CD" w:rsidTr="00B75646">
        <w:tc>
          <w:tcPr>
            <w:tcW w:w="1621" w:type="pct"/>
            <w:vAlign w:val="center"/>
          </w:tcPr>
          <w:p w:rsidR="00C502CD" w:rsidRDefault="00C502CD" w:rsidP="00C00219">
            <w:pPr>
              <w:pStyle w:val="TableBodyText"/>
              <w:jc w:val="left"/>
            </w:pPr>
            <w:r>
              <w:t>Other crop growing</w:t>
            </w:r>
          </w:p>
        </w:tc>
        <w:tc>
          <w:tcPr>
            <w:tcW w:w="563" w:type="pct"/>
          </w:tcPr>
          <w:p w:rsidR="00C502CD" w:rsidRPr="00A2230C" w:rsidRDefault="00C502CD" w:rsidP="00090D7A">
            <w:pPr>
              <w:pStyle w:val="TableBodyText"/>
            </w:pPr>
            <w:r w:rsidRPr="00C2078C">
              <w:t>6.9</w:t>
            </w:r>
          </w:p>
        </w:tc>
        <w:tc>
          <w:tcPr>
            <w:tcW w:w="563" w:type="pct"/>
          </w:tcPr>
          <w:p w:rsidR="00C502CD" w:rsidRPr="00A2230C" w:rsidRDefault="00C502CD" w:rsidP="00090D7A">
            <w:pPr>
              <w:pStyle w:val="TableBodyText"/>
            </w:pPr>
            <w:r w:rsidRPr="00C2078C">
              <w:t>2.0</w:t>
            </w:r>
          </w:p>
        </w:tc>
        <w:tc>
          <w:tcPr>
            <w:tcW w:w="563" w:type="pct"/>
          </w:tcPr>
          <w:p w:rsidR="00C502CD" w:rsidRPr="00A2230C" w:rsidRDefault="00C502CD" w:rsidP="00090D7A">
            <w:pPr>
              <w:pStyle w:val="TableBodyText"/>
            </w:pPr>
            <w:r w:rsidRPr="00C2078C">
              <w:t>1.9</w:t>
            </w:r>
          </w:p>
        </w:tc>
        <w:tc>
          <w:tcPr>
            <w:tcW w:w="563" w:type="pct"/>
          </w:tcPr>
          <w:p w:rsidR="00C502CD" w:rsidRPr="00A2230C" w:rsidRDefault="00C502CD" w:rsidP="00090D7A">
            <w:pPr>
              <w:pStyle w:val="TableBodyText"/>
            </w:pPr>
            <w:r w:rsidRPr="00C2078C">
              <w:t>1.0</w:t>
            </w:r>
          </w:p>
        </w:tc>
        <w:tc>
          <w:tcPr>
            <w:tcW w:w="563" w:type="pct"/>
          </w:tcPr>
          <w:p w:rsidR="00C502CD" w:rsidRPr="00A2230C" w:rsidRDefault="00C502CD" w:rsidP="00090D7A">
            <w:pPr>
              <w:pStyle w:val="TableBodyText"/>
            </w:pPr>
            <w:r w:rsidRPr="00C2078C">
              <w:t>1.6</w:t>
            </w:r>
          </w:p>
        </w:tc>
        <w:tc>
          <w:tcPr>
            <w:tcW w:w="563" w:type="pct"/>
          </w:tcPr>
          <w:p w:rsidR="00C502CD" w:rsidRPr="00A2230C" w:rsidRDefault="00C502CD" w:rsidP="00090D7A">
            <w:pPr>
              <w:pStyle w:val="TableBodyText"/>
            </w:pPr>
            <w:r w:rsidRPr="00C2078C">
              <w:t>1.5</w:t>
            </w:r>
          </w:p>
        </w:tc>
      </w:tr>
      <w:tr w:rsidR="00C502CD" w:rsidTr="00B75646">
        <w:tc>
          <w:tcPr>
            <w:tcW w:w="1621" w:type="pct"/>
            <w:vAlign w:val="center"/>
          </w:tcPr>
          <w:p w:rsidR="00C502CD" w:rsidRDefault="00C502CD" w:rsidP="00C00219">
            <w:pPr>
              <w:pStyle w:val="TableBodyText"/>
              <w:jc w:val="left"/>
            </w:pPr>
            <w:r>
              <w:t>Dairy cattle farming</w:t>
            </w:r>
          </w:p>
        </w:tc>
        <w:tc>
          <w:tcPr>
            <w:tcW w:w="563" w:type="pct"/>
          </w:tcPr>
          <w:p w:rsidR="00C502CD" w:rsidRPr="00A2230C" w:rsidRDefault="00C502CD" w:rsidP="00090D7A">
            <w:pPr>
              <w:pStyle w:val="TableBodyText"/>
            </w:pPr>
            <w:r w:rsidRPr="00C2078C">
              <w:t>13.2</w:t>
            </w:r>
          </w:p>
        </w:tc>
        <w:tc>
          <w:tcPr>
            <w:tcW w:w="563" w:type="pct"/>
          </w:tcPr>
          <w:p w:rsidR="00C502CD" w:rsidRPr="00A2230C" w:rsidRDefault="00C502CD" w:rsidP="00090D7A">
            <w:pPr>
              <w:pStyle w:val="TableBodyText"/>
            </w:pPr>
            <w:r w:rsidRPr="00C2078C">
              <w:t>4.5</w:t>
            </w:r>
          </w:p>
        </w:tc>
        <w:tc>
          <w:tcPr>
            <w:tcW w:w="563" w:type="pct"/>
          </w:tcPr>
          <w:p w:rsidR="00C502CD" w:rsidRPr="00A2230C" w:rsidRDefault="00C502CD" w:rsidP="00090D7A">
            <w:pPr>
              <w:pStyle w:val="TableBodyText"/>
            </w:pPr>
            <w:r w:rsidRPr="00C2078C">
              <w:t>5.9</w:t>
            </w:r>
          </w:p>
        </w:tc>
        <w:tc>
          <w:tcPr>
            <w:tcW w:w="563" w:type="pct"/>
          </w:tcPr>
          <w:p w:rsidR="00C502CD" w:rsidRPr="00A2230C" w:rsidRDefault="00C502CD" w:rsidP="00090D7A">
            <w:pPr>
              <w:pStyle w:val="TableBodyText"/>
            </w:pPr>
            <w:r w:rsidRPr="00C2078C">
              <w:t>3.5</w:t>
            </w:r>
          </w:p>
        </w:tc>
        <w:tc>
          <w:tcPr>
            <w:tcW w:w="563" w:type="pct"/>
          </w:tcPr>
          <w:p w:rsidR="00C502CD" w:rsidRPr="00A2230C" w:rsidRDefault="00C502CD" w:rsidP="00090D7A">
            <w:pPr>
              <w:pStyle w:val="TableBodyText"/>
            </w:pPr>
            <w:r w:rsidRPr="00C2078C">
              <w:t>2.7</w:t>
            </w:r>
          </w:p>
        </w:tc>
        <w:tc>
          <w:tcPr>
            <w:tcW w:w="563" w:type="pct"/>
          </w:tcPr>
          <w:p w:rsidR="00C502CD" w:rsidRPr="00A2230C" w:rsidRDefault="00C502CD" w:rsidP="00090D7A">
            <w:pPr>
              <w:pStyle w:val="TableBodyText"/>
            </w:pPr>
            <w:r w:rsidRPr="00C2078C">
              <w:t>2.1</w:t>
            </w:r>
          </w:p>
        </w:tc>
      </w:tr>
      <w:tr w:rsidR="00C502CD" w:rsidTr="00B75646">
        <w:tc>
          <w:tcPr>
            <w:tcW w:w="1621" w:type="pct"/>
            <w:vAlign w:val="center"/>
          </w:tcPr>
          <w:p w:rsidR="00C502CD" w:rsidRDefault="00C502CD" w:rsidP="00C00219">
            <w:pPr>
              <w:pStyle w:val="TableBodyText"/>
              <w:jc w:val="left"/>
            </w:pPr>
            <w:r>
              <w:t>Other livestock farming</w:t>
            </w:r>
          </w:p>
        </w:tc>
        <w:tc>
          <w:tcPr>
            <w:tcW w:w="563" w:type="pct"/>
          </w:tcPr>
          <w:p w:rsidR="00C502CD" w:rsidRPr="00A2230C" w:rsidRDefault="00C502CD" w:rsidP="00090D7A">
            <w:pPr>
              <w:pStyle w:val="TableBodyText"/>
            </w:pPr>
            <w:r w:rsidRPr="00C2078C">
              <w:t>1.7</w:t>
            </w:r>
          </w:p>
        </w:tc>
        <w:tc>
          <w:tcPr>
            <w:tcW w:w="563" w:type="pct"/>
          </w:tcPr>
          <w:p w:rsidR="00C502CD" w:rsidRPr="00A2230C" w:rsidRDefault="00C502CD" w:rsidP="00090D7A">
            <w:pPr>
              <w:pStyle w:val="TableBodyText"/>
            </w:pPr>
            <w:r w:rsidRPr="00C2078C">
              <w:t>1.2</w:t>
            </w:r>
          </w:p>
        </w:tc>
        <w:tc>
          <w:tcPr>
            <w:tcW w:w="563" w:type="pct"/>
          </w:tcPr>
          <w:p w:rsidR="00C502CD" w:rsidRPr="00A2230C" w:rsidRDefault="00C502CD" w:rsidP="00090D7A">
            <w:pPr>
              <w:pStyle w:val="TableBodyText"/>
            </w:pPr>
            <w:r w:rsidRPr="00C2078C">
              <w:t>1.1</w:t>
            </w:r>
          </w:p>
        </w:tc>
        <w:tc>
          <w:tcPr>
            <w:tcW w:w="563" w:type="pct"/>
          </w:tcPr>
          <w:p w:rsidR="00C502CD" w:rsidRPr="00A2230C" w:rsidRDefault="00C502CD" w:rsidP="00090D7A">
            <w:pPr>
              <w:pStyle w:val="TableBodyText"/>
            </w:pPr>
            <w:r w:rsidRPr="00C2078C">
              <w:t>0.9</w:t>
            </w:r>
          </w:p>
        </w:tc>
        <w:tc>
          <w:tcPr>
            <w:tcW w:w="563" w:type="pct"/>
          </w:tcPr>
          <w:p w:rsidR="00C502CD" w:rsidRPr="00A2230C" w:rsidRDefault="00C502CD" w:rsidP="00090D7A">
            <w:pPr>
              <w:pStyle w:val="TableBodyText"/>
            </w:pPr>
            <w:r w:rsidRPr="00C2078C">
              <w:t>1.4</w:t>
            </w:r>
          </w:p>
        </w:tc>
        <w:tc>
          <w:tcPr>
            <w:tcW w:w="563" w:type="pct"/>
          </w:tcPr>
          <w:p w:rsidR="00C502CD" w:rsidRPr="00A2230C" w:rsidRDefault="00C502CD" w:rsidP="00090D7A">
            <w:pPr>
              <w:pStyle w:val="TableBodyText"/>
            </w:pPr>
            <w:r w:rsidRPr="00C2078C">
              <w:t>0.8</w:t>
            </w:r>
          </w:p>
        </w:tc>
      </w:tr>
      <w:tr w:rsidR="00C502CD" w:rsidTr="00B75646">
        <w:tc>
          <w:tcPr>
            <w:tcW w:w="1621" w:type="pct"/>
            <w:vAlign w:val="center"/>
          </w:tcPr>
          <w:p w:rsidR="00C502CD" w:rsidRDefault="00C502CD" w:rsidP="00C00219">
            <w:pPr>
              <w:pStyle w:val="TableBodyText"/>
              <w:jc w:val="left"/>
            </w:pPr>
            <w:r>
              <w:t>Aquaculture and fishing</w:t>
            </w:r>
          </w:p>
        </w:tc>
        <w:tc>
          <w:tcPr>
            <w:tcW w:w="563" w:type="pct"/>
          </w:tcPr>
          <w:p w:rsidR="00C502CD" w:rsidRPr="00A2230C" w:rsidRDefault="00C502CD" w:rsidP="00090D7A">
            <w:pPr>
              <w:pStyle w:val="TableBodyText"/>
            </w:pPr>
            <w:r w:rsidRPr="00C2078C">
              <w:t>6.8</w:t>
            </w:r>
          </w:p>
        </w:tc>
        <w:tc>
          <w:tcPr>
            <w:tcW w:w="563" w:type="pct"/>
          </w:tcPr>
          <w:p w:rsidR="00C502CD" w:rsidRPr="00A2230C" w:rsidRDefault="00C502CD" w:rsidP="00090D7A">
            <w:pPr>
              <w:pStyle w:val="TableBodyText"/>
            </w:pPr>
            <w:r w:rsidRPr="00C2078C">
              <w:t>3.5</w:t>
            </w:r>
          </w:p>
        </w:tc>
        <w:tc>
          <w:tcPr>
            <w:tcW w:w="563" w:type="pct"/>
          </w:tcPr>
          <w:p w:rsidR="00C502CD" w:rsidRPr="00A2230C" w:rsidRDefault="00C502CD" w:rsidP="00090D7A">
            <w:pPr>
              <w:pStyle w:val="TableBodyText"/>
            </w:pPr>
            <w:r w:rsidRPr="00C2078C">
              <w:t>4.1</w:t>
            </w:r>
          </w:p>
        </w:tc>
        <w:tc>
          <w:tcPr>
            <w:tcW w:w="563" w:type="pct"/>
          </w:tcPr>
          <w:p w:rsidR="00C502CD" w:rsidRPr="00A2230C" w:rsidRDefault="00C502CD" w:rsidP="00090D7A">
            <w:pPr>
              <w:pStyle w:val="TableBodyText"/>
            </w:pPr>
            <w:r w:rsidRPr="00C2078C">
              <w:t>3.7</w:t>
            </w:r>
          </w:p>
        </w:tc>
        <w:tc>
          <w:tcPr>
            <w:tcW w:w="563" w:type="pct"/>
          </w:tcPr>
          <w:p w:rsidR="00C502CD" w:rsidRPr="00A2230C" w:rsidRDefault="00C502CD" w:rsidP="00090D7A">
            <w:pPr>
              <w:pStyle w:val="TableBodyText"/>
            </w:pPr>
            <w:r w:rsidRPr="00C2078C">
              <w:t>2.9</w:t>
            </w:r>
          </w:p>
        </w:tc>
        <w:tc>
          <w:tcPr>
            <w:tcW w:w="563" w:type="pct"/>
          </w:tcPr>
          <w:p w:rsidR="00C502CD" w:rsidRPr="00A2230C" w:rsidRDefault="00C502CD" w:rsidP="00090D7A">
            <w:pPr>
              <w:pStyle w:val="TableBodyText"/>
            </w:pPr>
            <w:r w:rsidRPr="00C2078C">
              <w:t>2.9</w:t>
            </w:r>
          </w:p>
        </w:tc>
      </w:tr>
      <w:tr w:rsidR="00C502CD" w:rsidTr="00B75646">
        <w:tc>
          <w:tcPr>
            <w:tcW w:w="1621" w:type="pct"/>
            <w:vAlign w:val="center"/>
          </w:tcPr>
          <w:p w:rsidR="00C502CD" w:rsidRDefault="00C502CD" w:rsidP="00C00219">
            <w:pPr>
              <w:pStyle w:val="TableBodyText"/>
              <w:jc w:val="left"/>
            </w:pPr>
            <w:r>
              <w:t>Forestry and logging</w:t>
            </w:r>
          </w:p>
        </w:tc>
        <w:tc>
          <w:tcPr>
            <w:tcW w:w="563" w:type="pct"/>
          </w:tcPr>
          <w:p w:rsidR="00C502CD" w:rsidRPr="00A2230C" w:rsidRDefault="00C502CD" w:rsidP="00090D7A">
            <w:pPr>
              <w:pStyle w:val="TableBodyText"/>
            </w:pPr>
            <w:r w:rsidRPr="00C2078C">
              <w:t>6.9</w:t>
            </w:r>
          </w:p>
        </w:tc>
        <w:tc>
          <w:tcPr>
            <w:tcW w:w="563" w:type="pct"/>
          </w:tcPr>
          <w:p w:rsidR="00C502CD" w:rsidRPr="00A2230C" w:rsidRDefault="00C502CD" w:rsidP="00090D7A">
            <w:pPr>
              <w:pStyle w:val="TableBodyText"/>
            </w:pPr>
            <w:r w:rsidRPr="00C2078C">
              <w:t>-1.3</w:t>
            </w:r>
          </w:p>
        </w:tc>
        <w:tc>
          <w:tcPr>
            <w:tcW w:w="563" w:type="pct"/>
          </w:tcPr>
          <w:p w:rsidR="00C502CD" w:rsidRPr="00A2230C" w:rsidRDefault="00C502CD" w:rsidP="00090D7A">
            <w:pPr>
              <w:pStyle w:val="TableBodyText"/>
            </w:pPr>
            <w:r w:rsidRPr="00C2078C">
              <w:t>4.5</w:t>
            </w:r>
          </w:p>
        </w:tc>
        <w:tc>
          <w:tcPr>
            <w:tcW w:w="563" w:type="pct"/>
          </w:tcPr>
          <w:p w:rsidR="00C502CD" w:rsidRPr="00A2230C" w:rsidRDefault="00C502CD" w:rsidP="00090D7A">
            <w:pPr>
              <w:pStyle w:val="TableBodyText"/>
            </w:pPr>
            <w:r w:rsidRPr="00C2078C">
              <w:t>5.3</w:t>
            </w:r>
          </w:p>
        </w:tc>
        <w:tc>
          <w:tcPr>
            <w:tcW w:w="563" w:type="pct"/>
          </w:tcPr>
          <w:p w:rsidR="00C502CD" w:rsidRPr="00A2230C" w:rsidRDefault="00C502CD" w:rsidP="00090D7A">
            <w:pPr>
              <w:pStyle w:val="TableBodyText"/>
            </w:pPr>
            <w:r w:rsidRPr="00C2078C">
              <w:t>6.6</w:t>
            </w:r>
          </w:p>
        </w:tc>
        <w:tc>
          <w:tcPr>
            <w:tcW w:w="563" w:type="pct"/>
          </w:tcPr>
          <w:p w:rsidR="00C502CD" w:rsidRPr="00A2230C" w:rsidRDefault="00C502CD" w:rsidP="00090D7A">
            <w:pPr>
              <w:pStyle w:val="TableBodyText"/>
            </w:pPr>
            <w:r w:rsidRPr="00C2078C">
              <w:t>4.9</w:t>
            </w:r>
          </w:p>
        </w:tc>
      </w:tr>
      <w:tr w:rsidR="00C502CD" w:rsidTr="00B75646">
        <w:tc>
          <w:tcPr>
            <w:tcW w:w="1621" w:type="pct"/>
            <w:vAlign w:val="center"/>
          </w:tcPr>
          <w:p w:rsidR="00C502CD" w:rsidRDefault="00C502CD" w:rsidP="00C00219">
            <w:pPr>
              <w:pStyle w:val="TableBodyText"/>
              <w:jc w:val="left"/>
            </w:pPr>
            <w:r>
              <w:t>Primary production services</w:t>
            </w:r>
          </w:p>
        </w:tc>
        <w:tc>
          <w:tcPr>
            <w:tcW w:w="563" w:type="pct"/>
          </w:tcPr>
          <w:p w:rsidR="00C502CD" w:rsidRPr="00A2230C" w:rsidRDefault="00C502CD" w:rsidP="00090D7A">
            <w:pPr>
              <w:pStyle w:val="TableBodyText"/>
            </w:pPr>
            <w:r w:rsidRPr="00C2078C">
              <w:t>0.2</w:t>
            </w:r>
          </w:p>
        </w:tc>
        <w:tc>
          <w:tcPr>
            <w:tcW w:w="563" w:type="pct"/>
          </w:tcPr>
          <w:p w:rsidR="00C502CD" w:rsidRPr="00A2230C" w:rsidRDefault="00C502CD" w:rsidP="00090D7A">
            <w:pPr>
              <w:pStyle w:val="TableBodyText"/>
            </w:pPr>
            <w:r w:rsidRPr="00C2078C">
              <w:t>0.3</w:t>
            </w:r>
          </w:p>
        </w:tc>
        <w:tc>
          <w:tcPr>
            <w:tcW w:w="563" w:type="pct"/>
          </w:tcPr>
          <w:p w:rsidR="00C502CD" w:rsidRPr="00A2230C" w:rsidRDefault="00C502CD" w:rsidP="00090D7A">
            <w:pPr>
              <w:pStyle w:val="TableBodyText"/>
            </w:pPr>
            <w:r w:rsidRPr="00C2078C">
              <w:t>0.1</w:t>
            </w:r>
          </w:p>
        </w:tc>
        <w:tc>
          <w:tcPr>
            <w:tcW w:w="563" w:type="pct"/>
          </w:tcPr>
          <w:p w:rsidR="00C502CD" w:rsidRPr="00A2230C" w:rsidRDefault="00C502CD" w:rsidP="00090D7A">
            <w:pPr>
              <w:pStyle w:val="TableBodyText"/>
            </w:pPr>
            <w:r w:rsidRPr="00C2078C">
              <w:t>0.0</w:t>
            </w:r>
          </w:p>
        </w:tc>
        <w:tc>
          <w:tcPr>
            <w:tcW w:w="563" w:type="pct"/>
          </w:tcPr>
          <w:p w:rsidR="00C502CD" w:rsidRPr="00A2230C" w:rsidRDefault="00C502CD" w:rsidP="00090D7A">
            <w:pPr>
              <w:pStyle w:val="TableBodyText"/>
            </w:pPr>
            <w:r w:rsidRPr="00C2078C">
              <w:t>0.0</w:t>
            </w:r>
          </w:p>
        </w:tc>
        <w:tc>
          <w:tcPr>
            <w:tcW w:w="563" w:type="pct"/>
          </w:tcPr>
          <w:p w:rsidR="00C502CD" w:rsidRDefault="00C502CD" w:rsidP="00090D7A">
            <w:pPr>
              <w:pStyle w:val="TableBodyText"/>
            </w:pPr>
            <w:r w:rsidRPr="00C2078C">
              <w:t>0.0</w:t>
            </w:r>
          </w:p>
        </w:tc>
      </w:tr>
      <w:tr w:rsidR="00C502CD" w:rsidTr="00A06CD1">
        <w:tc>
          <w:tcPr>
            <w:tcW w:w="1621" w:type="pct"/>
            <w:vAlign w:val="center"/>
          </w:tcPr>
          <w:p w:rsidR="00C502CD" w:rsidRPr="00ED5AA3" w:rsidRDefault="00C502CD" w:rsidP="00CF43FF">
            <w:pPr>
              <w:pStyle w:val="TableBodyText"/>
              <w:spacing w:before="80" w:after="0"/>
              <w:jc w:val="left"/>
              <w:rPr>
                <w:b/>
              </w:rPr>
            </w:pPr>
            <w:r w:rsidRPr="00ED5AA3">
              <w:rPr>
                <w:b/>
              </w:rPr>
              <w:t>Mining</w:t>
            </w:r>
          </w:p>
        </w:tc>
        <w:tc>
          <w:tcPr>
            <w:tcW w:w="563" w:type="pct"/>
          </w:tcPr>
          <w:p w:rsidR="00C502CD" w:rsidRPr="00C502CD" w:rsidRDefault="00C502CD" w:rsidP="00AD61A3">
            <w:pPr>
              <w:pStyle w:val="TableUnitsRow"/>
              <w:spacing w:after="0"/>
              <w:rPr>
                <w:b/>
              </w:rPr>
            </w:pPr>
            <w:r w:rsidRPr="00C502CD">
              <w:rPr>
                <w:b/>
              </w:rPr>
              <w:t>0.2</w:t>
            </w:r>
          </w:p>
        </w:tc>
        <w:tc>
          <w:tcPr>
            <w:tcW w:w="563" w:type="pct"/>
          </w:tcPr>
          <w:p w:rsidR="00C502CD" w:rsidRPr="00C502CD" w:rsidRDefault="00C502CD" w:rsidP="00CF43FF">
            <w:pPr>
              <w:pStyle w:val="TableUnitsRow"/>
              <w:spacing w:after="0"/>
              <w:rPr>
                <w:b/>
              </w:rPr>
            </w:pPr>
            <w:r w:rsidRPr="00C502CD">
              <w:rPr>
                <w:b/>
              </w:rPr>
              <w:t>0.2</w:t>
            </w:r>
          </w:p>
        </w:tc>
        <w:tc>
          <w:tcPr>
            <w:tcW w:w="563" w:type="pct"/>
          </w:tcPr>
          <w:p w:rsidR="00C502CD" w:rsidRPr="00C502CD" w:rsidRDefault="00C502CD" w:rsidP="00AD61A3">
            <w:pPr>
              <w:pStyle w:val="TableUnitsRow"/>
              <w:spacing w:after="0"/>
              <w:rPr>
                <w:b/>
              </w:rPr>
            </w:pPr>
            <w:r w:rsidRPr="00C502CD">
              <w:rPr>
                <w:b/>
              </w:rPr>
              <w:t>0.2</w:t>
            </w:r>
          </w:p>
        </w:tc>
        <w:tc>
          <w:tcPr>
            <w:tcW w:w="563" w:type="pct"/>
          </w:tcPr>
          <w:p w:rsidR="00C502CD" w:rsidRPr="00C502CD" w:rsidRDefault="00C502CD" w:rsidP="00CF43FF">
            <w:pPr>
              <w:pStyle w:val="TableUnitsRow"/>
              <w:spacing w:after="0"/>
              <w:rPr>
                <w:b/>
              </w:rPr>
            </w:pPr>
            <w:r w:rsidRPr="00C502CD">
              <w:rPr>
                <w:b/>
              </w:rPr>
              <w:t>0.2</w:t>
            </w:r>
          </w:p>
        </w:tc>
        <w:tc>
          <w:tcPr>
            <w:tcW w:w="563" w:type="pct"/>
          </w:tcPr>
          <w:p w:rsidR="00C502CD" w:rsidRPr="00C502CD" w:rsidRDefault="00C502CD" w:rsidP="00CF43FF">
            <w:pPr>
              <w:pStyle w:val="TableUnitsRow"/>
              <w:spacing w:after="0"/>
              <w:rPr>
                <w:b/>
              </w:rPr>
            </w:pPr>
            <w:r w:rsidRPr="00C502CD">
              <w:rPr>
                <w:b/>
              </w:rPr>
              <w:t>0.4</w:t>
            </w:r>
          </w:p>
        </w:tc>
        <w:tc>
          <w:tcPr>
            <w:tcW w:w="563" w:type="pct"/>
          </w:tcPr>
          <w:p w:rsidR="00C502CD" w:rsidRPr="00C502CD" w:rsidRDefault="00C502CD" w:rsidP="00090D7A">
            <w:pPr>
              <w:pStyle w:val="TableUnitsRow"/>
              <w:spacing w:after="0"/>
              <w:rPr>
                <w:b/>
              </w:rPr>
            </w:pPr>
            <w:r w:rsidRPr="00C502CD">
              <w:rPr>
                <w:b/>
              </w:rPr>
              <w:t>0.2</w:t>
            </w:r>
          </w:p>
        </w:tc>
      </w:tr>
      <w:tr w:rsidR="00C502CD" w:rsidTr="00A06CD1">
        <w:tc>
          <w:tcPr>
            <w:tcW w:w="1621" w:type="pct"/>
            <w:vAlign w:val="center"/>
          </w:tcPr>
          <w:p w:rsidR="00C502CD" w:rsidRPr="00ED5AA3" w:rsidRDefault="00C502CD" w:rsidP="00CF43FF">
            <w:pPr>
              <w:pStyle w:val="TableBodyText"/>
              <w:spacing w:before="40" w:after="0"/>
              <w:jc w:val="left"/>
              <w:rPr>
                <w:b/>
              </w:rPr>
            </w:pPr>
            <w:r w:rsidRPr="00ED5AA3">
              <w:rPr>
                <w:b/>
              </w:rPr>
              <w:t>Manufacturing</w:t>
            </w:r>
            <w:r w:rsidRPr="000567A8">
              <w:rPr>
                <w:rStyle w:val="NoteLabel"/>
              </w:rPr>
              <w:t>b</w:t>
            </w:r>
          </w:p>
        </w:tc>
        <w:tc>
          <w:tcPr>
            <w:tcW w:w="563" w:type="pct"/>
          </w:tcPr>
          <w:p w:rsidR="00C502CD" w:rsidRPr="00C502CD" w:rsidRDefault="00C502CD" w:rsidP="00CF43FF">
            <w:pPr>
              <w:pStyle w:val="TableUnitsRow"/>
              <w:spacing w:after="0"/>
              <w:rPr>
                <w:b/>
              </w:rPr>
            </w:pPr>
            <w:r w:rsidRPr="00C502CD">
              <w:rPr>
                <w:b/>
              </w:rPr>
              <w:t>4.5</w:t>
            </w:r>
          </w:p>
        </w:tc>
        <w:tc>
          <w:tcPr>
            <w:tcW w:w="563" w:type="pct"/>
          </w:tcPr>
          <w:p w:rsidR="00C502CD" w:rsidRPr="00C502CD" w:rsidRDefault="00C502CD" w:rsidP="00CF43FF">
            <w:pPr>
              <w:pStyle w:val="TableUnitsRow"/>
              <w:spacing w:after="0"/>
              <w:rPr>
                <w:b/>
              </w:rPr>
            </w:pPr>
            <w:r w:rsidRPr="00C502CD">
              <w:rPr>
                <w:b/>
              </w:rPr>
              <w:t>4.6</w:t>
            </w:r>
          </w:p>
        </w:tc>
        <w:tc>
          <w:tcPr>
            <w:tcW w:w="563" w:type="pct"/>
          </w:tcPr>
          <w:p w:rsidR="00C502CD" w:rsidRPr="00C502CD" w:rsidRDefault="00C502CD" w:rsidP="00CF43FF">
            <w:pPr>
              <w:pStyle w:val="TableUnitsRow"/>
              <w:spacing w:after="0"/>
              <w:rPr>
                <w:b/>
              </w:rPr>
            </w:pPr>
            <w:r w:rsidRPr="00C502CD">
              <w:rPr>
                <w:b/>
              </w:rPr>
              <w:t>4.5</w:t>
            </w:r>
          </w:p>
        </w:tc>
        <w:tc>
          <w:tcPr>
            <w:tcW w:w="563" w:type="pct"/>
          </w:tcPr>
          <w:p w:rsidR="00C502CD" w:rsidRPr="00C502CD" w:rsidRDefault="00C502CD" w:rsidP="00CF43FF">
            <w:pPr>
              <w:pStyle w:val="TableUnitsRow"/>
              <w:spacing w:after="0"/>
              <w:rPr>
                <w:b/>
              </w:rPr>
            </w:pPr>
            <w:r w:rsidRPr="00C502CD">
              <w:rPr>
                <w:b/>
              </w:rPr>
              <w:t>4.2</w:t>
            </w:r>
          </w:p>
        </w:tc>
        <w:tc>
          <w:tcPr>
            <w:tcW w:w="563" w:type="pct"/>
          </w:tcPr>
          <w:p w:rsidR="00C502CD" w:rsidRPr="00C502CD" w:rsidRDefault="00C502CD" w:rsidP="00CF43FF">
            <w:pPr>
              <w:pStyle w:val="TableUnitsRow"/>
              <w:spacing w:after="0"/>
              <w:rPr>
                <w:b/>
              </w:rPr>
            </w:pPr>
            <w:r w:rsidRPr="00C502CD">
              <w:rPr>
                <w:b/>
              </w:rPr>
              <w:t>4.3</w:t>
            </w:r>
          </w:p>
        </w:tc>
        <w:tc>
          <w:tcPr>
            <w:tcW w:w="563" w:type="pct"/>
          </w:tcPr>
          <w:p w:rsidR="00C502CD" w:rsidRPr="00C502CD" w:rsidRDefault="00C502CD" w:rsidP="00CF43FF">
            <w:pPr>
              <w:pStyle w:val="TableUnitsRow"/>
              <w:spacing w:after="0"/>
              <w:rPr>
                <w:b/>
              </w:rPr>
            </w:pPr>
            <w:r w:rsidRPr="00C502CD">
              <w:rPr>
                <w:b/>
              </w:rPr>
              <w:t>4.2</w:t>
            </w:r>
          </w:p>
        </w:tc>
      </w:tr>
      <w:tr w:rsidR="00C502CD" w:rsidTr="00B75646">
        <w:tc>
          <w:tcPr>
            <w:tcW w:w="1621" w:type="pct"/>
            <w:vAlign w:val="center"/>
          </w:tcPr>
          <w:p w:rsidR="00C502CD" w:rsidRDefault="00C502CD" w:rsidP="00C00219">
            <w:pPr>
              <w:pStyle w:val="TableBodyText"/>
              <w:jc w:val="left"/>
            </w:pPr>
            <w:r>
              <w:t>Food, beverages and tobacco</w:t>
            </w:r>
          </w:p>
        </w:tc>
        <w:tc>
          <w:tcPr>
            <w:tcW w:w="563" w:type="pct"/>
          </w:tcPr>
          <w:p w:rsidR="00C502CD" w:rsidRPr="003959A3" w:rsidRDefault="00C502CD" w:rsidP="00090D7A">
            <w:pPr>
              <w:pStyle w:val="TableBodyText"/>
            </w:pPr>
            <w:r w:rsidRPr="00C2078C">
              <w:t>3.3</w:t>
            </w:r>
          </w:p>
        </w:tc>
        <w:tc>
          <w:tcPr>
            <w:tcW w:w="563" w:type="pct"/>
          </w:tcPr>
          <w:p w:rsidR="00C502CD" w:rsidRPr="003959A3" w:rsidRDefault="00C502CD" w:rsidP="00090D7A">
            <w:pPr>
              <w:pStyle w:val="TableBodyText"/>
            </w:pPr>
            <w:r w:rsidRPr="00C2078C">
              <w:t>3.4</w:t>
            </w:r>
          </w:p>
        </w:tc>
        <w:tc>
          <w:tcPr>
            <w:tcW w:w="563" w:type="pct"/>
          </w:tcPr>
          <w:p w:rsidR="00C502CD" w:rsidRPr="003959A3" w:rsidRDefault="00C502CD" w:rsidP="00090D7A">
            <w:pPr>
              <w:pStyle w:val="TableBodyText"/>
            </w:pPr>
            <w:r w:rsidRPr="00C2078C">
              <w:t>3.4</w:t>
            </w:r>
          </w:p>
        </w:tc>
        <w:tc>
          <w:tcPr>
            <w:tcW w:w="563" w:type="pct"/>
          </w:tcPr>
          <w:p w:rsidR="00C502CD" w:rsidRPr="003959A3" w:rsidRDefault="00C502CD" w:rsidP="00090D7A">
            <w:pPr>
              <w:pStyle w:val="TableBodyText"/>
            </w:pPr>
            <w:r w:rsidRPr="00C2078C">
              <w:t>3.4</w:t>
            </w:r>
          </w:p>
        </w:tc>
        <w:tc>
          <w:tcPr>
            <w:tcW w:w="563" w:type="pct"/>
          </w:tcPr>
          <w:p w:rsidR="00C502CD" w:rsidRPr="003959A3" w:rsidRDefault="00C502CD" w:rsidP="00090D7A">
            <w:pPr>
              <w:pStyle w:val="TableBodyText"/>
            </w:pPr>
            <w:r w:rsidRPr="00C2078C">
              <w:t>3.4</w:t>
            </w:r>
          </w:p>
        </w:tc>
        <w:tc>
          <w:tcPr>
            <w:tcW w:w="563" w:type="pct"/>
          </w:tcPr>
          <w:p w:rsidR="00C502CD" w:rsidRPr="003959A3" w:rsidRDefault="00C502CD" w:rsidP="00090D7A">
            <w:pPr>
              <w:pStyle w:val="TableBodyText"/>
            </w:pPr>
            <w:r w:rsidRPr="00C2078C">
              <w:t>3.4</w:t>
            </w:r>
          </w:p>
        </w:tc>
      </w:tr>
      <w:tr w:rsidR="00C502CD" w:rsidTr="00B75646">
        <w:tc>
          <w:tcPr>
            <w:tcW w:w="1621" w:type="pct"/>
            <w:vAlign w:val="center"/>
          </w:tcPr>
          <w:p w:rsidR="00C502CD" w:rsidRDefault="00C502CD" w:rsidP="00C00219">
            <w:pPr>
              <w:pStyle w:val="TableBodyText"/>
              <w:jc w:val="left"/>
            </w:pPr>
            <w:r>
              <w:t>Textile, clothing and footwear</w:t>
            </w:r>
          </w:p>
        </w:tc>
        <w:tc>
          <w:tcPr>
            <w:tcW w:w="563" w:type="pct"/>
          </w:tcPr>
          <w:p w:rsidR="00C502CD" w:rsidRPr="003959A3" w:rsidRDefault="00C502CD" w:rsidP="00090D7A">
            <w:pPr>
              <w:pStyle w:val="TableBodyText"/>
            </w:pPr>
            <w:r w:rsidRPr="00C2078C">
              <w:t>13.7</w:t>
            </w:r>
          </w:p>
        </w:tc>
        <w:tc>
          <w:tcPr>
            <w:tcW w:w="563" w:type="pct"/>
          </w:tcPr>
          <w:p w:rsidR="00C502CD" w:rsidRPr="003959A3" w:rsidRDefault="00C502CD" w:rsidP="00090D7A">
            <w:pPr>
              <w:pStyle w:val="TableBodyText"/>
            </w:pPr>
            <w:r w:rsidRPr="00C2078C">
              <w:t>13.8</w:t>
            </w:r>
          </w:p>
        </w:tc>
        <w:tc>
          <w:tcPr>
            <w:tcW w:w="563" w:type="pct"/>
          </w:tcPr>
          <w:p w:rsidR="00C502CD" w:rsidRPr="003959A3" w:rsidRDefault="00C502CD" w:rsidP="00090D7A">
            <w:pPr>
              <w:pStyle w:val="TableBodyText"/>
            </w:pPr>
            <w:r w:rsidRPr="00C2078C">
              <w:t>12.2</w:t>
            </w:r>
          </w:p>
        </w:tc>
        <w:tc>
          <w:tcPr>
            <w:tcW w:w="563" w:type="pct"/>
          </w:tcPr>
          <w:p w:rsidR="00C502CD" w:rsidRPr="003959A3" w:rsidRDefault="00C502CD" w:rsidP="00090D7A">
            <w:pPr>
              <w:pStyle w:val="TableBodyText"/>
            </w:pPr>
            <w:r w:rsidRPr="00C2078C">
              <w:t>9.8</w:t>
            </w:r>
          </w:p>
        </w:tc>
        <w:tc>
          <w:tcPr>
            <w:tcW w:w="563" w:type="pct"/>
          </w:tcPr>
          <w:p w:rsidR="00C502CD" w:rsidRPr="003959A3" w:rsidRDefault="00C502CD" w:rsidP="00090D7A">
            <w:pPr>
              <w:pStyle w:val="TableBodyText"/>
            </w:pPr>
            <w:r w:rsidRPr="00C2078C">
              <w:t>8.0</w:t>
            </w:r>
          </w:p>
        </w:tc>
        <w:tc>
          <w:tcPr>
            <w:tcW w:w="563" w:type="pct"/>
          </w:tcPr>
          <w:p w:rsidR="00C502CD" w:rsidRPr="003959A3" w:rsidRDefault="00C502CD" w:rsidP="00090D7A">
            <w:pPr>
              <w:pStyle w:val="TableBodyText"/>
            </w:pPr>
            <w:r w:rsidRPr="00C2078C">
              <w:t>8.1</w:t>
            </w:r>
          </w:p>
        </w:tc>
      </w:tr>
      <w:tr w:rsidR="00C502CD" w:rsidTr="00B75646">
        <w:tc>
          <w:tcPr>
            <w:tcW w:w="1621" w:type="pct"/>
            <w:vAlign w:val="center"/>
          </w:tcPr>
          <w:p w:rsidR="00C502CD" w:rsidRDefault="00C502CD" w:rsidP="00C00219">
            <w:pPr>
              <w:pStyle w:val="TableBodyText"/>
              <w:jc w:val="left"/>
            </w:pPr>
            <w:r>
              <w:t>Wood and paper products</w:t>
            </w:r>
          </w:p>
        </w:tc>
        <w:tc>
          <w:tcPr>
            <w:tcW w:w="563" w:type="pct"/>
          </w:tcPr>
          <w:p w:rsidR="00C502CD" w:rsidRPr="003959A3" w:rsidRDefault="00C502CD" w:rsidP="00090D7A">
            <w:pPr>
              <w:pStyle w:val="TableBodyText"/>
            </w:pPr>
            <w:r w:rsidRPr="00C2078C">
              <w:t>5.2</w:t>
            </w:r>
          </w:p>
        </w:tc>
        <w:tc>
          <w:tcPr>
            <w:tcW w:w="563" w:type="pct"/>
          </w:tcPr>
          <w:p w:rsidR="00C502CD" w:rsidRPr="003959A3" w:rsidRDefault="00C502CD" w:rsidP="00090D7A">
            <w:pPr>
              <w:pStyle w:val="TableBodyText"/>
            </w:pPr>
            <w:r w:rsidRPr="00C2078C">
              <w:t>5.2</w:t>
            </w:r>
          </w:p>
        </w:tc>
        <w:tc>
          <w:tcPr>
            <w:tcW w:w="563" w:type="pct"/>
          </w:tcPr>
          <w:p w:rsidR="00C502CD" w:rsidRPr="003959A3" w:rsidRDefault="00C502CD" w:rsidP="00090D7A">
            <w:pPr>
              <w:pStyle w:val="TableBodyText"/>
            </w:pPr>
            <w:r w:rsidRPr="00C2078C">
              <w:t>4.9</w:t>
            </w:r>
          </w:p>
        </w:tc>
        <w:tc>
          <w:tcPr>
            <w:tcW w:w="563" w:type="pct"/>
          </w:tcPr>
          <w:p w:rsidR="00C502CD" w:rsidRPr="003959A3" w:rsidRDefault="00C502CD" w:rsidP="00090D7A">
            <w:pPr>
              <w:pStyle w:val="TableBodyText"/>
            </w:pPr>
            <w:r w:rsidRPr="00C2078C">
              <w:t>4.9</w:t>
            </w:r>
          </w:p>
        </w:tc>
        <w:tc>
          <w:tcPr>
            <w:tcW w:w="563" w:type="pct"/>
          </w:tcPr>
          <w:p w:rsidR="00C502CD" w:rsidRPr="003959A3" w:rsidRDefault="00C502CD" w:rsidP="00090D7A">
            <w:pPr>
              <w:pStyle w:val="TableBodyText"/>
            </w:pPr>
            <w:r w:rsidRPr="00C2078C">
              <w:t>4.8</w:t>
            </w:r>
          </w:p>
        </w:tc>
        <w:tc>
          <w:tcPr>
            <w:tcW w:w="563" w:type="pct"/>
          </w:tcPr>
          <w:p w:rsidR="00C502CD" w:rsidRPr="003959A3" w:rsidRDefault="00C502CD" w:rsidP="00090D7A">
            <w:pPr>
              <w:pStyle w:val="TableBodyText"/>
            </w:pPr>
            <w:r w:rsidRPr="00C2078C">
              <w:t>4.9</w:t>
            </w:r>
          </w:p>
        </w:tc>
      </w:tr>
      <w:tr w:rsidR="00C502CD" w:rsidTr="00B75646">
        <w:tc>
          <w:tcPr>
            <w:tcW w:w="1621" w:type="pct"/>
            <w:vAlign w:val="center"/>
          </w:tcPr>
          <w:p w:rsidR="00C502CD" w:rsidRDefault="00C502CD" w:rsidP="00C00219">
            <w:pPr>
              <w:pStyle w:val="TableBodyText"/>
              <w:jc w:val="left"/>
            </w:pPr>
            <w:r>
              <w:t>Printing and recorded media</w:t>
            </w:r>
          </w:p>
        </w:tc>
        <w:tc>
          <w:tcPr>
            <w:tcW w:w="563" w:type="pct"/>
          </w:tcPr>
          <w:p w:rsidR="00C502CD" w:rsidRPr="003959A3" w:rsidRDefault="00C502CD" w:rsidP="00090D7A">
            <w:pPr>
              <w:pStyle w:val="TableBodyText"/>
            </w:pPr>
            <w:r w:rsidRPr="00C2078C">
              <w:t>3.6</w:t>
            </w:r>
          </w:p>
        </w:tc>
        <w:tc>
          <w:tcPr>
            <w:tcW w:w="563" w:type="pct"/>
          </w:tcPr>
          <w:p w:rsidR="00C502CD" w:rsidRPr="003959A3" w:rsidRDefault="00C502CD" w:rsidP="00090D7A">
            <w:pPr>
              <w:pStyle w:val="TableBodyText"/>
            </w:pPr>
            <w:r w:rsidRPr="00C2078C">
              <w:t>3.5</w:t>
            </w:r>
          </w:p>
        </w:tc>
        <w:tc>
          <w:tcPr>
            <w:tcW w:w="563" w:type="pct"/>
          </w:tcPr>
          <w:p w:rsidR="00C502CD" w:rsidRPr="003959A3" w:rsidRDefault="00C502CD" w:rsidP="00090D7A">
            <w:pPr>
              <w:pStyle w:val="TableBodyText"/>
            </w:pPr>
            <w:r w:rsidRPr="00C2078C">
              <w:t>3.5</w:t>
            </w:r>
          </w:p>
        </w:tc>
        <w:tc>
          <w:tcPr>
            <w:tcW w:w="563" w:type="pct"/>
          </w:tcPr>
          <w:p w:rsidR="00C502CD" w:rsidRPr="003959A3" w:rsidRDefault="00C502CD" w:rsidP="00090D7A">
            <w:pPr>
              <w:pStyle w:val="TableBodyText"/>
            </w:pPr>
            <w:r w:rsidRPr="00C2078C">
              <w:t>3.5</w:t>
            </w:r>
          </w:p>
        </w:tc>
        <w:tc>
          <w:tcPr>
            <w:tcW w:w="563" w:type="pct"/>
          </w:tcPr>
          <w:p w:rsidR="00C502CD" w:rsidRPr="003959A3" w:rsidRDefault="00C502CD" w:rsidP="00090D7A">
            <w:pPr>
              <w:pStyle w:val="TableBodyText"/>
            </w:pPr>
            <w:r w:rsidRPr="00C2078C">
              <w:t>3.6</w:t>
            </w:r>
          </w:p>
        </w:tc>
        <w:tc>
          <w:tcPr>
            <w:tcW w:w="563" w:type="pct"/>
          </w:tcPr>
          <w:p w:rsidR="00C502CD" w:rsidRPr="003959A3" w:rsidRDefault="00C502CD" w:rsidP="00090D7A">
            <w:pPr>
              <w:pStyle w:val="TableBodyText"/>
            </w:pPr>
            <w:r w:rsidRPr="00C2078C">
              <w:t>3.7</w:t>
            </w:r>
          </w:p>
        </w:tc>
      </w:tr>
      <w:tr w:rsidR="00C502CD" w:rsidTr="00B75646">
        <w:tc>
          <w:tcPr>
            <w:tcW w:w="1621" w:type="pct"/>
            <w:vAlign w:val="center"/>
          </w:tcPr>
          <w:p w:rsidR="00C502CD" w:rsidRPr="00E9659E" w:rsidRDefault="00C502CD" w:rsidP="00C00219">
            <w:pPr>
              <w:pStyle w:val="TableBodyText"/>
              <w:jc w:val="left"/>
            </w:pPr>
            <w:r w:rsidRPr="00E9659E">
              <w:t xml:space="preserve">Petroleum, coal </w:t>
            </w:r>
            <w:r>
              <w:t xml:space="preserve">&amp; </w:t>
            </w:r>
            <w:r w:rsidRPr="00E9659E">
              <w:t>chemicals</w:t>
            </w:r>
          </w:p>
        </w:tc>
        <w:tc>
          <w:tcPr>
            <w:tcW w:w="563" w:type="pct"/>
          </w:tcPr>
          <w:p w:rsidR="00C502CD" w:rsidRPr="003959A3" w:rsidRDefault="00C502CD" w:rsidP="00090D7A">
            <w:pPr>
              <w:pStyle w:val="TableBodyText"/>
            </w:pPr>
            <w:r w:rsidRPr="00C2078C">
              <w:t>2.8</w:t>
            </w:r>
          </w:p>
        </w:tc>
        <w:tc>
          <w:tcPr>
            <w:tcW w:w="563" w:type="pct"/>
          </w:tcPr>
          <w:p w:rsidR="00C502CD" w:rsidRPr="003959A3" w:rsidRDefault="00C502CD" w:rsidP="00090D7A">
            <w:pPr>
              <w:pStyle w:val="TableBodyText"/>
            </w:pPr>
            <w:r w:rsidRPr="00C2078C">
              <w:t>3.1</w:t>
            </w:r>
          </w:p>
        </w:tc>
        <w:tc>
          <w:tcPr>
            <w:tcW w:w="563" w:type="pct"/>
          </w:tcPr>
          <w:p w:rsidR="00C502CD" w:rsidRPr="003959A3" w:rsidRDefault="00C502CD" w:rsidP="00090D7A">
            <w:pPr>
              <w:pStyle w:val="TableBodyText"/>
            </w:pPr>
            <w:r w:rsidRPr="00C2078C">
              <w:t>3.1</w:t>
            </w:r>
          </w:p>
        </w:tc>
        <w:tc>
          <w:tcPr>
            <w:tcW w:w="563" w:type="pct"/>
          </w:tcPr>
          <w:p w:rsidR="00C502CD" w:rsidRPr="003959A3" w:rsidRDefault="00C502CD" w:rsidP="00090D7A">
            <w:pPr>
              <w:pStyle w:val="TableBodyText"/>
            </w:pPr>
            <w:r w:rsidRPr="00C2078C">
              <w:t>3.1</w:t>
            </w:r>
          </w:p>
        </w:tc>
        <w:tc>
          <w:tcPr>
            <w:tcW w:w="563" w:type="pct"/>
          </w:tcPr>
          <w:p w:rsidR="00C502CD" w:rsidRPr="003959A3" w:rsidRDefault="00C502CD" w:rsidP="00090D7A">
            <w:pPr>
              <w:pStyle w:val="TableBodyText"/>
            </w:pPr>
            <w:r w:rsidRPr="00C2078C">
              <w:t>3.1</w:t>
            </w:r>
          </w:p>
        </w:tc>
        <w:tc>
          <w:tcPr>
            <w:tcW w:w="563" w:type="pct"/>
          </w:tcPr>
          <w:p w:rsidR="00C502CD" w:rsidRPr="003959A3" w:rsidRDefault="00C502CD" w:rsidP="00090D7A">
            <w:pPr>
              <w:pStyle w:val="TableBodyText"/>
            </w:pPr>
            <w:r w:rsidRPr="00C2078C">
              <w:t>3.2</w:t>
            </w:r>
          </w:p>
        </w:tc>
      </w:tr>
      <w:tr w:rsidR="00C502CD" w:rsidTr="00B75646">
        <w:tc>
          <w:tcPr>
            <w:tcW w:w="1621" w:type="pct"/>
            <w:vAlign w:val="center"/>
          </w:tcPr>
          <w:p w:rsidR="00C502CD" w:rsidRDefault="00C502CD" w:rsidP="00C00219">
            <w:pPr>
              <w:pStyle w:val="TableBodyText"/>
              <w:jc w:val="left"/>
            </w:pPr>
            <w:r>
              <w:t>Non-metallic mineral products</w:t>
            </w:r>
          </w:p>
        </w:tc>
        <w:tc>
          <w:tcPr>
            <w:tcW w:w="563" w:type="pct"/>
          </w:tcPr>
          <w:p w:rsidR="00C502CD" w:rsidRPr="003959A3" w:rsidRDefault="00C502CD" w:rsidP="00090D7A">
            <w:pPr>
              <w:pStyle w:val="TableBodyText"/>
            </w:pPr>
            <w:r w:rsidRPr="00C2078C">
              <w:t>3.1</w:t>
            </w:r>
          </w:p>
        </w:tc>
        <w:tc>
          <w:tcPr>
            <w:tcW w:w="563" w:type="pct"/>
          </w:tcPr>
          <w:p w:rsidR="00C502CD" w:rsidRPr="003959A3" w:rsidRDefault="00C502CD" w:rsidP="00090D7A">
            <w:pPr>
              <w:pStyle w:val="TableBodyText"/>
            </w:pPr>
            <w:r w:rsidRPr="00C2078C">
              <w:t>2.9</w:t>
            </w:r>
          </w:p>
        </w:tc>
        <w:tc>
          <w:tcPr>
            <w:tcW w:w="563" w:type="pct"/>
          </w:tcPr>
          <w:p w:rsidR="00C502CD" w:rsidRPr="003959A3" w:rsidRDefault="00C502CD" w:rsidP="00090D7A">
            <w:pPr>
              <w:pStyle w:val="TableBodyText"/>
            </w:pPr>
            <w:r w:rsidRPr="00C2078C">
              <w:t>3.0</w:t>
            </w:r>
          </w:p>
        </w:tc>
        <w:tc>
          <w:tcPr>
            <w:tcW w:w="563" w:type="pct"/>
          </w:tcPr>
          <w:p w:rsidR="00C502CD" w:rsidRPr="003959A3" w:rsidRDefault="00C502CD" w:rsidP="00090D7A">
            <w:pPr>
              <w:pStyle w:val="TableBodyText"/>
            </w:pPr>
            <w:r w:rsidRPr="00C2078C">
              <w:t>2.9</w:t>
            </w:r>
          </w:p>
        </w:tc>
        <w:tc>
          <w:tcPr>
            <w:tcW w:w="563" w:type="pct"/>
          </w:tcPr>
          <w:p w:rsidR="00C502CD" w:rsidRPr="003959A3" w:rsidRDefault="00C502CD" w:rsidP="00090D7A">
            <w:pPr>
              <w:pStyle w:val="TableBodyText"/>
            </w:pPr>
            <w:r w:rsidRPr="00C2078C">
              <w:t>3.0</w:t>
            </w:r>
          </w:p>
        </w:tc>
        <w:tc>
          <w:tcPr>
            <w:tcW w:w="563" w:type="pct"/>
          </w:tcPr>
          <w:p w:rsidR="00C502CD" w:rsidRPr="003959A3" w:rsidRDefault="00C502CD" w:rsidP="00090D7A">
            <w:pPr>
              <w:pStyle w:val="TableBodyText"/>
            </w:pPr>
            <w:r w:rsidRPr="00C2078C">
              <w:t>3.1</w:t>
            </w:r>
          </w:p>
        </w:tc>
      </w:tr>
      <w:tr w:rsidR="00C502CD" w:rsidTr="00B75646">
        <w:tc>
          <w:tcPr>
            <w:tcW w:w="1621" w:type="pct"/>
            <w:vAlign w:val="center"/>
          </w:tcPr>
          <w:p w:rsidR="00C502CD" w:rsidRPr="00E9659E" w:rsidRDefault="00C502CD" w:rsidP="00C00219">
            <w:pPr>
              <w:pStyle w:val="TableBodyText"/>
              <w:jc w:val="left"/>
            </w:pPr>
            <w:r w:rsidRPr="00E9659E">
              <w:t xml:space="preserve">Metal and fabricated products </w:t>
            </w:r>
          </w:p>
        </w:tc>
        <w:tc>
          <w:tcPr>
            <w:tcW w:w="563" w:type="pct"/>
          </w:tcPr>
          <w:p w:rsidR="00C502CD" w:rsidRPr="003959A3" w:rsidRDefault="00C502CD" w:rsidP="00090D7A">
            <w:pPr>
              <w:pStyle w:val="TableBodyText"/>
            </w:pPr>
            <w:r w:rsidRPr="00C2078C">
              <w:t>4.3</w:t>
            </w:r>
          </w:p>
        </w:tc>
        <w:tc>
          <w:tcPr>
            <w:tcW w:w="563" w:type="pct"/>
          </w:tcPr>
          <w:p w:rsidR="00C502CD" w:rsidRPr="003959A3" w:rsidRDefault="00C502CD" w:rsidP="00090D7A">
            <w:pPr>
              <w:pStyle w:val="TableBodyText"/>
            </w:pPr>
            <w:r w:rsidRPr="00C2078C">
              <w:t>4.5</w:t>
            </w:r>
          </w:p>
        </w:tc>
        <w:tc>
          <w:tcPr>
            <w:tcW w:w="563" w:type="pct"/>
          </w:tcPr>
          <w:p w:rsidR="00C502CD" w:rsidRPr="003959A3" w:rsidRDefault="00C502CD" w:rsidP="00090D7A">
            <w:pPr>
              <w:pStyle w:val="TableBodyText"/>
            </w:pPr>
            <w:r w:rsidRPr="00C2078C">
              <w:t>4.5</w:t>
            </w:r>
          </w:p>
        </w:tc>
        <w:tc>
          <w:tcPr>
            <w:tcW w:w="563" w:type="pct"/>
          </w:tcPr>
          <w:p w:rsidR="00C502CD" w:rsidRPr="003959A3" w:rsidRDefault="00C502CD" w:rsidP="00090D7A">
            <w:pPr>
              <w:pStyle w:val="TableBodyText"/>
            </w:pPr>
            <w:r w:rsidRPr="00C2078C">
              <w:t>4.4</w:t>
            </w:r>
          </w:p>
        </w:tc>
        <w:tc>
          <w:tcPr>
            <w:tcW w:w="563" w:type="pct"/>
          </w:tcPr>
          <w:p w:rsidR="00C502CD" w:rsidRPr="003959A3" w:rsidRDefault="00C502CD" w:rsidP="00090D7A">
            <w:pPr>
              <w:pStyle w:val="TableBodyText"/>
            </w:pPr>
            <w:r w:rsidRPr="00C2078C">
              <w:t>4.9</w:t>
            </w:r>
          </w:p>
        </w:tc>
        <w:tc>
          <w:tcPr>
            <w:tcW w:w="563" w:type="pct"/>
          </w:tcPr>
          <w:p w:rsidR="00C502CD" w:rsidRPr="003959A3" w:rsidRDefault="00C502CD" w:rsidP="00090D7A">
            <w:pPr>
              <w:pStyle w:val="TableBodyText"/>
            </w:pPr>
            <w:r w:rsidRPr="00C2078C">
              <w:t>4.5</w:t>
            </w:r>
          </w:p>
        </w:tc>
      </w:tr>
      <w:tr w:rsidR="00C502CD" w:rsidTr="00B75646">
        <w:tc>
          <w:tcPr>
            <w:tcW w:w="1621" w:type="pct"/>
            <w:vAlign w:val="center"/>
          </w:tcPr>
          <w:p w:rsidR="00C502CD" w:rsidRDefault="00C502CD" w:rsidP="00C00219">
            <w:pPr>
              <w:pStyle w:val="TableBodyText"/>
              <w:jc w:val="left"/>
            </w:pPr>
            <w:r>
              <w:t>Motor vehicle and parts</w:t>
            </w:r>
          </w:p>
        </w:tc>
        <w:tc>
          <w:tcPr>
            <w:tcW w:w="563" w:type="pct"/>
          </w:tcPr>
          <w:p w:rsidR="00C502CD" w:rsidRPr="003959A3" w:rsidRDefault="00C502CD" w:rsidP="00090D7A">
            <w:pPr>
              <w:pStyle w:val="TableBodyText"/>
            </w:pPr>
            <w:r w:rsidRPr="00C2078C">
              <w:t>13.2</w:t>
            </w:r>
          </w:p>
        </w:tc>
        <w:tc>
          <w:tcPr>
            <w:tcW w:w="563" w:type="pct"/>
          </w:tcPr>
          <w:p w:rsidR="00C502CD" w:rsidRPr="003959A3" w:rsidRDefault="00C502CD" w:rsidP="00090D7A">
            <w:pPr>
              <w:pStyle w:val="TableBodyText"/>
            </w:pPr>
            <w:r w:rsidRPr="00C2078C">
              <w:t>13.1</w:t>
            </w:r>
          </w:p>
        </w:tc>
        <w:tc>
          <w:tcPr>
            <w:tcW w:w="563" w:type="pct"/>
          </w:tcPr>
          <w:p w:rsidR="00C502CD" w:rsidRPr="003959A3" w:rsidRDefault="00C502CD" w:rsidP="00090D7A">
            <w:pPr>
              <w:pStyle w:val="TableBodyText"/>
            </w:pPr>
            <w:r w:rsidRPr="00C2078C">
              <w:t>12.8</w:t>
            </w:r>
          </w:p>
        </w:tc>
        <w:tc>
          <w:tcPr>
            <w:tcW w:w="563" w:type="pct"/>
          </w:tcPr>
          <w:p w:rsidR="00C502CD" w:rsidRPr="003959A3" w:rsidRDefault="00C502CD" w:rsidP="00090D7A">
            <w:pPr>
              <w:pStyle w:val="TableBodyText"/>
            </w:pPr>
            <w:r w:rsidRPr="00C2078C">
              <w:t>9.5</w:t>
            </w:r>
          </w:p>
        </w:tc>
        <w:tc>
          <w:tcPr>
            <w:tcW w:w="563" w:type="pct"/>
          </w:tcPr>
          <w:p w:rsidR="00C502CD" w:rsidRPr="003959A3" w:rsidRDefault="00C502CD" w:rsidP="00090D7A">
            <w:pPr>
              <w:pStyle w:val="TableBodyText"/>
            </w:pPr>
            <w:r w:rsidRPr="00C2078C">
              <w:t>10.3</w:t>
            </w:r>
          </w:p>
        </w:tc>
        <w:tc>
          <w:tcPr>
            <w:tcW w:w="563" w:type="pct"/>
          </w:tcPr>
          <w:p w:rsidR="00C502CD" w:rsidRPr="003959A3" w:rsidRDefault="00C502CD" w:rsidP="00090D7A">
            <w:pPr>
              <w:pStyle w:val="TableBodyText"/>
            </w:pPr>
            <w:r w:rsidRPr="00C2078C">
              <w:t>8.9</w:t>
            </w:r>
          </w:p>
        </w:tc>
      </w:tr>
      <w:tr w:rsidR="00C502CD" w:rsidTr="00B75646">
        <w:tc>
          <w:tcPr>
            <w:tcW w:w="1621" w:type="pct"/>
            <w:vAlign w:val="center"/>
          </w:tcPr>
          <w:p w:rsidR="00C502CD" w:rsidRDefault="00C502CD" w:rsidP="00C00219">
            <w:pPr>
              <w:pStyle w:val="TableBodyText"/>
              <w:jc w:val="left"/>
            </w:pPr>
            <w:r>
              <w:t>Other transport equipment</w:t>
            </w:r>
          </w:p>
        </w:tc>
        <w:tc>
          <w:tcPr>
            <w:tcW w:w="563" w:type="pct"/>
          </w:tcPr>
          <w:p w:rsidR="00C502CD" w:rsidRPr="003959A3" w:rsidRDefault="00C502CD" w:rsidP="00090D7A">
            <w:pPr>
              <w:pStyle w:val="TableBodyText"/>
            </w:pPr>
            <w:r w:rsidRPr="00C2078C">
              <w:t>0.7</w:t>
            </w:r>
          </w:p>
        </w:tc>
        <w:tc>
          <w:tcPr>
            <w:tcW w:w="563" w:type="pct"/>
          </w:tcPr>
          <w:p w:rsidR="00C502CD" w:rsidRPr="003959A3" w:rsidRDefault="00C502CD" w:rsidP="00090D7A">
            <w:pPr>
              <w:pStyle w:val="TableBodyText"/>
            </w:pPr>
            <w:r w:rsidRPr="00C2078C">
              <w:t>0.9</w:t>
            </w:r>
          </w:p>
        </w:tc>
        <w:tc>
          <w:tcPr>
            <w:tcW w:w="563" w:type="pct"/>
          </w:tcPr>
          <w:p w:rsidR="00C502CD" w:rsidRPr="003959A3" w:rsidRDefault="00C502CD" w:rsidP="00090D7A">
            <w:pPr>
              <w:pStyle w:val="TableBodyText"/>
            </w:pPr>
            <w:r w:rsidRPr="00C2078C">
              <w:t>0.9</w:t>
            </w:r>
          </w:p>
        </w:tc>
        <w:tc>
          <w:tcPr>
            <w:tcW w:w="563" w:type="pct"/>
          </w:tcPr>
          <w:p w:rsidR="00C502CD" w:rsidRPr="003959A3" w:rsidRDefault="00C502CD" w:rsidP="00090D7A">
            <w:pPr>
              <w:pStyle w:val="TableBodyText"/>
            </w:pPr>
            <w:r w:rsidRPr="00C2078C">
              <w:t>0.8</w:t>
            </w:r>
          </w:p>
        </w:tc>
        <w:tc>
          <w:tcPr>
            <w:tcW w:w="563" w:type="pct"/>
          </w:tcPr>
          <w:p w:rsidR="00C502CD" w:rsidRPr="003959A3" w:rsidRDefault="00C502CD" w:rsidP="00090D7A">
            <w:pPr>
              <w:pStyle w:val="TableBodyText"/>
            </w:pPr>
            <w:r w:rsidRPr="00C2078C">
              <w:t>0.8</w:t>
            </w:r>
          </w:p>
        </w:tc>
        <w:tc>
          <w:tcPr>
            <w:tcW w:w="563" w:type="pct"/>
          </w:tcPr>
          <w:p w:rsidR="00C502CD" w:rsidRPr="003959A3" w:rsidRDefault="00C502CD" w:rsidP="00090D7A">
            <w:pPr>
              <w:pStyle w:val="TableBodyText"/>
            </w:pPr>
            <w:r w:rsidRPr="00C2078C">
              <w:t>0.8</w:t>
            </w:r>
          </w:p>
        </w:tc>
      </w:tr>
      <w:tr w:rsidR="00C502CD" w:rsidTr="00B75646">
        <w:tc>
          <w:tcPr>
            <w:tcW w:w="1621" w:type="pct"/>
            <w:vAlign w:val="center"/>
          </w:tcPr>
          <w:p w:rsidR="00C502CD" w:rsidRDefault="00C502CD" w:rsidP="00C00219">
            <w:pPr>
              <w:pStyle w:val="TableBodyText"/>
              <w:jc w:val="left"/>
            </w:pPr>
            <w:r>
              <w:t>Machinery and equipment</w:t>
            </w:r>
          </w:p>
        </w:tc>
        <w:tc>
          <w:tcPr>
            <w:tcW w:w="563" w:type="pct"/>
          </w:tcPr>
          <w:p w:rsidR="00C502CD" w:rsidRPr="003959A3" w:rsidRDefault="00C502CD" w:rsidP="00090D7A">
            <w:pPr>
              <w:pStyle w:val="TableBodyText"/>
            </w:pPr>
            <w:r w:rsidRPr="00C2078C">
              <w:t>3.2</w:t>
            </w:r>
          </w:p>
        </w:tc>
        <w:tc>
          <w:tcPr>
            <w:tcW w:w="563" w:type="pct"/>
          </w:tcPr>
          <w:p w:rsidR="00C502CD" w:rsidRPr="003959A3" w:rsidRDefault="00C502CD" w:rsidP="00090D7A">
            <w:pPr>
              <w:pStyle w:val="TableBodyText"/>
            </w:pPr>
            <w:r w:rsidRPr="00C2078C">
              <w:t>3.2</w:t>
            </w:r>
          </w:p>
        </w:tc>
        <w:tc>
          <w:tcPr>
            <w:tcW w:w="563" w:type="pct"/>
          </w:tcPr>
          <w:p w:rsidR="00C502CD" w:rsidRPr="003959A3" w:rsidRDefault="00C502CD" w:rsidP="00090D7A">
            <w:pPr>
              <w:pStyle w:val="TableBodyText"/>
            </w:pPr>
            <w:r w:rsidRPr="00C2078C">
              <w:t>3.3</w:t>
            </w:r>
          </w:p>
        </w:tc>
        <w:tc>
          <w:tcPr>
            <w:tcW w:w="563" w:type="pct"/>
          </w:tcPr>
          <w:p w:rsidR="00C502CD" w:rsidRPr="003959A3" w:rsidRDefault="00C502CD" w:rsidP="00090D7A">
            <w:pPr>
              <w:pStyle w:val="TableBodyText"/>
            </w:pPr>
            <w:r w:rsidRPr="00C2078C">
              <w:t>3.1</w:t>
            </w:r>
          </w:p>
        </w:tc>
        <w:tc>
          <w:tcPr>
            <w:tcW w:w="563" w:type="pct"/>
          </w:tcPr>
          <w:p w:rsidR="00C502CD" w:rsidRPr="003959A3" w:rsidRDefault="00C502CD" w:rsidP="00090D7A">
            <w:pPr>
              <w:pStyle w:val="TableBodyText"/>
            </w:pPr>
            <w:r w:rsidRPr="00C2078C">
              <w:t>3.1</w:t>
            </w:r>
          </w:p>
        </w:tc>
        <w:tc>
          <w:tcPr>
            <w:tcW w:w="563" w:type="pct"/>
          </w:tcPr>
          <w:p w:rsidR="00C502CD" w:rsidRPr="003959A3" w:rsidRDefault="00C502CD" w:rsidP="00090D7A">
            <w:pPr>
              <w:pStyle w:val="TableBodyText"/>
            </w:pPr>
            <w:r w:rsidRPr="00C2078C">
              <w:t>3.3</w:t>
            </w:r>
          </w:p>
        </w:tc>
      </w:tr>
      <w:tr w:rsidR="00C502CD" w:rsidTr="00B75646">
        <w:tc>
          <w:tcPr>
            <w:tcW w:w="1621" w:type="pct"/>
            <w:tcBorders>
              <w:bottom w:val="single" w:sz="6" w:space="0" w:color="auto"/>
            </w:tcBorders>
            <w:shd w:val="clear" w:color="auto" w:fill="auto"/>
          </w:tcPr>
          <w:p w:rsidR="00C502CD" w:rsidRDefault="00C502CD" w:rsidP="00C00219">
            <w:pPr>
              <w:pStyle w:val="TableBodyText"/>
              <w:jc w:val="left"/>
            </w:pPr>
            <w:r>
              <w:t>Furniture and other products</w:t>
            </w:r>
          </w:p>
        </w:tc>
        <w:tc>
          <w:tcPr>
            <w:tcW w:w="563" w:type="pct"/>
            <w:tcBorders>
              <w:bottom w:val="single" w:sz="6" w:space="0" w:color="auto"/>
            </w:tcBorders>
          </w:tcPr>
          <w:p w:rsidR="00C502CD" w:rsidRPr="003959A3" w:rsidRDefault="00C502CD" w:rsidP="00090D7A">
            <w:pPr>
              <w:pStyle w:val="TableBodyText"/>
            </w:pPr>
            <w:r w:rsidRPr="00C2078C">
              <w:t>5.4</w:t>
            </w:r>
          </w:p>
        </w:tc>
        <w:tc>
          <w:tcPr>
            <w:tcW w:w="563" w:type="pct"/>
            <w:tcBorders>
              <w:bottom w:val="single" w:sz="6" w:space="0" w:color="auto"/>
            </w:tcBorders>
          </w:tcPr>
          <w:p w:rsidR="00C502CD" w:rsidRPr="003959A3" w:rsidRDefault="00C502CD" w:rsidP="00090D7A">
            <w:pPr>
              <w:pStyle w:val="TableBodyText"/>
            </w:pPr>
            <w:r w:rsidRPr="00C2078C">
              <w:t>4.6</w:t>
            </w:r>
          </w:p>
        </w:tc>
        <w:tc>
          <w:tcPr>
            <w:tcW w:w="563" w:type="pct"/>
            <w:tcBorders>
              <w:bottom w:val="single" w:sz="6" w:space="0" w:color="auto"/>
            </w:tcBorders>
          </w:tcPr>
          <w:p w:rsidR="00C502CD" w:rsidRPr="003959A3" w:rsidRDefault="00C502CD" w:rsidP="00090D7A">
            <w:pPr>
              <w:pStyle w:val="TableBodyText"/>
            </w:pPr>
            <w:r w:rsidRPr="00C2078C">
              <w:t>4.7</w:t>
            </w:r>
          </w:p>
        </w:tc>
        <w:tc>
          <w:tcPr>
            <w:tcW w:w="563" w:type="pct"/>
            <w:tcBorders>
              <w:bottom w:val="single" w:sz="6" w:space="0" w:color="auto"/>
            </w:tcBorders>
          </w:tcPr>
          <w:p w:rsidR="00C502CD" w:rsidRPr="003959A3" w:rsidRDefault="00C502CD" w:rsidP="00090D7A">
            <w:pPr>
              <w:pStyle w:val="TableBodyText"/>
            </w:pPr>
            <w:r w:rsidRPr="00C2078C">
              <w:t>4.7</w:t>
            </w:r>
          </w:p>
        </w:tc>
        <w:tc>
          <w:tcPr>
            <w:tcW w:w="563" w:type="pct"/>
            <w:tcBorders>
              <w:bottom w:val="single" w:sz="6" w:space="0" w:color="auto"/>
            </w:tcBorders>
            <w:shd w:val="clear" w:color="auto" w:fill="auto"/>
          </w:tcPr>
          <w:p w:rsidR="00C502CD" w:rsidRPr="003959A3" w:rsidRDefault="00C502CD" w:rsidP="00090D7A">
            <w:pPr>
              <w:pStyle w:val="TableBodyText"/>
            </w:pPr>
            <w:r w:rsidRPr="00C2078C">
              <w:t>4.9</w:t>
            </w:r>
          </w:p>
        </w:tc>
        <w:tc>
          <w:tcPr>
            <w:tcW w:w="563" w:type="pct"/>
            <w:tcBorders>
              <w:bottom w:val="single" w:sz="6" w:space="0" w:color="auto"/>
            </w:tcBorders>
            <w:shd w:val="clear" w:color="auto" w:fill="auto"/>
          </w:tcPr>
          <w:p w:rsidR="00C502CD" w:rsidRDefault="00C502CD" w:rsidP="00090D7A">
            <w:pPr>
              <w:pStyle w:val="TableBodyText"/>
            </w:pPr>
            <w:r w:rsidRPr="00C2078C">
              <w:t>5.1</w:t>
            </w:r>
          </w:p>
        </w:tc>
      </w:tr>
    </w:tbl>
    <w:p w:rsidR="00BF747D" w:rsidRDefault="00C75366" w:rsidP="00C2755E">
      <w:pPr>
        <w:pStyle w:val="Note"/>
      </w:pPr>
      <w:r w:rsidRPr="008E77FE">
        <w:rPr>
          <w:rStyle w:val="NoteLabel"/>
        </w:rPr>
        <w:t>a</w:t>
      </w:r>
      <w:r>
        <w:t xml:space="preserve"> ‘Combined assistance’ comprises budgetary, tariff and agricultural pricing assistance. </w:t>
      </w:r>
      <w:r w:rsidRPr="000567A8">
        <w:rPr>
          <w:rStyle w:val="NoteLabel"/>
        </w:rPr>
        <w:t>b</w:t>
      </w:r>
      <w:r>
        <w:rPr>
          <w:rStyle w:val="NoteLabel"/>
        </w:rPr>
        <w:t> </w:t>
      </w:r>
      <w:r>
        <w:t>Sectoral estimates include assistance to the sector that has not been allocated to specific industry groupings.</w:t>
      </w:r>
    </w:p>
    <w:p w:rsidR="00BF747D" w:rsidRPr="008E77FE" w:rsidRDefault="00BF747D" w:rsidP="00C2755E">
      <w:pPr>
        <w:pStyle w:val="Source"/>
      </w:pPr>
      <w:r>
        <w:rPr>
          <w:i/>
        </w:rPr>
        <w:t>Source</w:t>
      </w:r>
      <w:r>
        <w:t>: Commission estimates.</w:t>
      </w:r>
    </w:p>
    <w:p w:rsidR="0057657D" w:rsidRDefault="0057657D" w:rsidP="0057657D">
      <w:pPr>
        <w:pStyle w:val="Heading5"/>
      </w:pPr>
      <w:r>
        <w:t>Dairy cattle farming and Sheep, beef cattle and grain farming</w:t>
      </w:r>
    </w:p>
    <w:p w:rsidR="00E42D46" w:rsidRDefault="00E42D46" w:rsidP="00E42D46">
      <w:pPr>
        <w:pStyle w:val="BodyText"/>
      </w:pPr>
      <w:r>
        <w:t xml:space="preserve">The estimated effective rate of assistance for </w:t>
      </w:r>
      <w:r w:rsidRPr="00E42D46">
        <w:rPr>
          <w:i/>
        </w:rPr>
        <w:t>Dairy cattle farming</w:t>
      </w:r>
      <w:r>
        <w:t xml:space="preserve"> declined markedly from 2007</w:t>
      </w:r>
      <w:r>
        <w:noBreakHyphen/>
        <w:t>08 to 2012</w:t>
      </w:r>
      <w:r>
        <w:noBreakHyphen/>
        <w:t xml:space="preserve">13 — from 13.2 per cent to </w:t>
      </w:r>
      <w:r w:rsidR="00D5207A">
        <w:t>2.1</w:t>
      </w:r>
      <w:r>
        <w:t xml:space="preserve"> per cent. This </w:t>
      </w:r>
      <w:r w:rsidR="00014F52">
        <w:t>r</w:t>
      </w:r>
      <w:r>
        <w:t xml:space="preserve">eflects a decline in Exceptional Circumstances drought support and the cessation of payments under the Dairy Structural Adjustment Program in April 2008. Prior to the dairy industry’s deregulation in July 2000, the effective rate of combined assistance was estimated to exceed 30 per cent. </w:t>
      </w:r>
    </w:p>
    <w:p w:rsidR="0057657D" w:rsidRDefault="00E42D46" w:rsidP="00120072">
      <w:pPr>
        <w:pStyle w:val="BodyText"/>
      </w:pPr>
      <w:r>
        <w:t xml:space="preserve">Reflecting lower claims for Exceptional Circumstances drought support, the effective rate of assistance for the </w:t>
      </w:r>
      <w:r w:rsidRPr="00E42D46">
        <w:rPr>
          <w:i/>
        </w:rPr>
        <w:t>Sheep, beef cattle and grain farming</w:t>
      </w:r>
      <w:r>
        <w:t xml:space="preserve"> group declined from 6.3 per cent in 2008</w:t>
      </w:r>
      <w:r>
        <w:noBreakHyphen/>
        <w:t xml:space="preserve">09 to </w:t>
      </w:r>
      <w:r w:rsidR="00014F52">
        <w:t>2</w:t>
      </w:r>
      <w:r w:rsidR="00D5207A">
        <w:t>.3</w:t>
      </w:r>
      <w:r>
        <w:t> per cent in 2012</w:t>
      </w:r>
      <w:r>
        <w:noBreakHyphen/>
        <w:t>13. Declines were also estimated for some other agricultural industry groupings because of lower claims for drought support.</w:t>
      </w:r>
      <w:r w:rsidR="00B75646">
        <w:t xml:space="preserve"> </w:t>
      </w:r>
    </w:p>
    <w:p w:rsidR="0057657D" w:rsidRDefault="0057657D" w:rsidP="0057657D">
      <w:pPr>
        <w:pStyle w:val="Heading5"/>
      </w:pPr>
      <w:r>
        <w:lastRenderedPageBreak/>
        <w:t>Forestry and logging</w:t>
      </w:r>
    </w:p>
    <w:p w:rsidR="00E42D46" w:rsidRDefault="00EC32C2" w:rsidP="00E42D46">
      <w:pPr>
        <w:pStyle w:val="BodyText"/>
      </w:pPr>
      <w:r>
        <w:t xml:space="preserve">The estimated effective </w:t>
      </w:r>
      <w:r w:rsidR="00CC2C65">
        <w:t xml:space="preserve">rate of </w:t>
      </w:r>
      <w:r>
        <w:t>assistance to</w:t>
      </w:r>
      <w:r w:rsidRPr="00D16D99">
        <w:t xml:space="preserve"> </w:t>
      </w:r>
      <w:r w:rsidRPr="00B117DF">
        <w:rPr>
          <w:i/>
        </w:rPr>
        <w:t xml:space="preserve">Forestry </w:t>
      </w:r>
      <w:r w:rsidRPr="00156B76">
        <w:rPr>
          <w:i/>
        </w:rPr>
        <w:t>and</w:t>
      </w:r>
      <w:r w:rsidRPr="00B117DF">
        <w:rPr>
          <w:i/>
        </w:rPr>
        <w:t xml:space="preserve"> logging</w:t>
      </w:r>
      <w:r>
        <w:t xml:space="preserve"> has changed markedly over recent years. </w:t>
      </w:r>
      <w:r w:rsidR="00E42D46">
        <w:t>The change from 6.</w:t>
      </w:r>
      <w:r w:rsidR="003B2025">
        <w:t>9</w:t>
      </w:r>
      <w:r w:rsidR="00E42D46">
        <w:t> per cent in 2007</w:t>
      </w:r>
      <w:r w:rsidR="00E42D46">
        <w:noBreakHyphen/>
        <w:t>08 to a negative 1.3 per cent for 2008</w:t>
      </w:r>
      <w:r w:rsidR="00E42D46">
        <w:noBreakHyphen/>
        <w:t>09 and then back to 4.5 per cent in 2009</w:t>
      </w:r>
      <w:r w:rsidR="00E42D46">
        <w:noBreakHyphen/>
        <w:t>10, as indicated above, reflects the impact of changes in the direction of accelerated write-offs on forestry-managed investments from positive assistance in 2007</w:t>
      </w:r>
      <w:r w:rsidR="00E42D46">
        <w:noBreakHyphen/>
        <w:t>08 (the acceleration stage) to increased taxation in 2008</w:t>
      </w:r>
      <w:r w:rsidR="00E42D46">
        <w:noBreakHyphen/>
        <w:t xml:space="preserve">09 (the pay-back stage). The Forestry Managed Investment Scheme was terminated on 30 June 2008. </w:t>
      </w:r>
    </w:p>
    <w:p w:rsidR="002112B1" w:rsidRPr="00431E39" w:rsidRDefault="002112B1" w:rsidP="002112B1">
      <w:pPr>
        <w:pStyle w:val="BodyText"/>
      </w:pPr>
      <w:r w:rsidRPr="00431E39">
        <w:t xml:space="preserve">Effective rates of assistance to Forestry and logging have stabilised in more recent years at around 5 per cent reflecting new structural adjustment packages for the Tasmanian forestry industry. </w:t>
      </w:r>
    </w:p>
    <w:p w:rsidR="00E77173" w:rsidRDefault="00E77173" w:rsidP="00D73781">
      <w:pPr>
        <w:pStyle w:val="Heading4"/>
      </w:pPr>
      <w:r>
        <w:t>Effective rates of assistance at the firm level</w:t>
      </w:r>
    </w:p>
    <w:p w:rsidR="00EE2F0E" w:rsidRDefault="00EE2F0E" w:rsidP="00B75646">
      <w:pPr>
        <w:pStyle w:val="BodyText"/>
      </w:pPr>
      <w:r w:rsidRPr="00EE2F0E">
        <w:t xml:space="preserve">While present effective rates are historically low, the effective </w:t>
      </w:r>
      <w:r w:rsidR="00CC2C65">
        <w:t xml:space="preserve">rate of </w:t>
      </w:r>
      <w:r w:rsidRPr="00EE2F0E">
        <w:t>assistance for an individual company or project can be quite significant</w:t>
      </w:r>
      <w:r w:rsidR="00E77173">
        <w:t>. F</w:t>
      </w:r>
      <w:r w:rsidRPr="00EE2F0E">
        <w:t>or example, a number of industry grant programs to both goods producing and service activities provide subsidy equivalents for supported projects well above industry averages.</w:t>
      </w:r>
      <w:r>
        <w:t xml:space="preserve"> </w:t>
      </w:r>
      <w:r w:rsidR="0043396B" w:rsidRPr="0043396B">
        <w:t>This can be quite distortionary, within an industry as well as at the economy-wide level.</w:t>
      </w:r>
      <w:r w:rsidR="0043396B">
        <w:t xml:space="preserve"> </w:t>
      </w:r>
    </w:p>
    <w:p w:rsidR="00067AC5" w:rsidRDefault="00361E17" w:rsidP="00067AC5">
      <w:pPr>
        <w:pStyle w:val="Heading2"/>
      </w:pPr>
      <w:r>
        <w:t>4.</w:t>
      </w:r>
      <w:r w:rsidR="00000604">
        <w:rPr>
          <w:noProof/>
        </w:rPr>
        <w:t>4</w:t>
      </w:r>
      <w:r w:rsidR="00067AC5">
        <w:tab/>
        <w:t>Effective rates of assistance since 1970</w:t>
      </w:r>
    </w:p>
    <w:p w:rsidR="00661C72" w:rsidRDefault="00661C72" w:rsidP="00661C72">
      <w:pPr>
        <w:pStyle w:val="BodyText"/>
      </w:pPr>
      <w:r>
        <w:t>The Commission has estimated assistance to the manufacturing and agricultural sectors since the early 1970s. The estimates have been derived in several ‘series’, each spanning a number of consecutive years, with each series retaining a common methodology, coverage of measures and data sources across those years. While methodologies and data sources have changed between series, taken together, the series provide a broad indication of directions and trends in assistance at the sectoral level.</w:t>
      </w:r>
    </w:p>
    <w:p w:rsidR="00067AC5" w:rsidRDefault="00661C72" w:rsidP="00661C72">
      <w:pPr>
        <w:pStyle w:val="BodyText"/>
      </w:pPr>
      <w:r>
        <w:t>Figure </w:t>
      </w:r>
      <w:r w:rsidR="00E121B3">
        <w:t>4.5</w:t>
      </w:r>
      <w:r>
        <w:t xml:space="preserve"> presents effective rate </w:t>
      </w:r>
      <w:r w:rsidR="00E77173">
        <w:t xml:space="preserve">of assistance </w:t>
      </w:r>
      <w:r>
        <w:t>estimates from the different series from 1970</w:t>
      </w:r>
      <w:r>
        <w:noBreakHyphen/>
        <w:t>71 to the present. Breaks in the series are represented by gaps in the chart, and overlaps are included to show the effects of the methodological and data changes made in movi</w:t>
      </w:r>
      <w:r w:rsidR="006B4B9E">
        <w:t xml:space="preserve">ng between series. </w:t>
      </w:r>
      <w:r>
        <w:t>In figure </w:t>
      </w:r>
      <w:r w:rsidR="00E121B3">
        <w:t>4.5</w:t>
      </w:r>
      <w:r>
        <w:t>, estimates of the effective rate of assistance for the previous 2004</w:t>
      </w:r>
      <w:r>
        <w:noBreakHyphen/>
        <w:t>05 benchmarked series are reported for the years 2003</w:t>
      </w:r>
      <w:r>
        <w:noBreakHyphen/>
        <w:t>04 to 2008</w:t>
      </w:r>
      <w:r>
        <w:noBreakHyphen/>
        <w:t>09. Estimates for the new 2008</w:t>
      </w:r>
      <w:r w:rsidR="006B4B9E">
        <w:noBreakHyphen/>
      </w:r>
      <w:r>
        <w:t>09 benchmark series are reported for the years 2006</w:t>
      </w:r>
      <w:r w:rsidR="006B4B9E">
        <w:noBreakHyphen/>
      </w:r>
      <w:r>
        <w:t>07 to 201</w:t>
      </w:r>
      <w:r w:rsidR="006B4B9E">
        <w:t>2</w:t>
      </w:r>
      <w:r w:rsidR="006B4B9E">
        <w:noBreakHyphen/>
      </w:r>
      <w:r>
        <w:t>1</w:t>
      </w:r>
      <w:r w:rsidR="006B4B9E">
        <w:t>3</w:t>
      </w:r>
      <w:r>
        <w:t>. The overlapping estimates are also shown in expanded form in an insert in the figure.</w:t>
      </w:r>
      <w:r w:rsidR="000A75B6">
        <w:t xml:space="preserve"> </w:t>
      </w:r>
    </w:p>
    <w:p w:rsidR="0000351C" w:rsidRDefault="0000351C" w:rsidP="0000351C">
      <w:pPr>
        <w:pStyle w:val="FigureTitle"/>
      </w:pPr>
      <w:r>
        <w:rPr>
          <w:b w:val="0"/>
        </w:rPr>
        <w:lastRenderedPageBreak/>
        <w:t>Figure 4.</w:t>
      </w:r>
      <w:r w:rsidR="00000604">
        <w:rPr>
          <w:b w:val="0"/>
          <w:noProof/>
        </w:rPr>
        <w:t>5</w:t>
      </w:r>
      <w:r>
        <w:tab/>
        <w:t>Effective rates of assistance to manufacturing and agriculture</w:t>
      </w:r>
      <w:r w:rsidR="00515287">
        <w:t>,</w:t>
      </w:r>
      <w:r w:rsidRPr="000A75B6">
        <w:rPr>
          <w:rStyle w:val="NoteLabel"/>
        </w:rPr>
        <w:t>a</w:t>
      </w:r>
      <w:r>
        <w:t xml:space="preserve"> 1970</w:t>
      </w:r>
      <w:r>
        <w:noBreakHyphen/>
        <w:t>71 to 2012</w:t>
      </w:r>
      <w:r>
        <w:noBreakHyphen/>
        <w:t>13</w:t>
      </w:r>
    </w:p>
    <w:p w:rsidR="0000351C" w:rsidRDefault="0000351C" w:rsidP="0000351C">
      <w:pPr>
        <w:pStyle w:val="Subtitle"/>
      </w:pPr>
      <w:r>
        <w:t>per cent</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00351C" w:rsidTr="003A63C4">
        <w:tc>
          <w:tcPr>
            <w:tcW w:w="8777" w:type="dxa"/>
          </w:tcPr>
          <w:p w:rsidR="0000351C" w:rsidRDefault="003D484E" w:rsidP="003A63C4">
            <w:pPr>
              <w:pStyle w:val="Figure"/>
              <w:rPr>
                <w:szCs w:val="24"/>
              </w:rPr>
            </w:pPr>
            <w:r>
              <w:rPr>
                <w:noProof/>
              </w:rPr>
              <mc:AlternateContent>
                <mc:Choice Requires="wps">
                  <w:drawing>
                    <wp:anchor distT="0" distB="0" distL="114300" distR="114300" simplePos="0" relativeHeight="251668480" behindDoc="0" locked="0" layoutInCell="1" allowOverlap="1" wp14:anchorId="766FD98B" wp14:editId="3BF9AB33">
                      <wp:simplePos x="0" y="0"/>
                      <wp:positionH relativeFrom="column">
                        <wp:posOffset>4720019</wp:posOffset>
                      </wp:positionH>
                      <wp:positionV relativeFrom="paragraph">
                        <wp:posOffset>1704975</wp:posOffset>
                      </wp:positionV>
                      <wp:extent cx="0" cy="600075"/>
                      <wp:effectExtent l="95250" t="38100" r="57150" b="9525"/>
                      <wp:wrapNone/>
                      <wp:docPr id="8" name="Straight Arrow Connector 5"/>
                      <wp:cNvGraphicFramePr/>
                      <a:graphic xmlns:a="http://schemas.openxmlformats.org/drawingml/2006/main">
                        <a:graphicData uri="http://schemas.microsoft.com/office/word/2010/wordprocessingShape">
                          <wps:wsp>
                            <wps:cNvCnPr/>
                            <wps:spPr>
                              <a:xfrm flipH="1" flipV="1">
                                <a:off x="0" y="0"/>
                                <a:ext cx="0" cy="60007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5" o:spid="_x0000_s1026" type="#_x0000_t32" style="position:absolute;margin-left:371.65pt;margin-top:134.25pt;width:0;height:47.25pt;flip:x y;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" strokecolor="black [3040]">
                      <v:stroke endarrow="open"/>
                    </v:shape>
                  </w:pict>
                </mc:Fallback>
              </mc:AlternateContent>
            </w:r>
            <w:r>
              <w:rPr>
                <w:noProof/>
              </w:rPr>
              <mc:AlternateContent>
                <mc:Choice Requires="wps">
                  <w:drawing>
                    <wp:anchor distT="0" distB="0" distL="114300" distR="114300" simplePos="0" relativeHeight="251667456" behindDoc="0" locked="0" layoutInCell="1" allowOverlap="1" wp14:anchorId="7429872F" wp14:editId="78341719">
                      <wp:simplePos x="0" y="0"/>
                      <wp:positionH relativeFrom="column">
                        <wp:posOffset>4327589</wp:posOffset>
                      </wp:positionH>
                      <wp:positionV relativeFrom="paragraph">
                        <wp:posOffset>2303145</wp:posOffset>
                      </wp:positionV>
                      <wp:extent cx="751205" cy="485775"/>
                      <wp:effectExtent l="0" t="0" r="10795" b="28575"/>
                      <wp:wrapNone/>
                      <wp:docPr id="22" name="Rectangle 4"/>
                      <wp:cNvGraphicFramePr/>
                      <a:graphic xmlns:a="http://schemas.openxmlformats.org/drawingml/2006/main">
                        <a:graphicData uri="http://schemas.microsoft.com/office/word/2010/wordprocessingShape">
                          <wps:wsp>
                            <wps:cNvSpPr/>
                            <wps:spPr>
                              <a:xfrm>
                                <a:off x="0" y="0"/>
                                <a:ext cx="751205" cy="485775"/>
                              </a:xfrm>
                              <a:prstGeom prst="rect">
                                <a:avLst/>
                              </a:prstGeom>
                              <a:noFill/>
                              <a:ln w="9525" cap="flat" cmpd="sng" algn="ctr">
                                <a:solidFill>
                                  <a:sysClr val="windowText" lastClr="000000">
                                    <a:lumMod val="65000"/>
                                    <a:lumOff val="35000"/>
                                  </a:sysClr>
                                </a:solidFill>
                                <a:prstDash val="solid"/>
                              </a:ln>
                              <a:effectLst/>
                            </wps:spPr>
                            <wps:bodyPr vertOverflow="clip" horzOverflow="clip" rtlCol="0" anchor="t"/>
                          </wps:wsp>
                        </a:graphicData>
                      </a:graphic>
                      <wp14:sizeRelH relativeFrom="margin">
                        <wp14:pctWidth>0</wp14:pctWidth>
                      </wp14:sizeRelH>
                    </wp:anchor>
                  </w:drawing>
                </mc:Choice>
                <mc:Fallback>
                  <w:pict>
                    <v:rect id="Rectangle 4" o:spid="_x0000_s1026" style="position:absolute;margin-left:340.75pt;margin-top:181.35pt;width:59.15pt;height:38.25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" filled="f" strokecolor="#595959"/>
                  </w:pict>
                </mc:Fallback>
              </mc:AlternateContent>
            </w:r>
            <w:r>
              <w:rPr>
                <w:noProof/>
                <w:szCs w:val="24"/>
              </w:rPr>
              <w:drawing>
                <wp:inline distT="0" distB="0" distL="0" distR="0" wp14:anchorId="0167120C" wp14:editId="6A2C027D">
                  <wp:extent cx="5334635" cy="3347085"/>
                  <wp:effectExtent l="0" t="0" r="0" b="5715"/>
                  <wp:docPr id="23" name="Picture 23" descr="Figure 4.5. Effective rates of assistance to manufacturing and agriculture 1970-71 to 2012-13. This figure presents effective rates of assistance to manufacturing and agriculture since 1970-71. This figure is described in the surrounding tex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34635" cy="3347085"/>
                          </a:xfrm>
                          <a:prstGeom prst="rect">
                            <a:avLst/>
                          </a:prstGeom>
                          <a:noFill/>
                        </pic:spPr>
                      </pic:pic>
                    </a:graphicData>
                  </a:graphic>
                </wp:inline>
              </w:drawing>
            </w:r>
          </w:p>
        </w:tc>
      </w:tr>
    </w:tbl>
    <w:p w:rsidR="0000351C" w:rsidRDefault="0000351C" w:rsidP="0000351C">
      <w:pPr>
        <w:pStyle w:val="Note"/>
      </w:pPr>
      <w:r>
        <w:rPr>
          <w:rStyle w:val="NoteLabel"/>
        </w:rPr>
        <w:t>a</w:t>
      </w:r>
      <w:r>
        <w:t> Refers to selected agriculture activities up to and including the year 2000</w:t>
      </w:r>
      <w:r>
        <w:noBreakHyphen/>
        <w:t>01. From 2001</w:t>
      </w:r>
      <w:r>
        <w:noBreakHyphen/>
        <w:t xml:space="preserve">02, estimates refer to division A of the Australian and New Zealand Standard Industrial Classification which covers agriculture, forestry, fishing and hunting activities. </w:t>
      </w:r>
    </w:p>
    <w:p w:rsidR="0000351C" w:rsidRDefault="0000351C" w:rsidP="0000351C">
      <w:pPr>
        <w:pStyle w:val="Source"/>
      </w:pPr>
      <w:r>
        <w:rPr>
          <w:i/>
        </w:rPr>
        <w:t>Source</w:t>
      </w:r>
      <w:r w:rsidRPr="00167F06">
        <w:t xml:space="preserve">: </w:t>
      </w:r>
      <w:r>
        <w:t>Commission estimates.</w:t>
      </w:r>
    </w:p>
    <w:p w:rsidR="006B4B9E" w:rsidRDefault="006B4B9E" w:rsidP="006B4B9E">
      <w:pPr>
        <w:pStyle w:val="Heading3"/>
      </w:pPr>
      <w:r>
        <w:t>Manufacturing</w:t>
      </w:r>
    </w:p>
    <w:p w:rsidR="006B4B9E" w:rsidRDefault="006B4B9E" w:rsidP="006B4B9E">
      <w:pPr>
        <w:pStyle w:val="BodyText"/>
      </w:pPr>
      <w:r w:rsidRPr="006B4B9E">
        <w:t>The estimates indicate a marked decline in measured assistance to the manufacturing sector over the last 35 years. The estimated effective rate of assistance for manufacturing as a whole (as calculated in the first series) was around 35</w:t>
      </w:r>
      <w:r>
        <w:t> </w:t>
      </w:r>
      <w:r w:rsidRPr="006B4B9E">
        <w:t>per</w:t>
      </w:r>
      <w:r>
        <w:t> </w:t>
      </w:r>
      <w:r w:rsidRPr="006B4B9E">
        <w:t>cent in 1970</w:t>
      </w:r>
      <w:r>
        <w:noBreakHyphen/>
      </w:r>
      <w:r w:rsidRPr="006B4B9E">
        <w:t>71, whereas since 2000, the rate has been around 5</w:t>
      </w:r>
      <w:r>
        <w:t> </w:t>
      </w:r>
      <w:r w:rsidRPr="006B4B9E">
        <w:t>per</w:t>
      </w:r>
      <w:r>
        <w:t> </w:t>
      </w:r>
      <w:r w:rsidRPr="006B4B9E">
        <w:t>cent. Major influences on this decline over the past four decades have been the 25</w:t>
      </w:r>
      <w:r>
        <w:t> </w:t>
      </w:r>
      <w:r w:rsidRPr="006B4B9E">
        <w:t>per</w:t>
      </w:r>
      <w:r>
        <w:t> </w:t>
      </w:r>
      <w:r w:rsidRPr="006B4B9E">
        <w:t xml:space="preserve">cent across-the-board tariff cut of 1973, the abolition of (subsequent) tariff quotas and the broad programs of tariff reductions that commenced in the late 1980s. Recent declines have been associated mainly with reductions in tariff assistance to the </w:t>
      </w:r>
      <w:r w:rsidR="00515287">
        <w:t xml:space="preserve">textile, clothing and footwear, </w:t>
      </w:r>
      <w:r w:rsidRPr="006B4B9E">
        <w:t>and passenger motor vehicle industries. A 5</w:t>
      </w:r>
      <w:r>
        <w:t> </w:t>
      </w:r>
      <w:r w:rsidRPr="006B4B9E">
        <w:t>per</w:t>
      </w:r>
      <w:r>
        <w:t> </w:t>
      </w:r>
      <w:r w:rsidRPr="006B4B9E">
        <w:t>cent tariff, levied on over 50</w:t>
      </w:r>
      <w:r>
        <w:t> </w:t>
      </w:r>
      <w:r w:rsidRPr="006B4B9E">
        <w:t>per</w:t>
      </w:r>
      <w:r>
        <w:t> </w:t>
      </w:r>
      <w:r w:rsidRPr="006B4B9E">
        <w:t xml:space="preserve">cent of manufactured items of merchandise trade, continues to provide some assistance to </w:t>
      </w:r>
      <w:r w:rsidR="009079E8">
        <w:t xml:space="preserve">many </w:t>
      </w:r>
      <w:r w:rsidRPr="006B4B9E">
        <w:t>manufacturing activities, and an associated impost on consumers and industry and costs to government administration.</w:t>
      </w:r>
      <w:r w:rsidR="000A75B6">
        <w:t xml:space="preserve"> </w:t>
      </w:r>
    </w:p>
    <w:p w:rsidR="006B4B9E" w:rsidRDefault="006B4B9E" w:rsidP="006B4B9E">
      <w:pPr>
        <w:pStyle w:val="Heading3"/>
      </w:pPr>
      <w:r>
        <w:lastRenderedPageBreak/>
        <w:t>Agriculture (primary production)</w:t>
      </w:r>
    </w:p>
    <w:p w:rsidR="00067AC5" w:rsidRDefault="006B4B9E" w:rsidP="00120072">
      <w:pPr>
        <w:pStyle w:val="BodyText"/>
      </w:pPr>
      <w:r w:rsidRPr="006B4B9E">
        <w:t>For agriculture, the estimated effective rate of assistance (as calculated in the first series) was over 25</w:t>
      </w:r>
      <w:r>
        <w:t> </w:t>
      </w:r>
      <w:r w:rsidRPr="006B4B9E">
        <w:t>per</w:t>
      </w:r>
      <w:r>
        <w:t> </w:t>
      </w:r>
      <w:r w:rsidRPr="006B4B9E">
        <w:t>cent in 1970</w:t>
      </w:r>
      <w:r>
        <w:noBreakHyphen/>
      </w:r>
      <w:r w:rsidRPr="006B4B9E">
        <w:t>71 and, by 1974</w:t>
      </w:r>
      <w:r>
        <w:noBreakHyphen/>
      </w:r>
      <w:r w:rsidRPr="006B4B9E">
        <w:t>75, it had fallen to about 8</w:t>
      </w:r>
      <w:r>
        <w:t> </w:t>
      </w:r>
      <w:r w:rsidRPr="006B4B9E">
        <w:t>per</w:t>
      </w:r>
      <w:r>
        <w:t> </w:t>
      </w:r>
      <w:r w:rsidRPr="006B4B9E">
        <w:t>cent. The subsequent volatility in the agricultural estimates, particularly through the 1970s and 1980s, reflects variation in differences between domestic support prices and world prices (used for assistance benchmarks) as well as the impact of drought and other factors on output.</w:t>
      </w:r>
      <w:r w:rsidR="000A75B6">
        <w:t xml:space="preserve"> </w:t>
      </w:r>
    </w:p>
    <w:p w:rsidR="00D67CD1" w:rsidRDefault="00D67CD1" w:rsidP="00D67CD1">
      <w:pPr>
        <w:pStyle w:val="BodyText"/>
      </w:pPr>
      <w:r w:rsidRPr="006B4B9E">
        <w:t>The rise in the effective rate of assistance to agriculture in 2006</w:t>
      </w:r>
      <w:r>
        <w:noBreakHyphen/>
      </w:r>
      <w:r w:rsidRPr="006B4B9E">
        <w:t>07 and 2007</w:t>
      </w:r>
      <w:r>
        <w:noBreakHyphen/>
      </w:r>
      <w:r w:rsidRPr="006B4B9E">
        <w:t>08 reflects significant increases in Exceptional Circumstances drought relief payments and interest rate subsidies at the height of the drought through much of Australia</w:t>
      </w:r>
      <w:r>
        <w:t>, as well as the Dairy Industry Structural Adjustment package</w:t>
      </w:r>
      <w:r w:rsidRPr="006B4B9E">
        <w:t xml:space="preserve">. Such assistance has since declined significantly and the estimated assistance to the sector overall has declined to around </w:t>
      </w:r>
      <w:r>
        <w:t>2.6 </w:t>
      </w:r>
      <w:r w:rsidRPr="006B4B9E">
        <w:t>per</w:t>
      </w:r>
      <w:r>
        <w:t> </w:t>
      </w:r>
      <w:r w:rsidRPr="006B4B9E">
        <w:t>cent.</w:t>
      </w:r>
      <w:r>
        <w:t xml:space="preserve"> </w:t>
      </w:r>
    </w:p>
    <w:p w:rsidR="00DD7AD2" w:rsidRPr="004B3B92" w:rsidRDefault="00DD7AD2" w:rsidP="004B3B92">
      <w:pPr>
        <w:pStyle w:val="BodyText"/>
      </w:pPr>
    </w:p>
    <w:sectPr w:rsidR="00DD7AD2" w:rsidRPr="004B3B92" w:rsidSect="00123A77">
      <w:headerReference w:type="even" r:id="rId17"/>
      <w:headerReference w:type="default" r:id="rId18"/>
      <w:footerReference w:type="even" r:id="rId19"/>
      <w:footerReference w:type="default" r:id="rId20"/>
      <w:pgSz w:w="11907" w:h="16840" w:code="9"/>
      <w:pgMar w:top="1985" w:right="1304" w:bottom="1418" w:left="1814" w:header="1701" w:footer="567" w:gutter="0"/>
      <w:pgNumType w:start="55"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4544" w:rsidRDefault="00124544">
      <w:r>
        <w:separator/>
      </w:r>
    </w:p>
  </w:endnote>
  <w:endnote w:type="continuationSeparator" w:id="0">
    <w:p w:rsidR="00124544" w:rsidRDefault="00124544">
      <w:r>
        <w:continuationSeparator/>
      </w:r>
    </w:p>
  </w:endnote>
  <w:endnote w:type="continuationNotice" w:id="1">
    <w:p w:rsidR="00124544" w:rsidRDefault="001245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124544">
      <w:trPr>
        <w:trHeight w:hRule="exact" w:val="740"/>
      </w:trPr>
      <w:tc>
        <w:tcPr>
          <w:tcW w:w="510" w:type="dxa"/>
          <w:tcBorders>
            <w:top w:val="single" w:sz="6" w:space="0" w:color="auto"/>
          </w:tcBorders>
        </w:tcPr>
        <w:p w:rsidR="00124544" w:rsidRDefault="00124544"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AB5B05">
            <w:rPr>
              <w:rStyle w:val="PageNumber"/>
              <w:noProof/>
            </w:rPr>
            <w:t>56</w:t>
          </w:r>
          <w:r>
            <w:rPr>
              <w:rStyle w:val="PageNumber"/>
            </w:rPr>
            <w:fldChar w:fldCharType="end"/>
          </w:r>
        </w:p>
      </w:tc>
      <w:tc>
        <w:tcPr>
          <w:tcW w:w="1644" w:type="dxa"/>
          <w:tcBorders>
            <w:top w:val="single" w:sz="6" w:space="0" w:color="auto"/>
          </w:tcBorders>
        </w:tcPr>
        <w:p w:rsidR="00124544" w:rsidRDefault="000B60AF" w:rsidP="0019293B">
          <w:pPr>
            <w:pStyle w:val="Footer"/>
          </w:pPr>
          <w:fldSimple w:instr=" SUBJECT  \* MERGEFORMAT ">
            <w:r>
              <w:t>Trade &amp; Assistance Review 2012-13</w:t>
            </w:r>
          </w:fldSimple>
        </w:p>
      </w:tc>
      <w:tc>
        <w:tcPr>
          <w:tcW w:w="6634" w:type="dxa"/>
        </w:tcPr>
        <w:p w:rsidR="00124544" w:rsidRDefault="00124544" w:rsidP="0019293B">
          <w:pPr>
            <w:pStyle w:val="Footer"/>
          </w:pPr>
        </w:p>
      </w:tc>
    </w:tr>
  </w:tbl>
  <w:p w:rsidR="00124544" w:rsidRDefault="00124544"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124544">
      <w:trPr>
        <w:trHeight w:hRule="exact" w:val="740"/>
      </w:trPr>
      <w:tc>
        <w:tcPr>
          <w:tcW w:w="6634" w:type="dxa"/>
        </w:tcPr>
        <w:p w:rsidR="00124544" w:rsidRDefault="00124544">
          <w:pPr>
            <w:pStyle w:val="Footer"/>
            <w:ind w:right="360" w:firstLine="360"/>
          </w:pPr>
        </w:p>
      </w:tc>
      <w:tc>
        <w:tcPr>
          <w:tcW w:w="1644" w:type="dxa"/>
          <w:tcBorders>
            <w:top w:val="single" w:sz="6" w:space="0" w:color="auto"/>
          </w:tcBorders>
        </w:tcPr>
        <w:p w:rsidR="00124544" w:rsidRDefault="000B60AF">
          <w:pPr>
            <w:pStyle w:val="Footer"/>
          </w:pPr>
          <w:fldSimple w:instr=" TITLE  \* MERGEFORMAT ">
            <w:r>
              <w:t>Assistance estimates</w:t>
            </w:r>
          </w:fldSimple>
        </w:p>
      </w:tc>
      <w:tc>
        <w:tcPr>
          <w:tcW w:w="510" w:type="dxa"/>
          <w:tcBorders>
            <w:top w:val="single" w:sz="6" w:space="0" w:color="auto"/>
          </w:tcBorders>
        </w:tcPr>
        <w:p w:rsidR="00124544" w:rsidRDefault="00124544">
          <w:pPr>
            <w:pStyle w:val="Footer"/>
            <w:jc w:val="right"/>
          </w:pPr>
          <w:r>
            <w:rPr>
              <w:rStyle w:val="PageNumber"/>
            </w:rPr>
            <w:fldChar w:fldCharType="begin"/>
          </w:r>
          <w:r>
            <w:rPr>
              <w:rStyle w:val="PageNumber"/>
            </w:rPr>
            <w:instrText xml:space="preserve">PAGE  </w:instrText>
          </w:r>
          <w:r>
            <w:rPr>
              <w:rStyle w:val="PageNumber"/>
            </w:rPr>
            <w:fldChar w:fldCharType="separate"/>
          </w:r>
          <w:r w:rsidR="00AB5B05">
            <w:rPr>
              <w:rStyle w:val="PageNumber"/>
              <w:noProof/>
            </w:rPr>
            <w:t>55</w:t>
          </w:r>
          <w:r>
            <w:rPr>
              <w:rStyle w:val="PageNumber"/>
            </w:rPr>
            <w:fldChar w:fldCharType="end"/>
          </w:r>
        </w:p>
      </w:tc>
    </w:tr>
  </w:tbl>
  <w:p w:rsidR="00124544" w:rsidRDefault="00124544">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4544" w:rsidRDefault="00124544">
      <w:r>
        <w:separator/>
      </w:r>
    </w:p>
  </w:footnote>
  <w:footnote w:type="continuationSeparator" w:id="0">
    <w:p w:rsidR="00124544" w:rsidRDefault="00124544">
      <w:r>
        <w:continuationSeparator/>
      </w:r>
    </w:p>
  </w:footnote>
  <w:footnote w:type="continuationNotice" w:id="1">
    <w:p w:rsidR="00124544" w:rsidRDefault="00124544"/>
  </w:footnote>
  <w:footnote w:id="2">
    <w:p w:rsidR="00124544" w:rsidRDefault="00124544">
      <w:pPr>
        <w:pStyle w:val="FootnoteText"/>
      </w:pPr>
      <w:r>
        <w:rPr>
          <w:rStyle w:val="FootnoteReference"/>
        </w:rPr>
        <w:footnoteRef/>
      </w:r>
      <w:r>
        <w:t xml:space="preserve"> </w:t>
      </w:r>
      <w:r>
        <w:tab/>
      </w:r>
      <w:r w:rsidRPr="001A6F3E">
        <w:rPr>
          <w:rStyle w:val="FootnoteTextChar"/>
        </w:rPr>
        <w:t>Treasury estimate (in the TES) the value of exempti</w:t>
      </w:r>
      <w:r>
        <w:rPr>
          <w:rStyle w:val="FootnoteTextChar"/>
        </w:rPr>
        <w:t xml:space="preserve">ng </w:t>
      </w:r>
      <w:r w:rsidRPr="001A6F3E">
        <w:rPr>
          <w:rStyle w:val="FootnoteTextChar"/>
        </w:rPr>
        <w:t>certain emissions activities from the carbon pricing mechanism to be around $3.7 billion in 2012</w:t>
      </w:r>
      <w:r w:rsidRPr="001A6F3E">
        <w:rPr>
          <w:rStyle w:val="FootnoteTextChar"/>
        </w:rPr>
        <w:noBreakHyphen/>
        <w:t xml:space="preserve">13. These principally relate to agriculture and deforestation. These ‘concessions’ have not been incorporated into the assistance estimates, nor has the ‘tax’ effect of the carbon pricing mechanism on other activities. Treasury note that the value of exemptions will fall to zero from </w:t>
      </w:r>
      <w:r>
        <w:rPr>
          <w:rStyle w:val="FootnoteTextChar"/>
        </w:rPr>
        <w:t>1 </w:t>
      </w:r>
      <w:r w:rsidRPr="001A6F3E">
        <w:rPr>
          <w:rStyle w:val="FootnoteTextChar"/>
        </w:rPr>
        <w:t>July</w:t>
      </w:r>
      <w:r>
        <w:rPr>
          <w:rStyle w:val="FootnoteTextChar"/>
        </w:rPr>
        <w:t> </w:t>
      </w:r>
      <w:r w:rsidRPr="001A6F3E">
        <w:rPr>
          <w:rStyle w:val="FootnoteTextChar"/>
        </w:rPr>
        <w:t>2014, consistent with the revised carbon pricing arrangement applying from that time</w:t>
      </w:r>
      <w:r>
        <w:rPr>
          <w:rStyle w:val="FootnoteTextChar"/>
        </w:rPr>
        <w:t xml:space="preserve">. </w:t>
      </w:r>
    </w:p>
  </w:footnote>
  <w:footnote w:id="3">
    <w:p w:rsidR="00124544" w:rsidRDefault="00124544" w:rsidP="00DA68BE">
      <w:pPr>
        <w:pStyle w:val="FootnoteText"/>
      </w:pPr>
      <w:r>
        <w:rPr>
          <w:rStyle w:val="FootnoteReference"/>
        </w:rPr>
        <w:footnoteRef/>
      </w:r>
      <w:r>
        <w:t xml:space="preserve"> Taxation concessions on retirement savings associated with Australia’s compulsory superannuation arrangements, while providing incidental benefits to the finance sector as the provider of financial services, are not included in the Commission’s assistance estimates.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124544">
      <w:tc>
        <w:tcPr>
          <w:tcW w:w="2155" w:type="dxa"/>
          <w:tcBorders>
            <w:top w:val="single" w:sz="24" w:space="0" w:color="auto"/>
          </w:tcBorders>
        </w:tcPr>
        <w:p w:rsidR="00124544" w:rsidRDefault="00124544" w:rsidP="0019293B">
          <w:pPr>
            <w:pStyle w:val="HeaderEven"/>
          </w:pPr>
        </w:p>
      </w:tc>
      <w:tc>
        <w:tcPr>
          <w:tcW w:w="6634" w:type="dxa"/>
          <w:tcBorders>
            <w:top w:val="single" w:sz="6" w:space="0" w:color="auto"/>
          </w:tcBorders>
        </w:tcPr>
        <w:p w:rsidR="00124544" w:rsidRDefault="00124544" w:rsidP="0019293B">
          <w:pPr>
            <w:pStyle w:val="HeaderEven"/>
          </w:pPr>
        </w:p>
      </w:tc>
    </w:tr>
  </w:tbl>
  <w:p w:rsidR="00124544" w:rsidRDefault="00124544"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124544">
      <w:tc>
        <w:tcPr>
          <w:tcW w:w="6634" w:type="dxa"/>
          <w:tcBorders>
            <w:top w:val="single" w:sz="6" w:space="0" w:color="auto"/>
          </w:tcBorders>
        </w:tcPr>
        <w:p w:rsidR="00124544" w:rsidRDefault="00124544" w:rsidP="00E669E2">
          <w:pPr>
            <w:pStyle w:val="HeaderOdd"/>
          </w:pPr>
        </w:p>
      </w:tc>
      <w:tc>
        <w:tcPr>
          <w:tcW w:w="2155" w:type="dxa"/>
          <w:tcBorders>
            <w:top w:val="single" w:sz="24" w:space="0" w:color="auto"/>
          </w:tcBorders>
        </w:tcPr>
        <w:p w:rsidR="00124544" w:rsidRDefault="00124544" w:rsidP="00E669E2">
          <w:pPr>
            <w:pStyle w:val="HeaderOdd"/>
          </w:pPr>
        </w:p>
      </w:tc>
    </w:tr>
  </w:tbl>
  <w:p w:rsidR="00124544" w:rsidRDefault="00124544"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2"/>
  </w:num>
  <w:num w:numId="4">
    <w:abstractNumId w:val="7"/>
  </w:num>
  <w:num w:numId="5">
    <w:abstractNumId w:val="5"/>
  </w:num>
  <w:num w:numId="6">
    <w:abstractNumId w:val="25"/>
  </w:num>
  <w:num w:numId="7">
    <w:abstractNumId w:val="3"/>
  </w:num>
  <w:num w:numId="8">
    <w:abstractNumId w:val="9"/>
  </w:num>
  <w:num w:numId="9">
    <w:abstractNumId w:val="2"/>
  </w:num>
  <w:num w:numId="10">
    <w:abstractNumId w:val="37"/>
  </w:num>
  <w:num w:numId="11">
    <w:abstractNumId w:val="4"/>
  </w:num>
  <w:num w:numId="12">
    <w:abstractNumId w:val="1"/>
  </w:num>
  <w:num w:numId="13">
    <w:abstractNumId w:val="0"/>
  </w:num>
  <w:num w:numId="14">
    <w:abstractNumId w:val="28"/>
  </w:num>
  <w:num w:numId="15">
    <w:abstractNumId w:val="43"/>
  </w:num>
  <w:num w:numId="16">
    <w:abstractNumId w:val="17"/>
  </w:num>
  <w:num w:numId="17">
    <w:abstractNumId w:val="16"/>
  </w:num>
  <w:num w:numId="18">
    <w:abstractNumId w:val="26"/>
  </w:num>
  <w:num w:numId="19">
    <w:abstractNumId w:val="12"/>
  </w:num>
  <w:num w:numId="20">
    <w:abstractNumId w:val="34"/>
  </w:num>
  <w:num w:numId="21">
    <w:abstractNumId w:val="36"/>
  </w:num>
  <w:num w:numId="22">
    <w:abstractNumId w:val="24"/>
  </w:num>
  <w:num w:numId="23">
    <w:abstractNumId w:val="27"/>
  </w:num>
  <w:num w:numId="24">
    <w:abstractNumId w:val="29"/>
  </w:num>
  <w:num w:numId="25">
    <w:abstractNumId w:val="41"/>
  </w:num>
  <w:num w:numId="26">
    <w:abstractNumId w:val="33"/>
  </w:num>
  <w:num w:numId="27">
    <w:abstractNumId w:val="38"/>
  </w:num>
  <w:num w:numId="28">
    <w:abstractNumId w:val="39"/>
  </w:num>
  <w:num w:numId="29">
    <w:abstractNumId w:val="31"/>
  </w:num>
  <w:num w:numId="30">
    <w:abstractNumId w:val="21"/>
  </w:num>
  <w:num w:numId="31">
    <w:abstractNumId w:val="44"/>
  </w:num>
  <w:num w:numId="32">
    <w:abstractNumId w:val="15"/>
  </w:num>
  <w:num w:numId="33">
    <w:abstractNumId w:val="8"/>
  </w:num>
  <w:num w:numId="34">
    <w:abstractNumId w:val="18"/>
  </w:num>
  <w:num w:numId="35">
    <w:abstractNumId w:val="40"/>
  </w:num>
  <w:num w:numId="36">
    <w:abstractNumId w:val="32"/>
  </w:num>
  <w:num w:numId="37">
    <w:abstractNumId w:val="13"/>
  </w:num>
  <w:num w:numId="38">
    <w:abstractNumId w:val="35"/>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 w:numId="47">
    <w:abstractNumId w:val="10"/>
  </w:num>
  <w:num w:numId="48">
    <w:abstractNumId w:val="30"/>
  </w:num>
  <w:num w:numId="49">
    <w:abstractNumId w:val="6"/>
    <w:lvlOverride w:ilvl="0">
      <w:lvl w:ilvl="0">
        <w:numFmt w:val="bullet"/>
        <w:lvlText w:val="•"/>
        <w:legacy w:legacy="1" w:legacySpace="0" w:legacyIndent="0"/>
        <w:lvlJc w:val="left"/>
        <w:rPr>
          <w:rFonts w:ascii="Arial" w:hAnsi="Arial" w:cs="Arial" w:hint="default"/>
          <w:sz w:val="16"/>
        </w:rPr>
      </w:lvl>
    </w:lvlOverride>
  </w:num>
  <w:num w:numId="50">
    <w:abstractNumId w:val="6"/>
    <w:lvlOverride w:ilvl="0">
      <w:lvl w:ilvl="0">
        <w:numFmt w:val="bullet"/>
        <w:lvlText w:val="•"/>
        <w:legacy w:legacy="1" w:legacySpace="0" w:legacyIndent="0"/>
        <w:lvlJc w:val="left"/>
        <w:rPr>
          <w:rFonts w:ascii="Arial" w:hAnsi="Arial" w:cs="Arial"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trackRevisions/>
  <w:defaultTabStop w:val="720"/>
  <w:clickAndTypeStyle w:val="BodyText"/>
  <w:evenAndOddHeaders/>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Assistance estimates"/>
    <w:docVar w:name="ShortReportTitle" w:val="Trade &amp; Assistance Review 2012-13"/>
  </w:docVars>
  <w:rsids>
    <w:rsidRoot w:val="00CD3AD0"/>
    <w:rsid w:val="00000604"/>
    <w:rsid w:val="00002F28"/>
    <w:rsid w:val="0000351C"/>
    <w:rsid w:val="00014F52"/>
    <w:rsid w:val="000227D5"/>
    <w:rsid w:val="000234ED"/>
    <w:rsid w:val="00024091"/>
    <w:rsid w:val="000245AA"/>
    <w:rsid w:val="0002497E"/>
    <w:rsid w:val="00030100"/>
    <w:rsid w:val="00030E51"/>
    <w:rsid w:val="0003664B"/>
    <w:rsid w:val="0004111F"/>
    <w:rsid w:val="000462E0"/>
    <w:rsid w:val="00052E4F"/>
    <w:rsid w:val="000565B3"/>
    <w:rsid w:val="00060F71"/>
    <w:rsid w:val="00063F43"/>
    <w:rsid w:val="00065716"/>
    <w:rsid w:val="000672D7"/>
    <w:rsid w:val="00067987"/>
    <w:rsid w:val="00067AC5"/>
    <w:rsid w:val="00070802"/>
    <w:rsid w:val="000714CF"/>
    <w:rsid w:val="0007150B"/>
    <w:rsid w:val="000732AC"/>
    <w:rsid w:val="00073C8B"/>
    <w:rsid w:val="000747A8"/>
    <w:rsid w:val="000810EA"/>
    <w:rsid w:val="00083ECF"/>
    <w:rsid w:val="000871FB"/>
    <w:rsid w:val="00087A9B"/>
    <w:rsid w:val="00090D7A"/>
    <w:rsid w:val="000918D0"/>
    <w:rsid w:val="00092726"/>
    <w:rsid w:val="000938F5"/>
    <w:rsid w:val="00093C4E"/>
    <w:rsid w:val="00093F1B"/>
    <w:rsid w:val="00096E55"/>
    <w:rsid w:val="00097DF9"/>
    <w:rsid w:val="000A67D9"/>
    <w:rsid w:val="000A75B6"/>
    <w:rsid w:val="000B2052"/>
    <w:rsid w:val="000B288F"/>
    <w:rsid w:val="000B4DA5"/>
    <w:rsid w:val="000B601B"/>
    <w:rsid w:val="000B60AF"/>
    <w:rsid w:val="000C207E"/>
    <w:rsid w:val="000C4315"/>
    <w:rsid w:val="000F0035"/>
    <w:rsid w:val="000F02FC"/>
    <w:rsid w:val="000F420B"/>
    <w:rsid w:val="000F4632"/>
    <w:rsid w:val="000F6D1B"/>
    <w:rsid w:val="00101B60"/>
    <w:rsid w:val="00110116"/>
    <w:rsid w:val="001137D9"/>
    <w:rsid w:val="00120072"/>
    <w:rsid w:val="00123A77"/>
    <w:rsid w:val="00124544"/>
    <w:rsid w:val="00126696"/>
    <w:rsid w:val="00126EB8"/>
    <w:rsid w:val="001274D4"/>
    <w:rsid w:val="001320FC"/>
    <w:rsid w:val="001343EE"/>
    <w:rsid w:val="001363AA"/>
    <w:rsid w:val="00136FE5"/>
    <w:rsid w:val="00144BCF"/>
    <w:rsid w:val="00164053"/>
    <w:rsid w:val="00166E00"/>
    <w:rsid w:val="001740B7"/>
    <w:rsid w:val="00177A31"/>
    <w:rsid w:val="00180046"/>
    <w:rsid w:val="001810DC"/>
    <w:rsid w:val="00182FAB"/>
    <w:rsid w:val="00183E82"/>
    <w:rsid w:val="001878BB"/>
    <w:rsid w:val="00191AE0"/>
    <w:rsid w:val="0019293B"/>
    <w:rsid w:val="0019426B"/>
    <w:rsid w:val="00194D23"/>
    <w:rsid w:val="00195128"/>
    <w:rsid w:val="0019671F"/>
    <w:rsid w:val="0019756F"/>
    <w:rsid w:val="001A27B4"/>
    <w:rsid w:val="001B4096"/>
    <w:rsid w:val="001C0865"/>
    <w:rsid w:val="001C3ABA"/>
    <w:rsid w:val="001C6840"/>
    <w:rsid w:val="001D1EDD"/>
    <w:rsid w:val="001D2BC6"/>
    <w:rsid w:val="001D40E7"/>
    <w:rsid w:val="001E0369"/>
    <w:rsid w:val="001E7BE8"/>
    <w:rsid w:val="001F0248"/>
    <w:rsid w:val="001F0BEA"/>
    <w:rsid w:val="001F3EB3"/>
    <w:rsid w:val="001F4F86"/>
    <w:rsid w:val="00202C2C"/>
    <w:rsid w:val="002112B1"/>
    <w:rsid w:val="0021296C"/>
    <w:rsid w:val="002135AB"/>
    <w:rsid w:val="00213A63"/>
    <w:rsid w:val="00213E52"/>
    <w:rsid w:val="002144BE"/>
    <w:rsid w:val="00237371"/>
    <w:rsid w:val="00241208"/>
    <w:rsid w:val="00242279"/>
    <w:rsid w:val="00242A6D"/>
    <w:rsid w:val="00245C82"/>
    <w:rsid w:val="00252D60"/>
    <w:rsid w:val="002551BA"/>
    <w:rsid w:val="00257595"/>
    <w:rsid w:val="0026720C"/>
    <w:rsid w:val="0026783E"/>
    <w:rsid w:val="002708F7"/>
    <w:rsid w:val="00277194"/>
    <w:rsid w:val="00277BDF"/>
    <w:rsid w:val="0028759F"/>
    <w:rsid w:val="00291B40"/>
    <w:rsid w:val="002B07B1"/>
    <w:rsid w:val="002B4008"/>
    <w:rsid w:val="002B647E"/>
    <w:rsid w:val="002B79DD"/>
    <w:rsid w:val="002C4B28"/>
    <w:rsid w:val="002C55FF"/>
    <w:rsid w:val="002D0E8E"/>
    <w:rsid w:val="002D151F"/>
    <w:rsid w:val="002D65EA"/>
    <w:rsid w:val="002D747A"/>
    <w:rsid w:val="002E23A0"/>
    <w:rsid w:val="002F23BE"/>
    <w:rsid w:val="002F5388"/>
    <w:rsid w:val="00301189"/>
    <w:rsid w:val="00303BA3"/>
    <w:rsid w:val="00304CF5"/>
    <w:rsid w:val="00322FC8"/>
    <w:rsid w:val="00323E09"/>
    <w:rsid w:val="00324AEC"/>
    <w:rsid w:val="00325D6F"/>
    <w:rsid w:val="00333932"/>
    <w:rsid w:val="003440CF"/>
    <w:rsid w:val="003442E3"/>
    <w:rsid w:val="003447CD"/>
    <w:rsid w:val="0034639A"/>
    <w:rsid w:val="00347B6E"/>
    <w:rsid w:val="00350A32"/>
    <w:rsid w:val="003518AA"/>
    <w:rsid w:val="00352165"/>
    <w:rsid w:val="00353182"/>
    <w:rsid w:val="003565D9"/>
    <w:rsid w:val="003602E1"/>
    <w:rsid w:val="00361BA6"/>
    <w:rsid w:val="00361E17"/>
    <w:rsid w:val="00362FB7"/>
    <w:rsid w:val="0036408D"/>
    <w:rsid w:val="003673B3"/>
    <w:rsid w:val="0037026F"/>
    <w:rsid w:val="00371240"/>
    <w:rsid w:val="0037264A"/>
    <w:rsid w:val="0037348E"/>
    <w:rsid w:val="00374731"/>
    <w:rsid w:val="00376E59"/>
    <w:rsid w:val="00380AF1"/>
    <w:rsid w:val="00380CA3"/>
    <w:rsid w:val="00386A8A"/>
    <w:rsid w:val="003878B0"/>
    <w:rsid w:val="00390461"/>
    <w:rsid w:val="00390F7D"/>
    <w:rsid w:val="003919F9"/>
    <w:rsid w:val="00393911"/>
    <w:rsid w:val="003A132C"/>
    <w:rsid w:val="003A259B"/>
    <w:rsid w:val="003A288B"/>
    <w:rsid w:val="003A63C4"/>
    <w:rsid w:val="003A7143"/>
    <w:rsid w:val="003B2025"/>
    <w:rsid w:val="003B6DAB"/>
    <w:rsid w:val="003C1097"/>
    <w:rsid w:val="003C1D6D"/>
    <w:rsid w:val="003C200E"/>
    <w:rsid w:val="003C38B5"/>
    <w:rsid w:val="003C5D99"/>
    <w:rsid w:val="003C7500"/>
    <w:rsid w:val="003D484E"/>
    <w:rsid w:val="003D5AE4"/>
    <w:rsid w:val="003E2F59"/>
    <w:rsid w:val="003F0789"/>
    <w:rsid w:val="003F68E0"/>
    <w:rsid w:val="00401882"/>
    <w:rsid w:val="00403A79"/>
    <w:rsid w:val="004100C8"/>
    <w:rsid w:val="00411DBD"/>
    <w:rsid w:val="00412ACE"/>
    <w:rsid w:val="00415EC1"/>
    <w:rsid w:val="004273AD"/>
    <w:rsid w:val="00431249"/>
    <w:rsid w:val="0043396B"/>
    <w:rsid w:val="00434C19"/>
    <w:rsid w:val="00435389"/>
    <w:rsid w:val="00436AF8"/>
    <w:rsid w:val="00437C63"/>
    <w:rsid w:val="00450810"/>
    <w:rsid w:val="004521B4"/>
    <w:rsid w:val="00456C59"/>
    <w:rsid w:val="004622BC"/>
    <w:rsid w:val="004632AD"/>
    <w:rsid w:val="00465F61"/>
    <w:rsid w:val="004673A1"/>
    <w:rsid w:val="00472A17"/>
    <w:rsid w:val="00472A5B"/>
    <w:rsid w:val="00473F5B"/>
    <w:rsid w:val="00477144"/>
    <w:rsid w:val="004834D5"/>
    <w:rsid w:val="00484B4D"/>
    <w:rsid w:val="004877DD"/>
    <w:rsid w:val="00491380"/>
    <w:rsid w:val="0049459F"/>
    <w:rsid w:val="004A143C"/>
    <w:rsid w:val="004A38DD"/>
    <w:rsid w:val="004A4EFC"/>
    <w:rsid w:val="004B3888"/>
    <w:rsid w:val="004B3B92"/>
    <w:rsid w:val="004B43AE"/>
    <w:rsid w:val="004B6706"/>
    <w:rsid w:val="004C2D4C"/>
    <w:rsid w:val="004C30ED"/>
    <w:rsid w:val="004D0496"/>
    <w:rsid w:val="004D5675"/>
    <w:rsid w:val="004D6F27"/>
    <w:rsid w:val="004E2053"/>
    <w:rsid w:val="004E736C"/>
    <w:rsid w:val="004F0B7B"/>
    <w:rsid w:val="004F1ECD"/>
    <w:rsid w:val="004F1FA9"/>
    <w:rsid w:val="004F78AB"/>
    <w:rsid w:val="00504803"/>
    <w:rsid w:val="00510514"/>
    <w:rsid w:val="0051126B"/>
    <w:rsid w:val="00515287"/>
    <w:rsid w:val="00523639"/>
    <w:rsid w:val="005261B7"/>
    <w:rsid w:val="00526FDE"/>
    <w:rsid w:val="00531C24"/>
    <w:rsid w:val="00531E35"/>
    <w:rsid w:val="00531FE5"/>
    <w:rsid w:val="005402FA"/>
    <w:rsid w:val="00551C1E"/>
    <w:rsid w:val="0057657D"/>
    <w:rsid w:val="00582D56"/>
    <w:rsid w:val="00583C39"/>
    <w:rsid w:val="0058677A"/>
    <w:rsid w:val="00587F28"/>
    <w:rsid w:val="005909CF"/>
    <w:rsid w:val="00591E71"/>
    <w:rsid w:val="0059499A"/>
    <w:rsid w:val="005A0D41"/>
    <w:rsid w:val="005A3358"/>
    <w:rsid w:val="005B2D95"/>
    <w:rsid w:val="005B46E8"/>
    <w:rsid w:val="005C3999"/>
    <w:rsid w:val="005C5EFE"/>
    <w:rsid w:val="005D331F"/>
    <w:rsid w:val="005E14D9"/>
    <w:rsid w:val="005F0FF2"/>
    <w:rsid w:val="005F1983"/>
    <w:rsid w:val="005F3FE9"/>
    <w:rsid w:val="005F7213"/>
    <w:rsid w:val="00604484"/>
    <w:rsid w:val="00606DFE"/>
    <w:rsid w:val="00607BF1"/>
    <w:rsid w:val="00614A43"/>
    <w:rsid w:val="006157EE"/>
    <w:rsid w:val="006235D8"/>
    <w:rsid w:val="00630D4D"/>
    <w:rsid w:val="0063127D"/>
    <w:rsid w:val="00632A74"/>
    <w:rsid w:val="006443DC"/>
    <w:rsid w:val="00646653"/>
    <w:rsid w:val="00647647"/>
    <w:rsid w:val="00647FD6"/>
    <w:rsid w:val="0065296C"/>
    <w:rsid w:val="00661C72"/>
    <w:rsid w:val="00662E3D"/>
    <w:rsid w:val="00667EBF"/>
    <w:rsid w:val="00677AAB"/>
    <w:rsid w:val="00683B5F"/>
    <w:rsid w:val="0068565D"/>
    <w:rsid w:val="00685A1C"/>
    <w:rsid w:val="006A4655"/>
    <w:rsid w:val="006A5E92"/>
    <w:rsid w:val="006B0428"/>
    <w:rsid w:val="006B09C3"/>
    <w:rsid w:val="006B24E0"/>
    <w:rsid w:val="006B2B3C"/>
    <w:rsid w:val="006B345A"/>
    <w:rsid w:val="006B4B9E"/>
    <w:rsid w:val="006B5727"/>
    <w:rsid w:val="006B6505"/>
    <w:rsid w:val="006C1D81"/>
    <w:rsid w:val="006C7038"/>
    <w:rsid w:val="006D1E76"/>
    <w:rsid w:val="006D3C68"/>
    <w:rsid w:val="006D700D"/>
    <w:rsid w:val="006E26FB"/>
    <w:rsid w:val="006E73EF"/>
    <w:rsid w:val="006F574D"/>
    <w:rsid w:val="006F7C97"/>
    <w:rsid w:val="0070227B"/>
    <w:rsid w:val="0071209D"/>
    <w:rsid w:val="00714D4D"/>
    <w:rsid w:val="00716C0B"/>
    <w:rsid w:val="007215E3"/>
    <w:rsid w:val="007536A5"/>
    <w:rsid w:val="00754222"/>
    <w:rsid w:val="00755904"/>
    <w:rsid w:val="007604BB"/>
    <w:rsid w:val="00760EBD"/>
    <w:rsid w:val="0076162E"/>
    <w:rsid w:val="00764450"/>
    <w:rsid w:val="00771BA6"/>
    <w:rsid w:val="007737B9"/>
    <w:rsid w:val="007749E3"/>
    <w:rsid w:val="00777BE3"/>
    <w:rsid w:val="00783CD4"/>
    <w:rsid w:val="00784BC7"/>
    <w:rsid w:val="00785232"/>
    <w:rsid w:val="0079071B"/>
    <w:rsid w:val="007A0CF6"/>
    <w:rsid w:val="007A21EB"/>
    <w:rsid w:val="007A31AD"/>
    <w:rsid w:val="007A6501"/>
    <w:rsid w:val="007B1A93"/>
    <w:rsid w:val="007B79AD"/>
    <w:rsid w:val="007C2B74"/>
    <w:rsid w:val="007C36C9"/>
    <w:rsid w:val="007C7FEB"/>
    <w:rsid w:val="007D18AC"/>
    <w:rsid w:val="007D6401"/>
    <w:rsid w:val="007E01E4"/>
    <w:rsid w:val="007E594C"/>
    <w:rsid w:val="007E5BA5"/>
    <w:rsid w:val="007F7107"/>
    <w:rsid w:val="00800D4C"/>
    <w:rsid w:val="00805CD2"/>
    <w:rsid w:val="0081030F"/>
    <w:rsid w:val="00810FB8"/>
    <w:rsid w:val="00812A7A"/>
    <w:rsid w:val="0082087D"/>
    <w:rsid w:val="00820DA6"/>
    <w:rsid w:val="0082676A"/>
    <w:rsid w:val="00834D3D"/>
    <w:rsid w:val="00835264"/>
    <w:rsid w:val="00835771"/>
    <w:rsid w:val="00835B33"/>
    <w:rsid w:val="00840AD3"/>
    <w:rsid w:val="00841BCF"/>
    <w:rsid w:val="00842933"/>
    <w:rsid w:val="0084586C"/>
    <w:rsid w:val="00854209"/>
    <w:rsid w:val="00854D68"/>
    <w:rsid w:val="008565FC"/>
    <w:rsid w:val="00857376"/>
    <w:rsid w:val="0086082C"/>
    <w:rsid w:val="00863130"/>
    <w:rsid w:val="00864ADC"/>
    <w:rsid w:val="00865A9A"/>
    <w:rsid w:val="00873282"/>
    <w:rsid w:val="00880153"/>
    <w:rsid w:val="00880F97"/>
    <w:rsid w:val="0088133A"/>
    <w:rsid w:val="008839BE"/>
    <w:rsid w:val="0089285E"/>
    <w:rsid w:val="0089436C"/>
    <w:rsid w:val="00896075"/>
    <w:rsid w:val="0089785F"/>
    <w:rsid w:val="00897C19"/>
    <w:rsid w:val="008B1657"/>
    <w:rsid w:val="008B1CD0"/>
    <w:rsid w:val="008C29AC"/>
    <w:rsid w:val="008C3984"/>
    <w:rsid w:val="008C56E9"/>
    <w:rsid w:val="008D365C"/>
    <w:rsid w:val="008D7C1A"/>
    <w:rsid w:val="008E7233"/>
    <w:rsid w:val="008F425C"/>
    <w:rsid w:val="009030BF"/>
    <w:rsid w:val="0090511E"/>
    <w:rsid w:val="009079E8"/>
    <w:rsid w:val="0091032F"/>
    <w:rsid w:val="00914368"/>
    <w:rsid w:val="00915791"/>
    <w:rsid w:val="00916402"/>
    <w:rsid w:val="009179AF"/>
    <w:rsid w:val="00924160"/>
    <w:rsid w:val="009246B8"/>
    <w:rsid w:val="00926973"/>
    <w:rsid w:val="00931076"/>
    <w:rsid w:val="009345D9"/>
    <w:rsid w:val="00934B15"/>
    <w:rsid w:val="00940C87"/>
    <w:rsid w:val="00942B62"/>
    <w:rsid w:val="00945115"/>
    <w:rsid w:val="0095323B"/>
    <w:rsid w:val="00955B12"/>
    <w:rsid w:val="0095639F"/>
    <w:rsid w:val="00956A0C"/>
    <w:rsid w:val="00956BD9"/>
    <w:rsid w:val="00957BD9"/>
    <w:rsid w:val="009604D0"/>
    <w:rsid w:val="00962489"/>
    <w:rsid w:val="00963142"/>
    <w:rsid w:val="00970096"/>
    <w:rsid w:val="0097035F"/>
    <w:rsid w:val="00977336"/>
    <w:rsid w:val="009803F9"/>
    <w:rsid w:val="0098056F"/>
    <w:rsid w:val="00982F55"/>
    <w:rsid w:val="0098614A"/>
    <w:rsid w:val="00990C2C"/>
    <w:rsid w:val="0099584E"/>
    <w:rsid w:val="009A3988"/>
    <w:rsid w:val="009A5DE2"/>
    <w:rsid w:val="009B0AEB"/>
    <w:rsid w:val="009B1156"/>
    <w:rsid w:val="009B3029"/>
    <w:rsid w:val="009B64BB"/>
    <w:rsid w:val="009C1BCD"/>
    <w:rsid w:val="009D3AB3"/>
    <w:rsid w:val="009E1844"/>
    <w:rsid w:val="009E1C0A"/>
    <w:rsid w:val="009E628D"/>
    <w:rsid w:val="009E7048"/>
    <w:rsid w:val="009F0D1B"/>
    <w:rsid w:val="009F0EA9"/>
    <w:rsid w:val="009F4B4B"/>
    <w:rsid w:val="009F696D"/>
    <w:rsid w:val="009F6BC6"/>
    <w:rsid w:val="00A06CD1"/>
    <w:rsid w:val="00A123C0"/>
    <w:rsid w:val="00A12A05"/>
    <w:rsid w:val="00A17328"/>
    <w:rsid w:val="00A23A20"/>
    <w:rsid w:val="00A268B9"/>
    <w:rsid w:val="00A2703A"/>
    <w:rsid w:val="00A30A07"/>
    <w:rsid w:val="00A33DFF"/>
    <w:rsid w:val="00A35115"/>
    <w:rsid w:val="00A36B99"/>
    <w:rsid w:val="00A36D9A"/>
    <w:rsid w:val="00A37FA4"/>
    <w:rsid w:val="00A504BB"/>
    <w:rsid w:val="00A51D28"/>
    <w:rsid w:val="00A51E43"/>
    <w:rsid w:val="00A5442E"/>
    <w:rsid w:val="00A554AB"/>
    <w:rsid w:val="00A57062"/>
    <w:rsid w:val="00A627D6"/>
    <w:rsid w:val="00A76437"/>
    <w:rsid w:val="00A809C4"/>
    <w:rsid w:val="00A824B2"/>
    <w:rsid w:val="00A847F8"/>
    <w:rsid w:val="00A92B53"/>
    <w:rsid w:val="00A94FA6"/>
    <w:rsid w:val="00A96DF2"/>
    <w:rsid w:val="00AA03DB"/>
    <w:rsid w:val="00AA49A0"/>
    <w:rsid w:val="00AA6710"/>
    <w:rsid w:val="00AB0681"/>
    <w:rsid w:val="00AB19C0"/>
    <w:rsid w:val="00AB1F6B"/>
    <w:rsid w:val="00AB35E5"/>
    <w:rsid w:val="00AB5B05"/>
    <w:rsid w:val="00AC0B10"/>
    <w:rsid w:val="00AD4B8B"/>
    <w:rsid w:val="00AD51CA"/>
    <w:rsid w:val="00AD520B"/>
    <w:rsid w:val="00AD61A3"/>
    <w:rsid w:val="00AD672D"/>
    <w:rsid w:val="00AE2742"/>
    <w:rsid w:val="00AE4A49"/>
    <w:rsid w:val="00AE6029"/>
    <w:rsid w:val="00B0232A"/>
    <w:rsid w:val="00B05886"/>
    <w:rsid w:val="00B11953"/>
    <w:rsid w:val="00B11D41"/>
    <w:rsid w:val="00B14472"/>
    <w:rsid w:val="00B21CF2"/>
    <w:rsid w:val="00B3264E"/>
    <w:rsid w:val="00B35303"/>
    <w:rsid w:val="00B425C3"/>
    <w:rsid w:val="00B440AD"/>
    <w:rsid w:val="00B4713A"/>
    <w:rsid w:val="00B479BB"/>
    <w:rsid w:val="00B53E7E"/>
    <w:rsid w:val="00B543AB"/>
    <w:rsid w:val="00B60BA0"/>
    <w:rsid w:val="00B6342E"/>
    <w:rsid w:val="00B7113F"/>
    <w:rsid w:val="00B72023"/>
    <w:rsid w:val="00B7280F"/>
    <w:rsid w:val="00B73BCF"/>
    <w:rsid w:val="00B75646"/>
    <w:rsid w:val="00B95A03"/>
    <w:rsid w:val="00BA34DB"/>
    <w:rsid w:val="00BA73B6"/>
    <w:rsid w:val="00BA7E27"/>
    <w:rsid w:val="00BB193C"/>
    <w:rsid w:val="00BB2603"/>
    <w:rsid w:val="00BB4FCD"/>
    <w:rsid w:val="00BB6F3E"/>
    <w:rsid w:val="00BC04E9"/>
    <w:rsid w:val="00BC43B4"/>
    <w:rsid w:val="00BC4A13"/>
    <w:rsid w:val="00BD13EA"/>
    <w:rsid w:val="00BD666E"/>
    <w:rsid w:val="00BE3808"/>
    <w:rsid w:val="00BE5677"/>
    <w:rsid w:val="00BF0930"/>
    <w:rsid w:val="00BF0952"/>
    <w:rsid w:val="00BF40C8"/>
    <w:rsid w:val="00BF4359"/>
    <w:rsid w:val="00BF55F2"/>
    <w:rsid w:val="00BF6769"/>
    <w:rsid w:val="00BF747D"/>
    <w:rsid w:val="00C00219"/>
    <w:rsid w:val="00C04D2C"/>
    <w:rsid w:val="00C062E9"/>
    <w:rsid w:val="00C07B64"/>
    <w:rsid w:val="00C13721"/>
    <w:rsid w:val="00C14FE4"/>
    <w:rsid w:val="00C15576"/>
    <w:rsid w:val="00C15657"/>
    <w:rsid w:val="00C235AE"/>
    <w:rsid w:val="00C2755E"/>
    <w:rsid w:val="00C27581"/>
    <w:rsid w:val="00C3066D"/>
    <w:rsid w:val="00C363A0"/>
    <w:rsid w:val="00C4024F"/>
    <w:rsid w:val="00C40274"/>
    <w:rsid w:val="00C459C2"/>
    <w:rsid w:val="00C502CD"/>
    <w:rsid w:val="00C52416"/>
    <w:rsid w:val="00C543F4"/>
    <w:rsid w:val="00C6291C"/>
    <w:rsid w:val="00C633CB"/>
    <w:rsid w:val="00C6488D"/>
    <w:rsid w:val="00C655B7"/>
    <w:rsid w:val="00C7272F"/>
    <w:rsid w:val="00C7335B"/>
    <w:rsid w:val="00C736B7"/>
    <w:rsid w:val="00C75366"/>
    <w:rsid w:val="00C81D4A"/>
    <w:rsid w:val="00C8762C"/>
    <w:rsid w:val="00C96D53"/>
    <w:rsid w:val="00CA00F9"/>
    <w:rsid w:val="00CA04AF"/>
    <w:rsid w:val="00CA2961"/>
    <w:rsid w:val="00CB1090"/>
    <w:rsid w:val="00CB49C5"/>
    <w:rsid w:val="00CB50D7"/>
    <w:rsid w:val="00CB7177"/>
    <w:rsid w:val="00CC0E5A"/>
    <w:rsid w:val="00CC1998"/>
    <w:rsid w:val="00CC2C65"/>
    <w:rsid w:val="00CC4946"/>
    <w:rsid w:val="00CC6C22"/>
    <w:rsid w:val="00CC7211"/>
    <w:rsid w:val="00CD10A0"/>
    <w:rsid w:val="00CD1842"/>
    <w:rsid w:val="00CD3AD0"/>
    <w:rsid w:val="00CD4BF5"/>
    <w:rsid w:val="00CE0469"/>
    <w:rsid w:val="00CF43FF"/>
    <w:rsid w:val="00D01BBB"/>
    <w:rsid w:val="00D06F7A"/>
    <w:rsid w:val="00D13862"/>
    <w:rsid w:val="00D14E3E"/>
    <w:rsid w:val="00D270A4"/>
    <w:rsid w:val="00D31559"/>
    <w:rsid w:val="00D31FE9"/>
    <w:rsid w:val="00D34E1B"/>
    <w:rsid w:val="00D376BA"/>
    <w:rsid w:val="00D4077D"/>
    <w:rsid w:val="00D42BA5"/>
    <w:rsid w:val="00D45634"/>
    <w:rsid w:val="00D5207A"/>
    <w:rsid w:val="00D5568A"/>
    <w:rsid w:val="00D57832"/>
    <w:rsid w:val="00D63D73"/>
    <w:rsid w:val="00D64452"/>
    <w:rsid w:val="00D66E1E"/>
    <w:rsid w:val="00D67CD1"/>
    <w:rsid w:val="00D720B5"/>
    <w:rsid w:val="00D73781"/>
    <w:rsid w:val="00D75722"/>
    <w:rsid w:val="00D76D1F"/>
    <w:rsid w:val="00D77622"/>
    <w:rsid w:val="00D80CF5"/>
    <w:rsid w:val="00D81078"/>
    <w:rsid w:val="00D862BD"/>
    <w:rsid w:val="00D94F49"/>
    <w:rsid w:val="00D9647A"/>
    <w:rsid w:val="00DA0508"/>
    <w:rsid w:val="00DA19E0"/>
    <w:rsid w:val="00DA5BBA"/>
    <w:rsid w:val="00DA68BE"/>
    <w:rsid w:val="00DB241C"/>
    <w:rsid w:val="00DB26D2"/>
    <w:rsid w:val="00DB3FFC"/>
    <w:rsid w:val="00DB62E2"/>
    <w:rsid w:val="00DB67C9"/>
    <w:rsid w:val="00DC0C95"/>
    <w:rsid w:val="00DC3329"/>
    <w:rsid w:val="00DD4230"/>
    <w:rsid w:val="00DD6580"/>
    <w:rsid w:val="00DD7AD2"/>
    <w:rsid w:val="00DF7DB2"/>
    <w:rsid w:val="00E121B3"/>
    <w:rsid w:val="00E17C72"/>
    <w:rsid w:val="00E20F97"/>
    <w:rsid w:val="00E21FC6"/>
    <w:rsid w:val="00E23D6A"/>
    <w:rsid w:val="00E321C2"/>
    <w:rsid w:val="00E32786"/>
    <w:rsid w:val="00E3366F"/>
    <w:rsid w:val="00E33FB7"/>
    <w:rsid w:val="00E42D46"/>
    <w:rsid w:val="00E431A9"/>
    <w:rsid w:val="00E45E50"/>
    <w:rsid w:val="00E504EB"/>
    <w:rsid w:val="00E52A5D"/>
    <w:rsid w:val="00E575F5"/>
    <w:rsid w:val="00E64EFF"/>
    <w:rsid w:val="00E669E2"/>
    <w:rsid w:val="00E76135"/>
    <w:rsid w:val="00E77173"/>
    <w:rsid w:val="00E82F4F"/>
    <w:rsid w:val="00E87AC6"/>
    <w:rsid w:val="00E95960"/>
    <w:rsid w:val="00EA372C"/>
    <w:rsid w:val="00EB0877"/>
    <w:rsid w:val="00EB6A3C"/>
    <w:rsid w:val="00EB7312"/>
    <w:rsid w:val="00EC1256"/>
    <w:rsid w:val="00EC2844"/>
    <w:rsid w:val="00EC32C2"/>
    <w:rsid w:val="00EC4557"/>
    <w:rsid w:val="00EC5500"/>
    <w:rsid w:val="00EC5EF9"/>
    <w:rsid w:val="00ED18F8"/>
    <w:rsid w:val="00ED193C"/>
    <w:rsid w:val="00ED3124"/>
    <w:rsid w:val="00ED4BCF"/>
    <w:rsid w:val="00EE08FD"/>
    <w:rsid w:val="00EE2F0E"/>
    <w:rsid w:val="00EE4B43"/>
    <w:rsid w:val="00EF6C6C"/>
    <w:rsid w:val="00F04EB2"/>
    <w:rsid w:val="00F056FC"/>
    <w:rsid w:val="00F10476"/>
    <w:rsid w:val="00F135D8"/>
    <w:rsid w:val="00F25FC8"/>
    <w:rsid w:val="00F31299"/>
    <w:rsid w:val="00F3534A"/>
    <w:rsid w:val="00F373B0"/>
    <w:rsid w:val="00F375A9"/>
    <w:rsid w:val="00F37BC5"/>
    <w:rsid w:val="00F37FD8"/>
    <w:rsid w:val="00F41C96"/>
    <w:rsid w:val="00F51609"/>
    <w:rsid w:val="00F5495A"/>
    <w:rsid w:val="00F56232"/>
    <w:rsid w:val="00F62973"/>
    <w:rsid w:val="00F66D40"/>
    <w:rsid w:val="00F67DAF"/>
    <w:rsid w:val="00F81006"/>
    <w:rsid w:val="00F85325"/>
    <w:rsid w:val="00F87305"/>
    <w:rsid w:val="00F965FC"/>
    <w:rsid w:val="00FA5CC5"/>
    <w:rsid w:val="00FC1043"/>
    <w:rsid w:val="00FD0161"/>
    <w:rsid w:val="00FD07FE"/>
    <w:rsid w:val="00FD22B1"/>
    <w:rsid w:val="00FD50DD"/>
    <w:rsid w:val="00FE5397"/>
    <w:rsid w:val="00FE7058"/>
    <w:rsid w:val="00FF0B8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C0B10"/>
    <w:rPr>
      <w:rFonts w:ascii="Calibri" w:hAnsi="Calibri"/>
      <w:sz w:val="22"/>
      <w:szCs w:val="22"/>
      <w:lang w:eastAsia="en-US"/>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1,new legislation style,new legislation style1,new legislation style Ch"/>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sz w:val="26"/>
      <w:szCs w:val="24"/>
      <w:lang w:eastAsia="en-AU"/>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rFonts w:ascii="Times New Roman" w:hAnsi="Times New Roman"/>
      <w:sz w:val="20"/>
      <w:szCs w:val="24"/>
      <w:lang w:eastAsia="en-AU"/>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rFonts w:ascii="Times New Roman" w:hAnsi="Times New Roman"/>
      <w:b/>
      <w:caps/>
      <w:sz w:val="26"/>
      <w:szCs w:val="24"/>
      <w:lang w:eastAsia="en-AU"/>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lang w:eastAsia="en-AU"/>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paragraph" w:styleId="CommentSubject">
    <w:name w:val="annotation subject"/>
    <w:basedOn w:val="CommentText"/>
    <w:next w:val="CommentText"/>
    <w:link w:val="CommentSubjectChar"/>
    <w:rsid w:val="00BB6F3E"/>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BB6F3E"/>
    <w:rPr>
      <w:szCs w:val="24"/>
    </w:rPr>
  </w:style>
  <w:style w:type="character" w:customStyle="1" w:styleId="CommentSubjectChar">
    <w:name w:val="Comment Subject Char"/>
    <w:basedOn w:val="CommentTextChar"/>
    <w:link w:val="CommentSubject"/>
    <w:rsid w:val="00BB6F3E"/>
    <w:rPr>
      <w:b/>
      <w:bCs/>
      <w:szCs w:val="24"/>
    </w:rPr>
  </w:style>
  <w:style w:type="character" w:customStyle="1" w:styleId="TableBodyTextChar">
    <w:name w:val="Table Body Text Char"/>
    <w:basedOn w:val="DefaultParagraphFont"/>
    <w:link w:val="TableBodyText"/>
    <w:rsid w:val="009E7048"/>
    <w:rPr>
      <w:rFonts w:ascii="Arial" w:hAnsi="Arial"/>
    </w:rPr>
  </w:style>
  <w:style w:type="character" w:customStyle="1" w:styleId="Heading3Char">
    <w:name w:val="Heading 3 Char"/>
    <w:basedOn w:val="DefaultParagraphFont"/>
    <w:link w:val="Heading3"/>
    <w:rsid w:val="003F68E0"/>
    <w:rPr>
      <w:rFonts w:ascii="Arial" w:hAnsi="Arial"/>
      <w:b/>
      <w:sz w:val="26"/>
    </w:rPr>
  </w:style>
  <w:style w:type="character" w:customStyle="1" w:styleId="BodyTextChar">
    <w:name w:val="Body Text Char"/>
    <w:aliases w:val="Body Text1 Char,new legislation style Char,new legislation style1 Char,new legislation style Ch Char"/>
    <w:basedOn w:val="DefaultParagraphFont"/>
    <w:link w:val="BodyText"/>
    <w:rsid w:val="00EE08FD"/>
    <w:rPr>
      <w:sz w:val="26"/>
    </w:rPr>
  </w:style>
  <w:style w:type="character" w:customStyle="1" w:styleId="FootnoteTextChar">
    <w:name w:val="Footnote Text Char"/>
    <w:basedOn w:val="DefaultParagraphFont"/>
    <w:link w:val="FootnoteText"/>
    <w:rsid w:val="00DA68BE"/>
    <w:rPr>
      <w:sz w:val="22"/>
    </w:rPr>
  </w:style>
  <w:style w:type="paragraph" w:styleId="Revision">
    <w:name w:val="Revision"/>
    <w:hidden/>
    <w:uiPriority w:val="99"/>
    <w:semiHidden/>
    <w:rsid w:val="00073C8B"/>
    <w:rPr>
      <w:rFonts w:ascii="Calibri" w:hAnsi="Calibri"/>
      <w:sz w:val="22"/>
      <w:szCs w:val="22"/>
      <w:lang w:eastAsia="en-US"/>
    </w:rPr>
  </w:style>
  <w:style w:type="paragraph" w:styleId="NormalWeb">
    <w:name w:val="Normal (Web)"/>
    <w:basedOn w:val="Normal"/>
    <w:uiPriority w:val="99"/>
    <w:unhideWhenUsed/>
    <w:rsid w:val="002F5388"/>
    <w:pPr>
      <w:spacing w:before="100" w:beforeAutospacing="1" w:after="100" w:afterAutospacing="1"/>
    </w:pPr>
    <w:rPr>
      <w:rFonts w:ascii="Times New Roman" w:eastAsiaTheme="minorEastAsia" w:hAnsi="Times New Roman"/>
      <w:sz w:val="24"/>
      <w:szCs w:val="24"/>
      <w:lang w:eastAsia="en-AU"/>
    </w:rPr>
  </w:style>
  <w:style w:type="table" w:styleId="TableGrid">
    <w:name w:val="Table Grid"/>
    <w:basedOn w:val="TableNormal"/>
    <w:rsid w:val="00685A1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C0B10"/>
    <w:rPr>
      <w:rFonts w:ascii="Calibri" w:hAnsi="Calibri"/>
      <w:sz w:val="22"/>
      <w:szCs w:val="22"/>
      <w:lang w:eastAsia="en-US"/>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1,new legislation style,new legislation style1,new legislation style Ch"/>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sz w:val="26"/>
      <w:szCs w:val="24"/>
      <w:lang w:eastAsia="en-AU"/>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rFonts w:ascii="Times New Roman" w:hAnsi="Times New Roman"/>
      <w:sz w:val="20"/>
      <w:szCs w:val="24"/>
      <w:lang w:eastAsia="en-AU"/>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rFonts w:ascii="Times New Roman" w:hAnsi="Times New Roman"/>
      <w:b/>
      <w:caps/>
      <w:sz w:val="26"/>
      <w:szCs w:val="24"/>
      <w:lang w:eastAsia="en-AU"/>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lang w:eastAsia="en-AU"/>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paragraph" w:styleId="CommentSubject">
    <w:name w:val="annotation subject"/>
    <w:basedOn w:val="CommentText"/>
    <w:next w:val="CommentText"/>
    <w:link w:val="CommentSubjectChar"/>
    <w:rsid w:val="00BB6F3E"/>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BB6F3E"/>
    <w:rPr>
      <w:szCs w:val="24"/>
    </w:rPr>
  </w:style>
  <w:style w:type="character" w:customStyle="1" w:styleId="CommentSubjectChar">
    <w:name w:val="Comment Subject Char"/>
    <w:basedOn w:val="CommentTextChar"/>
    <w:link w:val="CommentSubject"/>
    <w:rsid w:val="00BB6F3E"/>
    <w:rPr>
      <w:b/>
      <w:bCs/>
      <w:szCs w:val="24"/>
    </w:rPr>
  </w:style>
  <w:style w:type="character" w:customStyle="1" w:styleId="TableBodyTextChar">
    <w:name w:val="Table Body Text Char"/>
    <w:basedOn w:val="DefaultParagraphFont"/>
    <w:link w:val="TableBodyText"/>
    <w:rsid w:val="009E7048"/>
    <w:rPr>
      <w:rFonts w:ascii="Arial" w:hAnsi="Arial"/>
    </w:rPr>
  </w:style>
  <w:style w:type="character" w:customStyle="1" w:styleId="Heading3Char">
    <w:name w:val="Heading 3 Char"/>
    <w:basedOn w:val="DefaultParagraphFont"/>
    <w:link w:val="Heading3"/>
    <w:rsid w:val="003F68E0"/>
    <w:rPr>
      <w:rFonts w:ascii="Arial" w:hAnsi="Arial"/>
      <w:b/>
      <w:sz w:val="26"/>
    </w:rPr>
  </w:style>
  <w:style w:type="character" w:customStyle="1" w:styleId="BodyTextChar">
    <w:name w:val="Body Text Char"/>
    <w:aliases w:val="Body Text1 Char,new legislation style Char,new legislation style1 Char,new legislation style Ch Char"/>
    <w:basedOn w:val="DefaultParagraphFont"/>
    <w:link w:val="BodyText"/>
    <w:rsid w:val="00EE08FD"/>
    <w:rPr>
      <w:sz w:val="26"/>
    </w:rPr>
  </w:style>
  <w:style w:type="character" w:customStyle="1" w:styleId="FootnoteTextChar">
    <w:name w:val="Footnote Text Char"/>
    <w:basedOn w:val="DefaultParagraphFont"/>
    <w:link w:val="FootnoteText"/>
    <w:rsid w:val="00DA68BE"/>
    <w:rPr>
      <w:sz w:val="22"/>
    </w:rPr>
  </w:style>
  <w:style w:type="paragraph" w:styleId="Revision">
    <w:name w:val="Revision"/>
    <w:hidden/>
    <w:uiPriority w:val="99"/>
    <w:semiHidden/>
    <w:rsid w:val="00073C8B"/>
    <w:rPr>
      <w:rFonts w:ascii="Calibri" w:hAnsi="Calibri"/>
      <w:sz w:val="22"/>
      <w:szCs w:val="22"/>
      <w:lang w:eastAsia="en-US"/>
    </w:rPr>
  </w:style>
  <w:style w:type="paragraph" w:styleId="NormalWeb">
    <w:name w:val="Normal (Web)"/>
    <w:basedOn w:val="Normal"/>
    <w:uiPriority w:val="99"/>
    <w:unhideWhenUsed/>
    <w:rsid w:val="002F5388"/>
    <w:pPr>
      <w:spacing w:before="100" w:beforeAutospacing="1" w:after="100" w:afterAutospacing="1"/>
    </w:pPr>
    <w:rPr>
      <w:rFonts w:ascii="Times New Roman" w:eastAsiaTheme="minorEastAsia" w:hAnsi="Times New Roman"/>
      <w:sz w:val="24"/>
      <w:szCs w:val="24"/>
      <w:lang w:eastAsia="en-AU"/>
    </w:rPr>
  </w:style>
  <w:style w:type="table" w:styleId="TableGrid">
    <w:name w:val="Table Grid"/>
    <w:basedOn w:val="TableNormal"/>
    <w:rsid w:val="00685A1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48199">
      <w:bodyDiv w:val="1"/>
      <w:marLeft w:val="0"/>
      <w:marRight w:val="0"/>
      <w:marTop w:val="0"/>
      <w:marBottom w:val="0"/>
      <w:divBdr>
        <w:top w:val="none" w:sz="0" w:space="0" w:color="auto"/>
        <w:left w:val="none" w:sz="0" w:space="0" w:color="auto"/>
        <w:bottom w:val="none" w:sz="0" w:space="0" w:color="auto"/>
        <w:right w:val="none" w:sz="0" w:space="0" w:color="auto"/>
      </w:divBdr>
    </w:div>
    <w:div w:id="17439197">
      <w:bodyDiv w:val="1"/>
      <w:marLeft w:val="0"/>
      <w:marRight w:val="0"/>
      <w:marTop w:val="0"/>
      <w:marBottom w:val="0"/>
      <w:divBdr>
        <w:top w:val="none" w:sz="0" w:space="0" w:color="auto"/>
        <w:left w:val="none" w:sz="0" w:space="0" w:color="auto"/>
        <w:bottom w:val="none" w:sz="0" w:space="0" w:color="auto"/>
        <w:right w:val="none" w:sz="0" w:space="0" w:color="auto"/>
      </w:divBdr>
    </w:div>
    <w:div w:id="19819120">
      <w:bodyDiv w:val="1"/>
      <w:marLeft w:val="0"/>
      <w:marRight w:val="0"/>
      <w:marTop w:val="0"/>
      <w:marBottom w:val="0"/>
      <w:divBdr>
        <w:top w:val="none" w:sz="0" w:space="0" w:color="auto"/>
        <w:left w:val="none" w:sz="0" w:space="0" w:color="auto"/>
        <w:bottom w:val="none" w:sz="0" w:space="0" w:color="auto"/>
        <w:right w:val="none" w:sz="0" w:space="0" w:color="auto"/>
      </w:divBdr>
    </w:div>
    <w:div w:id="56636835">
      <w:bodyDiv w:val="1"/>
      <w:marLeft w:val="0"/>
      <w:marRight w:val="0"/>
      <w:marTop w:val="0"/>
      <w:marBottom w:val="0"/>
      <w:divBdr>
        <w:top w:val="none" w:sz="0" w:space="0" w:color="auto"/>
        <w:left w:val="none" w:sz="0" w:space="0" w:color="auto"/>
        <w:bottom w:val="none" w:sz="0" w:space="0" w:color="auto"/>
        <w:right w:val="none" w:sz="0" w:space="0" w:color="auto"/>
      </w:divBdr>
    </w:div>
    <w:div w:id="97023184">
      <w:bodyDiv w:val="1"/>
      <w:marLeft w:val="0"/>
      <w:marRight w:val="0"/>
      <w:marTop w:val="0"/>
      <w:marBottom w:val="0"/>
      <w:divBdr>
        <w:top w:val="none" w:sz="0" w:space="0" w:color="auto"/>
        <w:left w:val="none" w:sz="0" w:space="0" w:color="auto"/>
        <w:bottom w:val="none" w:sz="0" w:space="0" w:color="auto"/>
        <w:right w:val="none" w:sz="0" w:space="0" w:color="auto"/>
      </w:divBdr>
    </w:div>
    <w:div w:id="118955931">
      <w:bodyDiv w:val="1"/>
      <w:marLeft w:val="0"/>
      <w:marRight w:val="0"/>
      <w:marTop w:val="0"/>
      <w:marBottom w:val="0"/>
      <w:divBdr>
        <w:top w:val="none" w:sz="0" w:space="0" w:color="auto"/>
        <w:left w:val="none" w:sz="0" w:space="0" w:color="auto"/>
        <w:bottom w:val="none" w:sz="0" w:space="0" w:color="auto"/>
        <w:right w:val="none" w:sz="0" w:space="0" w:color="auto"/>
      </w:divBdr>
    </w:div>
    <w:div w:id="122622620">
      <w:bodyDiv w:val="1"/>
      <w:marLeft w:val="0"/>
      <w:marRight w:val="0"/>
      <w:marTop w:val="0"/>
      <w:marBottom w:val="0"/>
      <w:divBdr>
        <w:top w:val="none" w:sz="0" w:space="0" w:color="auto"/>
        <w:left w:val="none" w:sz="0" w:space="0" w:color="auto"/>
        <w:bottom w:val="none" w:sz="0" w:space="0" w:color="auto"/>
        <w:right w:val="none" w:sz="0" w:space="0" w:color="auto"/>
      </w:divBdr>
    </w:div>
    <w:div w:id="133646296">
      <w:bodyDiv w:val="1"/>
      <w:marLeft w:val="0"/>
      <w:marRight w:val="0"/>
      <w:marTop w:val="0"/>
      <w:marBottom w:val="0"/>
      <w:divBdr>
        <w:top w:val="none" w:sz="0" w:space="0" w:color="auto"/>
        <w:left w:val="none" w:sz="0" w:space="0" w:color="auto"/>
        <w:bottom w:val="none" w:sz="0" w:space="0" w:color="auto"/>
        <w:right w:val="none" w:sz="0" w:space="0" w:color="auto"/>
      </w:divBdr>
    </w:div>
    <w:div w:id="219246604">
      <w:bodyDiv w:val="1"/>
      <w:marLeft w:val="0"/>
      <w:marRight w:val="0"/>
      <w:marTop w:val="0"/>
      <w:marBottom w:val="0"/>
      <w:divBdr>
        <w:top w:val="none" w:sz="0" w:space="0" w:color="auto"/>
        <w:left w:val="none" w:sz="0" w:space="0" w:color="auto"/>
        <w:bottom w:val="none" w:sz="0" w:space="0" w:color="auto"/>
        <w:right w:val="none" w:sz="0" w:space="0" w:color="auto"/>
      </w:divBdr>
    </w:div>
    <w:div w:id="233199669">
      <w:bodyDiv w:val="1"/>
      <w:marLeft w:val="0"/>
      <w:marRight w:val="0"/>
      <w:marTop w:val="0"/>
      <w:marBottom w:val="0"/>
      <w:divBdr>
        <w:top w:val="none" w:sz="0" w:space="0" w:color="auto"/>
        <w:left w:val="none" w:sz="0" w:space="0" w:color="auto"/>
        <w:bottom w:val="none" w:sz="0" w:space="0" w:color="auto"/>
        <w:right w:val="none" w:sz="0" w:space="0" w:color="auto"/>
      </w:divBdr>
    </w:div>
    <w:div w:id="248656466">
      <w:bodyDiv w:val="1"/>
      <w:marLeft w:val="0"/>
      <w:marRight w:val="0"/>
      <w:marTop w:val="0"/>
      <w:marBottom w:val="0"/>
      <w:divBdr>
        <w:top w:val="none" w:sz="0" w:space="0" w:color="auto"/>
        <w:left w:val="none" w:sz="0" w:space="0" w:color="auto"/>
        <w:bottom w:val="none" w:sz="0" w:space="0" w:color="auto"/>
        <w:right w:val="none" w:sz="0" w:space="0" w:color="auto"/>
      </w:divBdr>
    </w:div>
    <w:div w:id="254483739">
      <w:bodyDiv w:val="1"/>
      <w:marLeft w:val="0"/>
      <w:marRight w:val="0"/>
      <w:marTop w:val="0"/>
      <w:marBottom w:val="0"/>
      <w:divBdr>
        <w:top w:val="none" w:sz="0" w:space="0" w:color="auto"/>
        <w:left w:val="none" w:sz="0" w:space="0" w:color="auto"/>
        <w:bottom w:val="none" w:sz="0" w:space="0" w:color="auto"/>
        <w:right w:val="none" w:sz="0" w:space="0" w:color="auto"/>
      </w:divBdr>
    </w:div>
    <w:div w:id="331615482">
      <w:bodyDiv w:val="1"/>
      <w:marLeft w:val="0"/>
      <w:marRight w:val="0"/>
      <w:marTop w:val="0"/>
      <w:marBottom w:val="0"/>
      <w:divBdr>
        <w:top w:val="none" w:sz="0" w:space="0" w:color="auto"/>
        <w:left w:val="none" w:sz="0" w:space="0" w:color="auto"/>
        <w:bottom w:val="none" w:sz="0" w:space="0" w:color="auto"/>
        <w:right w:val="none" w:sz="0" w:space="0" w:color="auto"/>
      </w:divBdr>
    </w:div>
    <w:div w:id="537398107">
      <w:bodyDiv w:val="1"/>
      <w:marLeft w:val="0"/>
      <w:marRight w:val="0"/>
      <w:marTop w:val="0"/>
      <w:marBottom w:val="0"/>
      <w:divBdr>
        <w:top w:val="none" w:sz="0" w:space="0" w:color="auto"/>
        <w:left w:val="none" w:sz="0" w:space="0" w:color="auto"/>
        <w:bottom w:val="none" w:sz="0" w:space="0" w:color="auto"/>
        <w:right w:val="none" w:sz="0" w:space="0" w:color="auto"/>
      </w:divBdr>
    </w:div>
    <w:div w:id="550312951">
      <w:bodyDiv w:val="1"/>
      <w:marLeft w:val="0"/>
      <w:marRight w:val="0"/>
      <w:marTop w:val="0"/>
      <w:marBottom w:val="0"/>
      <w:divBdr>
        <w:top w:val="none" w:sz="0" w:space="0" w:color="auto"/>
        <w:left w:val="none" w:sz="0" w:space="0" w:color="auto"/>
        <w:bottom w:val="none" w:sz="0" w:space="0" w:color="auto"/>
        <w:right w:val="none" w:sz="0" w:space="0" w:color="auto"/>
      </w:divBdr>
    </w:div>
    <w:div w:id="616790505">
      <w:bodyDiv w:val="1"/>
      <w:marLeft w:val="0"/>
      <w:marRight w:val="0"/>
      <w:marTop w:val="0"/>
      <w:marBottom w:val="0"/>
      <w:divBdr>
        <w:top w:val="none" w:sz="0" w:space="0" w:color="auto"/>
        <w:left w:val="none" w:sz="0" w:space="0" w:color="auto"/>
        <w:bottom w:val="none" w:sz="0" w:space="0" w:color="auto"/>
        <w:right w:val="none" w:sz="0" w:space="0" w:color="auto"/>
      </w:divBdr>
    </w:div>
    <w:div w:id="682361009">
      <w:bodyDiv w:val="1"/>
      <w:marLeft w:val="0"/>
      <w:marRight w:val="0"/>
      <w:marTop w:val="0"/>
      <w:marBottom w:val="0"/>
      <w:divBdr>
        <w:top w:val="none" w:sz="0" w:space="0" w:color="auto"/>
        <w:left w:val="none" w:sz="0" w:space="0" w:color="auto"/>
        <w:bottom w:val="none" w:sz="0" w:space="0" w:color="auto"/>
        <w:right w:val="none" w:sz="0" w:space="0" w:color="auto"/>
      </w:divBdr>
    </w:div>
    <w:div w:id="698316263">
      <w:bodyDiv w:val="1"/>
      <w:marLeft w:val="0"/>
      <w:marRight w:val="0"/>
      <w:marTop w:val="0"/>
      <w:marBottom w:val="0"/>
      <w:divBdr>
        <w:top w:val="none" w:sz="0" w:space="0" w:color="auto"/>
        <w:left w:val="none" w:sz="0" w:space="0" w:color="auto"/>
        <w:bottom w:val="none" w:sz="0" w:space="0" w:color="auto"/>
        <w:right w:val="none" w:sz="0" w:space="0" w:color="auto"/>
      </w:divBdr>
    </w:div>
    <w:div w:id="721444860">
      <w:bodyDiv w:val="1"/>
      <w:marLeft w:val="0"/>
      <w:marRight w:val="0"/>
      <w:marTop w:val="0"/>
      <w:marBottom w:val="0"/>
      <w:divBdr>
        <w:top w:val="none" w:sz="0" w:space="0" w:color="auto"/>
        <w:left w:val="none" w:sz="0" w:space="0" w:color="auto"/>
        <w:bottom w:val="none" w:sz="0" w:space="0" w:color="auto"/>
        <w:right w:val="none" w:sz="0" w:space="0" w:color="auto"/>
      </w:divBdr>
    </w:div>
    <w:div w:id="807239429">
      <w:bodyDiv w:val="1"/>
      <w:marLeft w:val="0"/>
      <w:marRight w:val="0"/>
      <w:marTop w:val="0"/>
      <w:marBottom w:val="0"/>
      <w:divBdr>
        <w:top w:val="none" w:sz="0" w:space="0" w:color="auto"/>
        <w:left w:val="none" w:sz="0" w:space="0" w:color="auto"/>
        <w:bottom w:val="none" w:sz="0" w:space="0" w:color="auto"/>
        <w:right w:val="none" w:sz="0" w:space="0" w:color="auto"/>
      </w:divBdr>
    </w:div>
    <w:div w:id="842863116">
      <w:bodyDiv w:val="1"/>
      <w:marLeft w:val="0"/>
      <w:marRight w:val="0"/>
      <w:marTop w:val="0"/>
      <w:marBottom w:val="0"/>
      <w:divBdr>
        <w:top w:val="none" w:sz="0" w:space="0" w:color="auto"/>
        <w:left w:val="none" w:sz="0" w:space="0" w:color="auto"/>
        <w:bottom w:val="none" w:sz="0" w:space="0" w:color="auto"/>
        <w:right w:val="none" w:sz="0" w:space="0" w:color="auto"/>
      </w:divBdr>
    </w:div>
    <w:div w:id="919798119">
      <w:bodyDiv w:val="1"/>
      <w:marLeft w:val="0"/>
      <w:marRight w:val="0"/>
      <w:marTop w:val="0"/>
      <w:marBottom w:val="0"/>
      <w:divBdr>
        <w:top w:val="none" w:sz="0" w:space="0" w:color="auto"/>
        <w:left w:val="none" w:sz="0" w:space="0" w:color="auto"/>
        <w:bottom w:val="none" w:sz="0" w:space="0" w:color="auto"/>
        <w:right w:val="none" w:sz="0" w:space="0" w:color="auto"/>
      </w:divBdr>
    </w:div>
    <w:div w:id="923610067">
      <w:bodyDiv w:val="1"/>
      <w:marLeft w:val="0"/>
      <w:marRight w:val="0"/>
      <w:marTop w:val="0"/>
      <w:marBottom w:val="0"/>
      <w:divBdr>
        <w:top w:val="none" w:sz="0" w:space="0" w:color="auto"/>
        <w:left w:val="none" w:sz="0" w:space="0" w:color="auto"/>
        <w:bottom w:val="none" w:sz="0" w:space="0" w:color="auto"/>
        <w:right w:val="none" w:sz="0" w:space="0" w:color="auto"/>
      </w:divBdr>
    </w:div>
    <w:div w:id="958292745">
      <w:bodyDiv w:val="1"/>
      <w:marLeft w:val="0"/>
      <w:marRight w:val="0"/>
      <w:marTop w:val="0"/>
      <w:marBottom w:val="0"/>
      <w:divBdr>
        <w:top w:val="none" w:sz="0" w:space="0" w:color="auto"/>
        <w:left w:val="none" w:sz="0" w:space="0" w:color="auto"/>
        <w:bottom w:val="none" w:sz="0" w:space="0" w:color="auto"/>
        <w:right w:val="none" w:sz="0" w:space="0" w:color="auto"/>
      </w:divBdr>
    </w:div>
    <w:div w:id="966860463">
      <w:bodyDiv w:val="1"/>
      <w:marLeft w:val="0"/>
      <w:marRight w:val="0"/>
      <w:marTop w:val="0"/>
      <w:marBottom w:val="0"/>
      <w:divBdr>
        <w:top w:val="none" w:sz="0" w:space="0" w:color="auto"/>
        <w:left w:val="none" w:sz="0" w:space="0" w:color="auto"/>
        <w:bottom w:val="none" w:sz="0" w:space="0" w:color="auto"/>
        <w:right w:val="none" w:sz="0" w:space="0" w:color="auto"/>
      </w:divBdr>
    </w:div>
    <w:div w:id="1031690881">
      <w:bodyDiv w:val="1"/>
      <w:marLeft w:val="0"/>
      <w:marRight w:val="0"/>
      <w:marTop w:val="0"/>
      <w:marBottom w:val="0"/>
      <w:divBdr>
        <w:top w:val="none" w:sz="0" w:space="0" w:color="auto"/>
        <w:left w:val="none" w:sz="0" w:space="0" w:color="auto"/>
        <w:bottom w:val="none" w:sz="0" w:space="0" w:color="auto"/>
        <w:right w:val="none" w:sz="0" w:space="0" w:color="auto"/>
      </w:divBdr>
    </w:div>
    <w:div w:id="1051922088">
      <w:bodyDiv w:val="1"/>
      <w:marLeft w:val="0"/>
      <w:marRight w:val="0"/>
      <w:marTop w:val="0"/>
      <w:marBottom w:val="0"/>
      <w:divBdr>
        <w:top w:val="none" w:sz="0" w:space="0" w:color="auto"/>
        <w:left w:val="none" w:sz="0" w:space="0" w:color="auto"/>
        <w:bottom w:val="none" w:sz="0" w:space="0" w:color="auto"/>
        <w:right w:val="none" w:sz="0" w:space="0" w:color="auto"/>
      </w:divBdr>
    </w:div>
    <w:div w:id="1122966825">
      <w:bodyDiv w:val="1"/>
      <w:marLeft w:val="0"/>
      <w:marRight w:val="0"/>
      <w:marTop w:val="0"/>
      <w:marBottom w:val="0"/>
      <w:divBdr>
        <w:top w:val="none" w:sz="0" w:space="0" w:color="auto"/>
        <w:left w:val="none" w:sz="0" w:space="0" w:color="auto"/>
        <w:bottom w:val="none" w:sz="0" w:space="0" w:color="auto"/>
        <w:right w:val="none" w:sz="0" w:space="0" w:color="auto"/>
      </w:divBdr>
    </w:div>
    <w:div w:id="1133867209">
      <w:bodyDiv w:val="1"/>
      <w:marLeft w:val="0"/>
      <w:marRight w:val="0"/>
      <w:marTop w:val="0"/>
      <w:marBottom w:val="0"/>
      <w:divBdr>
        <w:top w:val="none" w:sz="0" w:space="0" w:color="auto"/>
        <w:left w:val="none" w:sz="0" w:space="0" w:color="auto"/>
        <w:bottom w:val="none" w:sz="0" w:space="0" w:color="auto"/>
        <w:right w:val="none" w:sz="0" w:space="0" w:color="auto"/>
      </w:divBdr>
    </w:div>
    <w:div w:id="1136944951">
      <w:bodyDiv w:val="1"/>
      <w:marLeft w:val="0"/>
      <w:marRight w:val="0"/>
      <w:marTop w:val="0"/>
      <w:marBottom w:val="0"/>
      <w:divBdr>
        <w:top w:val="none" w:sz="0" w:space="0" w:color="auto"/>
        <w:left w:val="none" w:sz="0" w:space="0" w:color="auto"/>
        <w:bottom w:val="none" w:sz="0" w:space="0" w:color="auto"/>
        <w:right w:val="none" w:sz="0" w:space="0" w:color="auto"/>
      </w:divBdr>
    </w:div>
    <w:div w:id="1136948528">
      <w:bodyDiv w:val="1"/>
      <w:marLeft w:val="0"/>
      <w:marRight w:val="0"/>
      <w:marTop w:val="0"/>
      <w:marBottom w:val="0"/>
      <w:divBdr>
        <w:top w:val="none" w:sz="0" w:space="0" w:color="auto"/>
        <w:left w:val="none" w:sz="0" w:space="0" w:color="auto"/>
        <w:bottom w:val="none" w:sz="0" w:space="0" w:color="auto"/>
        <w:right w:val="none" w:sz="0" w:space="0" w:color="auto"/>
      </w:divBdr>
    </w:div>
    <w:div w:id="1137916718">
      <w:bodyDiv w:val="1"/>
      <w:marLeft w:val="0"/>
      <w:marRight w:val="0"/>
      <w:marTop w:val="0"/>
      <w:marBottom w:val="0"/>
      <w:divBdr>
        <w:top w:val="none" w:sz="0" w:space="0" w:color="auto"/>
        <w:left w:val="none" w:sz="0" w:space="0" w:color="auto"/>
        <w:bottom w:val="none" w:sz="0" w:space="0" w:color="auto"/>
        <w:right w:val="none" w:sz="0" w:space="0" w:color="auto"/>
      </w:divBdr>
    </w:div>
    <w:div w:id="1161851153">
      <w:bodyDiv w:val="1"/>
      <w:marLeft w:val="0"/>
      <w:marRight w:val="0"/>
      <w:marTop w:val="0"/>
      <w:marBottom w:val="0"/>
      <w:divBdr>
        <w:top w:val="none" w:sz="0" w:space="0" w:color="auto"/>
        <w:left w:val="none" w:sz="0" w:space="0" w:color="auto"/>
        <w:bottom w:val="none" w:sz="0" w:space="0" w:color="auto"/>
        <w:right w:val="none" w:sz="0" w:space="0" w:color="auto"/>
      </w:divBdr>
    </w:div>
    <w:div w:id="1183784046">
      <w:bodyDiv w:val="1"/>
      <w:marLeft w:val="0"/>
      <w:marRight w:val="0"/>
      <w:marTop w:val="0"/>
      <w:marBottom w:val="0"/>
      <w:divBdr>
        <w:top w:val="none" w:sz="0" w:space="0" w:color="auto"/>
        <w:left w:val="none" w:sz="0" w:space="0" w:color="auto"/>
        <w:bottom w:val="none" w:sz="0" w:space="0" w:color="auto"/>
        <w:right w:val="none" w:sz="0" w:space="0" w:color="auto"/>
      </w:divBdr>
    </w:div>
    <w:div w:id="1200314243">
      <w:bodyDiv w:val="1"/>
      <w:marLeft w:val="0"/>
      <w:marRight w:val="0"/>
      <w:marTop w:val="0"/>
      <w:marBottom w:val="0"/>
      <w:divBdr>
        <w:top w:val="none" w:sz="0" w:space="0" w:color="auto"/>
        <w:left w:val="none" w:sz="0" w:space="0" w:color="auto"/>
        <w:bottom w:val="none" w:sz="0" w:space="0" w:color="auto"/>
        <w:right w:val="none" w:sz="0" w:space="0" w:color="auto"/>
      </w:divBdr>
    </w:div>
    <w:div w:id="1234319445">
      <w:bodyDiv w:val="1"/>
      <w:marLeft w:val="0"/>
      <w:marRight w:val="0"/>
      <w:marTop w:val="0"/>
      <w:marBottom w:val="0"/>
      <w:divBdr>
        <w:top w:val="none" w:sz="0" w:space="0" w:color="auto"/>
        <w:left w:val="none" w:sz="0" w:space="0" w:color="auto"/>
        <w:bottom w:val="none" w:sz="0" w:space="0" w:color="auto"/>
        <w:right w:val="none" w:sz="0" w:space="0" w:color="auto"/>
      </w:divBdr>
    </w:div>
    <w:div w:id="1252855194">
      <w:bodyDiv w:val="1"/>
      <w:marLeft w:val="0"/>
      <w:marRight w:val="0"/>
      <w:marTop w:val="0"/>
      <w:marBottom w:val="0"/>
      <w:divBdr>
        <w:top w:val="none" w:sz="0" w:space="0" w:color="auto"/>
        <w:left w:val="none" w:sz="0" w:space="0" w:color="auto"/>
        <w:bottom w:val="none" w:sz="0" w:space="0" w:color="auto"/>
        <w:right w:val="none" w:sz="0" w:space="0" w:color="auto"/>
      </w:divBdr>
    </w:div>
    <w:div w:id="1253246614">
      <w:bodyDiv w:val="1"/>
      <w:marLeft w:val="0"/>
      <w:marRight w:val="0"/>
      <w:marTop w:val="0"/>
      <w:marBottom w:val="0"/>
      <w:divBdr>
        <w:top w:val="none" w:sz="0" w:space="0" w:color="auto"/>
        <w:left w:val="none" w:sz="0" w:space="0" w:color="auto"/>
        <w:bottom w:val="none" w:sz="0" w:space="0" w:color="auto"/>
        <w:right w:val="none" w:sz="0" w:space="0" w:color="auto"/>
      </w:divBdr>
    </w:div>
    <w:div w:id="1330986882">
      <w:bodyDiv w:val="1"/>
      <w:marLeft w:val="0"/>
      <w:marRight w:val="0"/>
      <w:marTop w:val="0"/>
      <w:marBottom w:val="0"/>
      <w:divBdr>
        <w:top w:val="none" w:sz="0" w:space="0" w:color="auto"/>
        <w:left w:val="none" w:sz="0" w:space="0" w:color="auto"/>
        <w:bottom w:val="none" w:sz="0" w:space="0" w:color="auto"/>
        <w:right w:val="none" w:sz="0" w:space="0" w:color="auto"/>
      </w:divBdr>
    </w:div>
    <w:div w:id="1372462958">
      <w:bodyDiv w:val="1"/>
      <w:marLeft w:val="0"/>
      <w:marRight w:val="0"/>
      <w:marTop w:val="0"/>
      <w:marBottom w:val="0"/>
      <w:divBdr>
        <w:top w:val="none" w:sz="0" w:space="0" w:color="auto"/>
        <w:left w:val="none" w:sz="0" w:space="0" w:color="auto"/>
        <w:bottom w:val="none" w:sz="0" w:space="0" w:color="auto"/>
        <w:right w:val="none" w:sz="0" w:space="0" w:color="auto"/>
      </w:divBdr>
    </w:div>
    <w:div w:id="1392071665">
      <w:bodyDiv w:val="1"/>
      <w:marLeft w:val="0"/>
      <w:marRight w:val="0"/>
      <w:marTop w:val="0"/>
      <w:marBottom w:val="0"/>
      <w:divBdr>
        <w:top w:val="none" w:sz="0" w:space="0" w:color="auto"/>
        <w:left w:val="none" w:sz="0" w:space="0" w:color="auto"/>
        <w:bottom w:val="none" w:sz="0" w:space="0" w:color="auto"/>
        <w:right w:val="none" w:sz="0" w:space="0" w:color="auto"/>
      </w:divBdr>
    </w:div>
    <w:div w:id="1401443674">
      <w:bodyDiv w:val="1"/>
      <w:marLeft w:val="0"/>
      <w:marRight w:val="0"/>
      <w:marTop w:val="0"/>
      <w:marBottom w:val="0"/>
      <w:divBdr>
        <w:top w:val="none" w:sz="0" w:space="0" w:color="auto"/>
        <w:left w:val="none" w:sz="0" w:space="0" w:color="auto"/>
        <w:bottom w:val="none" w:sz="0" w:space="0" w:color="auto"/>
        <w:right w:val="none" w:sz="0" w:space="0" w:color="auto"/>
      </w:divBdr>
    </w:div>
    <w:div w:id="1405303185">
      <w:bodyDiv w:val="1"/>
      <w:marLeft w:val="0"/>
      <w:marRight w:val="0"/>
      <w:marTop w:val="0"/>
      <w:marBottom w:val="0"/>
      <w:divBdr>
        <w:top w:val="none" w:sz="0" w:space="0" w:color="auto"/>
        <w:left w:val="none" w:sz="0" w:space="0" w:color="auto"/>
        <w:bottom w:val="none" w:sz="0" w:space="0" w:color="auto"/>
        <w:right w:val="none" w:sz="0" w:space="0" w:color="auto"/>
      </w:divBdr>
    </w:div>
    <w:div w:id="1408108172">
      <w:bodyDiv w:val="1"/>
      <w:marLeft w:val="0"/>
      <w:marRight w:val="0"/>
      <w:marTop w:val="0"/>
      <w:marBottom w:val="0"/>
      <w:divBdr>
        <w:top w:val="none" w:sz="0" w:space="0" w:color="auto"/>
        <w:left w:val="none" w:sz="0" w:space="0" w:color="auto"/>
        <w:bottom w:val="none" w:sz="0" w:space="0" w:color="auto"/>
        <w:right w:val="none" w:sz="0" w:space="0" w:color="auto"/>
      </w:divBdr>
    </w:div>
    <w:div w:id="1483354903">
      <w:bodyDiv w:val="1"/>
      <w:marLeft w:val="0"/>
      <w:marRight w:val="0"/>
      <w:marTop w:val="0"/>
      <w:marBottom w:val="0"/>
      <w:divBdr>
        <w:top w:val="none" w:sz="0" w:space="0" w:color="auto"/>
        <w:left w:val="none" w:sz="0" w:space="0" w:color="auto"/>
        <w:bottom w:val="none" w:sz="0" w:space="0" w:color="auto"/>
        <w:right w:val="none" w:sz="0" w:space="0" w:color="auto"/>
      </w:divBdr>
    </w:div>
    <w:div w:id="1546453607">
      <w:bodyDiv w:val="1"/>
      <w:marLeft w:val="0"/>
      <w:marRight w:val="0"/>
      <w:marTop w:val="0"/>
      <w:marBottom w:val="0"/>
      <w:divBdr>
        <w:top w:val="none" w:sz="0" w:space="0" w:color="auto"/>
        <w:left w:val="none" w:sz="0" w:space="0" w:color="auto"/>
        <w:bottom w:val="none" w:sz="0" w:space="0" w:color="auto"/>
        <w:right w:val="none" w:sz="0" w:space="0" w:color="auto"/>
      </w:divBdr>
    </w:div>
    <w:div w:id="1573003388">
      <w:bodyDiv w:val="1"/>
      <w:marLeft w:val="0"/>
      <w:marRight w:val="0"/>
      <w:marTop w:val="0"/>
      <w:marBottom w:val="0"/>
      <w:divBdr>
        <w:top w:val="none" w:sz="0" w:space="0" w:color="auto"/>
        <w:left w:val="none" w:sz="0" w:space="0" w:color="auto"/>
        <w:bottom w:val="none" w:sz="0" w:space="0" w:color="auto"/>
        <w:right w:val="none" w:sz="0" w:space="0" w:color="auto"/>
      </w:divBdr>
    </w:div>
    <w:div w:id="1722748574">
      <w:bodyDiv w:val="1"/>
      <w:marLeft w:val="0"/>
      <w:marRight w:val="0"/>
      <w:marTop w:val="0"/>
      <w:marBottom w:val="0"/>
      <w:divBdr>
        <w:top w:val="none" w:sz="0" w:space="0" w:color="auto"/>
        <w:left w:val="none" w:sz="0" w:space="0" w:color="auto"/>
        <w:bottom w:val="none" w:sz="0" w:space="0" w:color="auto"/>
        <w:right w:val="none" w:sz="0" w:space="0" w:color="auto"/>
      </w:divBdr>
    </w:div>
    <w:div w:id="1754933533">
      <w:bodyDiv w:val="1"/>
      <w:marLeft w:val="0"/>
      <w:marRight w:val="0"/>
      <w:marTop w:val="0"/>
      <w:marBottom w:val="0"/>
      <w:divBdr>
        <w:top w:val="none" w:sz="0" w:space="0" w:color="auto"/>
        <w:left w:val="none" w:sz="0" w:space="0" w:color="auto"/>
        <w:bottom w:val="none" w:sz="0" w:space="0" w:color="auto"/>
        <w:right w:val="none" w:sz="0" w:space="0" w:color="auto"/>
      </w:divBdr>
    </w:div>
    <w:div w:id="1774082652">
      <w:bodyDiv w:val="1"/>
      <w:marLeft w:val="0"/>
      <w:marRight w:val="0"/>
      <w:marTop w:val="0"/>
      <w:marBottom w:val="0"/>
      <w:divBdr>
        <w:top w:val="none" w:sz="0" w:space="0" w:color="auto"/>
        <w:left w:val="none" w:sz="0" w:space="0" w:color="auto"/>
        <w:bottom w:val="none" w:sz="0" w:space="0" w:color="auto"/>
        <w:right w:val="none" w:sz="0" w:space="0" w:color="auto"/>
      </w:divBdr>
    </w:div>
    <w:div w:id="1836452631">
      <w:bodyDiv w:val="1"/>
      <w:marLeft w:val="0"/>
      <w:marRight w:val="0"/>
      <w:marTop w:val="0"/>
      <w:marBottom w:val="0"/>
      <w:divBdr>
        <w:top w:val="none" w:sz="0" w:space="0" w:color="auto"/>
        <w:left w:val="none" w:sz="0" w:space="0" w:color="auto"/>
        <w:bottom w:val="none" w:sz="0" w:space="0" w:color="auto"/>
        <w:right w:val="none" w:sz="0" w:space="0" w:color="auto"/>
      </w:divBdr>
    </w:div>
    <w:div w:id="1841501652">
      <w:bodyDiv w:val="1"/>
      <w:marLeft w:val="0"/>
      <w:marRight w:val="0"/>
      <w:marTop w:val="0"/>
      <w:marBottom w:val="0"/>
      <w:divBdr>
        <w:top w:val="none" w:sz="0" w:space="0" w:color="auto"/>
        <w:left w:val="none" w:sz="0" w:space="0" w:color="auto"/>
        <w:bottom w:val="none" w:sz="0" w:space="0" w:color="auto"/>
        <w:right w:val="none" w:sz="0" w:space="0" w:color="auto"/>
      </w:divBdr>
    </w:div>
    <w:div w:id="1852598030">
      <w:bodyDiv w:val="1"/>
      <w:marLeft w:val="0"/>
      <w:marRight w:val="0"/>
      <w:marTop w:val="0"/>
      <w:marBottom w:val="0"/>
      <w:divBdr>
        <w:top w:val="none" w:sz="0" w:space="0" w:color="auto"/>
        <w:left w:val="none" w:sz="0" w:space="0" w:color="auto"/>
        <w:bottom w:val="none" w:sz="0" w:space="0" w:color="auto"/>
        <w:right w:val="none" w:sz="0" w:space="0" w:color="auto"/>
      </w:divBdr>
    </w:div>
    <w:div w:id="1873640631">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1916940391">
      <w:bodyDiv w:val="1"/>
      <w:marLeft w:val="0"/>
      <w:marRight w:val="0"/>
      <w:marTop w:val="0"/>
      <w:marBottom w:val="0"/>
      <w:divBdr>
        <w:top w:val="none" w:sz="0" w:space="0" w:color="auto"/>
        <w:left w:val="none" w:sz="0" w:space="0" w:color="auto"/>
        <w:bottom w:val="none" w:sz="0" w:space="0" w:color="auto"/>
        <w:right w:val="none" w:sz="0" w:space="0" w:color="auto"/>
      </w:divBdr>
    </w:div>
    <w:div w:id="1943688620">
      <w:bodyDiv w:val="1"/>
      <w:marLeft w:val="0"/>
      <w:marRight w:val="0"/>
      <w:marTop w:val="0"/>
      <w:marBottom w:val="0"/>
      <w:divBdr>
        <w:top w:val="none" w:sz="0" w:space="0" w:color="auto"/>
        <w:left w:val="none" w:sz="0" w:space="0" w:color="auto"/>
        <w:bottom w:val="none" w:sz="0" w:space="0" w:color="auto"/>
        <w:right w:val="none" w:sz="0" w:space="0" w:color="auto"/>
      </w:divBdr>
    </w:div>
    <w:div w:id="2019699722">
      <w:bodyDiv w:val="1"/>
      <w:marLeft w:val="0"/>
      <w:marRight w:val="0"/>
      <w:marTop w:val="0"/>
      <w:marBottom w:val="0"/>
      <w:divBdr>
        <w:top w:val="none" w:sz="0" w:space="0" w:color="auto"/>
        <w:left w:val="none" w:sz="0" w:space="0" w:color="auto"/>
        <w:bottom w:val="none" w:sz="0" w:space="0" w:color="auto"/>
        <w:right w:val="none" w:sz="0" w:space="0" w:color="auto"/>
      </w:divBdr>
    </w:div>
    <w:div w:id="2029480465">
      <w:bodyDiv w:val="1"/>
      <w:marLeft w:val="0"/>
      <w:marRight w:val="0"/>
      <w:marTop w:val="0"/>
      <w:marBottom w:val="0"/>
      <w:divBdr>
        <w:top w:val="none" w:sz="0" w:space="0" w:color="auto"/>
        <w:left w:val="none" w:sz="0" w:space="0" w:color="auto"/>
        <w:bottom w:val="none" w:sz="0" w:space="0" w:color="auto"/>
        <w:right w:val="none" w:sz="0" w:space="0" w:color="auto"/>
      </w:divBdr>
    </w:div>
    <w:div w:id="2064402915">
      <w:bodyDiv w:val="1"/>
      <w:marLeft w:val="0"/>
      <w:marRight w:val="0"/>
      <w:marTop w:val="0"/>
      <w:marBottom w:val="0"/>
      <w:divBdr>
        <w:top w:val="none" w:sz="0" w:space="0" w:color="auto"/>
        <w:left w:val="none" w:sz="0" w:space="0" w:color="auto"/>
        <w:bottom w:val="none" w:sz="0" w:space="0" w:color="auto"/>
        <w:right w:val="none" w:sz="0" w:space="0" w:color="auto"/>
      </w:divBdr>
    </w:div>
    <w:div w:id="2075734247">
      <w:bodyDiv w:val="1"/>
      <w:marLeft w:val="0"/>
      <w:marRight w:val="0"/>
      <w:marTop w:val="0"/>
      <w:marBottom w:val="0"/>
      <w:divBdr>
        <w:top w:val="none" w:sz="0" w:space="0" w:color="auto"/>
        <w:left w:val="none" w:sz="0" w:space="0" w:color="auto"/>
        <w:bottom w:val="none" w:sz="0" w:space="0" w:color="auto"/>
        <w:right w:val="none" w:sz="0" w:space="0" w:color="auto"/>
      </w:divBdr>
    </w:div>
    <w:div w:id="2078085083">
      <w:bodyDiv w:val="1"/>
      <w:marLeft w:val="0"/>
      <w:marRight w:val="0"/>
      <w:marTop w:val="0"/>
      <w:marBottom w:val="0"/>
      <w:divBdr>
        <w:top w:val="none" w:sz="0" w:space="0" w:color="auto"/>
        <w:left w:val="none" w:sz="0" w:space="0" w:color="auto"/>
        <w:bottom w:val="none" w:sz="0" w:space="0" w:color="auto"/>
        <w:right w:val="none" w:sz="0" w:space="0" w:color="auto"/>
      </w:divBdr>
    </w:div>
    <w:div w:id="2109422159">
      <w:bodyDiv w:val="1"/>
      <w:marLeft w:val="0"/>
      <w:marRight w:val="0"/>
      <w:marTop w:val="0"/>
      <w:marBottom w:val="0"/>
      <w:divBdr>
        <w:top w:val="none" w:sz="0" w:space="0" w:color="auto"/>
        <w:left w:val="none" w:sz="0" w:space="0" w:color="auto"/>
        <w:bottom w:val="none" w:sz="0" w:space="0" w:color="auto"/>
        <w:right w:val="none" w:sz="0" w:space="0" w:color="auto"/>
      </w:divBdr>
    </w:div>
    <w:div w:id="2116779654">
      <w:bodyDiv w:val="1"/>
      <w:marLeft w:val="0"/>
      <w:marRight w:val="0"/>
      <w:marTop w:val="0"/>
      <w:marBottom w:val="0"/>
      <w:divBdr>
        <w:top w:val="none" w:sz="0" w:space="0" w:color="auto"/>
        <w:left w:val="none" w:sz="0" w:space="0" w:color="auto"/>
        <w:bottom w:val="none" w:sz="0" w:space="0" w:color="auto"/>
        <w:right w:val="none" w:sz="0" w:space="0" w:color="auto"/>
      </w:divBdr>
    </w:div>
    <w:div w:id="2125885901">
      <w:bodyDiv w:val="1"/>
      <w:marLeft w:val="0"/>
      <w:marRight w:val="0"/>
      <w:marTop w:val="0"/>
      <w:marBottom w:val="0"/>
      <w:divBdr>
        <w:top w:val="none" w:sz="0" w:space="0" w:color="auto"/>
        <w:left w:val="none" w:sz="0" w:space="0" w:color="auto"/>
        <w:bottom w:val="none" w:sz="0" w:space="0" w:color="auto"/>
        <w:right w:val="none" w:sz="0" w:space="0" w:color="auto"/>
      </w:divBdr>
    </w:div>
    <w:div w:id="2127582936">
      <w:bodyDiv w:val="1"/>
      <w:marLeft w:val="0"/>
      <w:marRight w:val="0"/>
      <w:marTop w:val="0"/>
      <w:marBottom w:val="0"/>
      <w:divBdr>
        <w:top w:val="none" w:sz="0" w:space="0" w:color="auto"/>
        <w:left w:val="none" w:sz="0" w:space="0" w:color="auto"/>
        <w:bottom w:val="none" w:sz="0" w:space="0" w:color="auto"/>
        <w:right w:val="none" w:sz="0" w:space="0" w:color="auto"/>
      </w:divBdr>
    </w:div>
    <w:div w:id="212966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chart" Target="charts/chart4.xml"/><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chart" Target="charts/chart3.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chart" Target="charts/chart2.xml"/><Relationship Id="rId5" Type="http://schemas.microsoft.com/office/2007/relationships/stylesWithEffects" Target="stylesWithEffects.xml"/><Relationship Id="rId15" Type="http://schemas.openxmlformats.org/officeDocument/2006/relationships/chart" Target="charts/chart6.xml"/><Relationship Id="rId10" Type="http://schemas.openxmlformats.org/officeDocument/2006/relationships/chart" Target="charts/chart1.xm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chart" Target="charts/chart5.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NULL" TargetMode="External"/></Relationships>
</file>

<file path=word/charts/_rels/chart2.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oleObject" Target="file:///C:\Users\ljordan\AppData\Local\Microsoft\Windows\Temporary%20Internet%20Files\Content.Outlook\B8KX49UE\13%20-%20Ch4%20-%20Fig%204%204%20-%20Budgetary%20assistance%20and%20value%20added%20shares%20by%20industry%20sector.xlsx" TargetMode="External"/><Relationship Id="rId1" Type="http://schemas.openxmlformats.org/officeDocument/2006/relationships/themeOverride" Target="../theme/themeOverride2.xml"/></Relationships>
</file>

<file path=word/charts/_rels/chart4.xml.rels><?xml version="1.0" encoding="UTF-8" standalone="yes"?>
<Relationships xmlns="http://schemas.openxmlformats.org/package/2006/relationships"><Relationship Id="rId3" Type="http://schemas.openxmlformats.org/officeDocument/2006/relationships/chartUserShapes" Target="../drawings/drawing3.xml"/><Relationship Id="rId2" Type="http://schemas.openxmlformats.org/officeDocument/2006/relationships/oleObject" Target="file:///C:\Users\ljordan\AppData\Local\Microsoft\Windows\Temporary%20Internet%20Files\Content.Outlook\B8KX49UE\13%20-%20Ch4%20-%20Fig%204%204%20-%20Budgetary%20assistance%20and%20value%20added%20shares%20by%20industry%20sector.xlsx" TargetMode="External"/><Relationship Id="rId1" Type="http://schemas.openxmlformats.org/officeDocument/2006/relationships/themeOverride" Target="../theme/themeOverride3.xml"/></Relationships>
</file>

<file path=word/charts/_rels/chart5.xml.rels><?xml version="1.0" encoding="UTF-8" standalone="yes"?>
<Relationships xmlns="http://schemas.openxmlformats.org/package/2006/relationships"><Relationship Id="rId3" Type="http://schemas.openxmlformats.org/officeDocument/2006/relationships/chartUserShapes" Target="../drawings/drawing4.xml"/><Relationship Id="rId2" Type="http://schemas.openxmlformats.org/officeDocument/2006/relationships/oleObject" Target="file:///C:\Users\ljordan\AppData\Local\Microsoft\Windows\Temporary%20Internet%20Files\Content.Outlook\B8KX49UE\13%20-%20Ch4%20-%20Fig%204%204%20-%20Budgetary%20assistance%20and%20value%20added%20shares%20by%20industry%20sector.xlsx" TargetMode="External"/><Relationship Id="rId1" Type="http://schemas.openxmlformats.org/officeDocument/2006/relationships/themeOverride" Target="../theme/themeOverride4.xml"/></Relationships>
</file>

<file path=word/charts/_rels/chart6.xml.rels><?xml version="1.0" encoding="UTF-8" standalone="yes"?>
<Relationships xmlns="http://schemas.openxmlformats.org/package/2006/relationships"><Relationship Id="rId3" Type="http://schemas.openxmlformats.org/officeDocument/2006/relationships/chartUserShapes" Target="../drawings/drawing5.xml"/><Relationship Id="rId2" Type="http://schemas.openxmlformats.org/officeDocument/2006/relationships/oleObject" Target="file:///C:\Users\ljordan\AppData\Local\Microsoft\Windows\Temporary%20Internet%20Files\Content.Outlook\B8KX49UE\13%20-%20Ch4%20-%20Fig%204%204%20-%20Budgetary%20assistance%20and%20value%20added%20shares%20by%20industry%20sector.xlsx" TargetMode="External"/><Relationship Id="rId1" Type="http://schemas.openxmlformats.org/officeDocument/2006/relationships/themeOverride" Target="../theme/themeOverride5.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892965604430337"/>
          <c:y val="4.6107831859442013E-2"/>
          <c:w val="0.83233797346012373"/>
          <c:h val="0.74033855202138221"/>
        </c:manualLayout>
      </c:layout>
      <c:barChart>
        <c:barDir val="col"/>
        <c:grouping val="stacked"/>
        <c:varyColors val="0"/>
        <c:ser>
          <c:idx val="0"/>
          <c:order val="0"/>
          <c:tx>
            <c:v>Outlays</c:v>
          </c:tx>
          <c:spPr>
            <a:solidFill>
              <a:srgbClr val="344893"/>
            </a:solidFill>
            <a:ln>
              <a:noFill/>
            </a:ln>
          </c:spPr>
          <c:invertIfNegative val="0"/>
          <c:cat>
            <c:strRef>
              <c:f>'OV - Fig 2 &amp; Fig 4.2'!$B$4:$G$4</c:f>
              <c:strCache>
                <c:ptCount val="6"/>
                <c:pt idx="0">
                  <c:v>2007-08</c:v>
                </c:pt>
                <c:pt idx="1">
                  <c:v>2008-09</c:v>
                </c:pt>
                <c:pt idx="2">
                  <c:v>2009-10</c:v>
                </c:pt>
                <c:pt idx="3">
                  <c:v>2010-11</c:v>
                </c:pt>
                <c:pt idx="4">
                  <c:v>2011-12</c:v>
                </c:pt>
                <c:pt idx="5">
                  <c:v>2012-13</c:v>
                </c:pt>
              </c:strCache>
            </c:strRef>
          </c:cat>
          <c:val>
            <c:numRef>
              <c:f>'OV - Fig 2 &amp; Fig 4.2'!$B$5:$G$5</c:f>
              <c:numCache>
                <c:formatCode>0.0</c:formatCode>
                <c:ptCount val="6"/>
                <c:pt idx="0">
                  <c:v>4.4475573658100718</c:v>
                </c:pt>
                <c:pt idx="1">
                  <c:v>3.7329550683844874</c:v>
                </c:pt>
                <c:pt idx="2">
                  <c:v>3.8682655205717409</c:v>
                </c:pt>
                <c:pt idx="3">
                  <c:v>3.6302791149337907</c:v>
                </c:pt>
                <c:pt idx="4">
                  <c:v>5.2128826895665004</c:v>
                </c:pt>
                <c:pt idx="5">
                  <c:v>4.3751497126288257</c:v>
                </c:pt>
              </c:numCache>
            </c:numRef>
          </c:val>
        </c:ser>
        <c:ser>
          <c:idx val="1"/>
          <c:order val="1"/>
          <c:tx>
            <c:v>Tax concessions</c:v>
          </c:tx>
          <c:spPr>
            <a:solidFill>
              <a:srgbClr val="78A22F"/>
            </a:solidFill>
            <a:ln>
              <a:noFill/>
            </a:ln>
          </c:spPr>
          <c:invertIfNegative val="0"/>
          <c:cat>
            <c:strRef>
              <c:f>'OV - Fig 2 &amp; Fig 4.2'!$B$4:$G$4</c:f>
              <c:strCache>
                <c:ptCount val="6"/>
                <c:pt idx="0">
                  <c:v>2007-08</c:v>
                </c:pt>
                <c:pt idx="1">
                  <c:v>2008-09</c:v>
                </c:pt>
                <c:pt idx="2">
                  <c:v>2009-10</c:v>
                </c:pt>
                <c:pt idx="3">
                  <c:v>2010-11</c:v>
                </c:pt>
                <c:pt idx="4">
                  <c:v>2011-12</c:v>
                </c:pt>
                <c:pt idx="5">
                  <c:v>2012-13</c:v>
                </c:pt>
              </c:strCache>
            </c:strRef>
          </c:cat>
          <c:val>
            <c:numRef>
              <c:f>'OV - Fig 2 &amp; Fig 4.2'!$B$6:$G$6</c:f>
              <c:numCache>
                <c:formatCode>0.0</c:formatCode>
                <c:ptCount val="6"/>
                <c:pt idx="0">
                  <c:v>3.9878884420000018</c:v>
                </c:pt>
                <c:pt idx="1">
                  <c:v>4.6070524150998926</c:v>
                </c:pt>
                <c:pt idx="2">
                  <c:v>5.9209694848163137</c:v>
                </c:pt>
                <c:pt idx="3">
                  <c:v>6.4058573460000003</c:v>
                </c:pt>
                <c:pt idx="4">
                  <c:v>4.780197514000001</c:v>
                </c:pt>
                <c:pt idx="5">
                  <c:v>3.3958018078900012</c:v>
                </c:pt>
              </c:numCache>
            </c:numRef>
          </c:val>
        </c:ser>
        <c:dLbls>
          <c:showLegendKey val="0"/>
          <c:showVal val="0"/>
          <c:showCatName val="0"/>
          <c:showSerName val="0"/>
          <c:showPercent val="0"/>
          <c:showBubbleSize val="0"/>
        </c:dLbls>
        <c:gapWidth val="76"/>
        <c:overlap val="100"/>
        <c:axId val="159709056"/>
        <c:axId val="159710592"/>
      </c:barChart>
      <c:catAx>
        <c:axId val="159709056"/>
        <c:scaling>
          <c:orientation val="minMax"/>
        </c:scaling>
        <c:delete val="0"/>
        <c:axPos val="b"/>
        <c:majorTickMark val="out"/>
        <c:minorTickMark val="none"/>
        <c:tickLblPos val="nextTo"/>
        <c:txPr>
          <a:bodyPr rot="-2700000"/>
          <a:lstStyle/>
          <a:p>
            <a:pPr>
              <a:defRPr sz="900">
                <a:latin typeface="Arial" panose="020B0604020202020204" pitchFamily="34" charset="0"/>
                <a:cs typeface="Arial" panose="020B0604020202020204" pitchFamily="34" charset="0"/>
              </a:defRPr>
            </a:pPr>
            <a:endParaRPr lang="en-US"/>
          </a:p>
        </c:txPr>
        <c:crossAx val="159710592"/>
        <c:crosses val="autoZero"/>
        <c:auto val="1"/>
        <c:lblAlgn val="ctr"/>
        <c:lblOffset val="100"/>
        <c:noMultiLvlLbl val="0"/>
      </c:catAx>
      <c:valAx>
        <c:axId val="159710592"/>
        <c:scaling>
          <c:orientation val="minMax"/>
          <c:max val="11"/>
          <c:min val="0"/>
        </c:scaling>
        <c:delete val="0"/>
        <c:axPos val="l"/>
        <c:majorGridlines>
          <c:spPr>
            <a:ln>
              <a:solidFill>
                <a:schemeClr val="bg1">
                  <a:lumMod val="85000"/>
                </a:schemeClr>
              </a:solidFill>
            </a:ln>
          </c:spPr>
        </c:majorGridlines>
        <c:numFmt formatCode="#,##0" sourceLinked="0"/>
        <c:majorTickMark val="out"/>
        <c:minorTickMark val="none"/>
        <c:tickLblPos val="nextTo"/>
        <c:spPr>
          <a:ln w="9525"/>
        </c:spPr>
        <c:txPr>
          <a:bodyPr/>
          <a:lstStyle/>
          <a:p>
            <a:pPr>
              <a:defRPr sz="900">
                <a:latin typeface="Arial" panose="020B0604020202020204" pitchFamily="34" charset="0"/>
                <a:cs typeface="Arial" panose="020B0604020202020204" pitchFamily="34" charset="0"/>
              </a:defRPr>
            </a:pPr>
            <a:endParaRPr lang="en-US"/>
          </a:p>
        </c:txPr>
        <c:crossAx val="159709056"/>
        <c:crosses val="autoZero"/>
        <c:crossBetween val="between"/>
        <c:majorUnit val="2"/>
        <c:minorUnit val="0.4"/>
      </c:valAx>
    </c:plotArea>
    <c:legend>
      <c:legendPos val="b"/>
      <c:overlay val="0"/>
      <c:txPr>
        <a:bodyPr/>
        <a:lstStyle/>
        <a:p>
          <a:pPr>
            <a:defRPr sz="900">
              <a:latin typeface="Arial" panose="020B0604020202020204" pitchFamily="34" charset="0"/>
              <a:cs typeface="Arial" panose="020B0604020202020204" pitchFamily="34" charset="0"/>
            </a:defRPr>
          </a:pPr>
          <a:endParaRPr lang="en-US"/>
        </a:p>
      </c:txPr>
    </c:legend>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0984187802812599"/>
          <c:y val="4.8396036859973672E-2"/>
          <c:w val="0.64259333333333335"/>
          <c:h val="0.74753828032979974"/>
        </c:manualLayout>
      </c:layout>
      <c:barChart>
        <c:barDir val="col"/>
        <c:grouping val="stacked"/>
        <c:varyColors val="0"/>
        <c:ser>
          <c:idx val="0"/>
          <c:order val="0"/>
          <c:tx>
            <c:strRef>
              <c:f>'Ch 4 - Fig 4.3'!$A$48</c:f>
              <c:strCache>
                <c:ptCount val="1"/>
                <c:pt idx="0">
                  <c:v>R&amp;D</c:v>
                </c:pt>
              </c:strCache>
            </c:strRef>
          </c:tx>
          <c:spPr>
            <a:solidFill>
              <a:srgbClr val="344893"/>
            </a:solidFill>
            <a:ln>
              <a:solidFill>
                <a:srgbClr val="344893"/>
              </a:solidFill>
            </a:ln>
          </c:spPr>
          <c:invertIfNegative val="0"/>
          <c:cat>
            <c:strRef>
              <c:f>'Ch 4 - Fig 4.3'!$B$47:$G$47</c:f>
              <c:strCache>
                <c:ptCount val="6"/>
                <c:pt idx="0">
                  <c:v>2007-08</c:v>
                </c:pt>
                <c:pt idx="1">
                  <c:v>2008-09</c:v>
                </c:pt>
                <c:pt idx="2">
                  <c:v>2009-10</c:v>
                </c:pt>
                <c:pt idx="3">
                  <c:v>2010-11</c:v>
                </c:pt>
                <c:pt idx="4">
                  <c:v>2011-12</c:v>
                </c:pt>
                <c:pt idx="5">
                  <c:v>2012-13</c:v>
                </c:pt>
              </c:strCache>
            </c:strRef>
          </c:cat>
          <c:val>
            <c:numRef>
              <c:f>'Ch 4 - Fig 4.3'!$B$48:$G$48</c:f>
              <c:numCache>
                <c:formatCode>0.0</c:formatCode>
                <c:ptCount val="6"/>
                <c:pt idx="0">
                  <c:v>2.0645220476127384</c:v>
                </c:pt>
                <c:pt idx="1">
                  <c:v>2.2809929808500002</c:v>
                </c:pt>
                <c:pt idx="2">
                  <c:v>2.9108351664820549</c:v>
                </c:pt>
                <c:pt idx="3">
                  <c:v>2.754928140001244</c:v>
                </c:pt>
                <c:pt idx="4">
                  <c:v>2.9792278512537504</c:v>
                </c:pt>
                <c:pt idx="5">
                  <c:v>2.985109242719687</c:v>
                </c:pt>
              </c:numCache>
            </c:numRef>
          </c:val>
        </c:ser>
        <c:ser>
          <c:idx val="1"/>
          <c:order val="1"/>
          <c:tx>
            <c:strRef>
              <c:f>'Ch 4 - Fig 4.3'!$A$49</c:f>
              <c:strCache>
                <c:ptCount val="1"/>
                <c:pt idx="0">
                  <c:v>Export</c:v>
                </c:pt>
              </c:strCache>
            </c:strRef>
          </c:tx>
          <c:spPr>
            <a:solidFill>
              <a:srgbClr val="78A22F"/>
            </a:solidFill>
            <a:ln>
              <a:solidFill>
                <a:srgbClr val="78A22F"/>
              </a:solidFill>
            </a:ln>
          </c:spPr>
          <c:invertIfNegative val="0"/>
          <c:cat>
            <c:strRef>
              <c:f>'Ch 4 - Fig 4.3'!$B$47:$G$47</c:f>
              <c:strCache>
                <c:ptCount val="6"/>
                <c:pt idx="0">
                  <c:v>2007-08</c:v>
                </c:pt>
                <c:pt idx="1">
                  <c:v>2008-09</c:v>
                </c:pt>
                <c:pt idx="2">
                  <c:v>2009-10</c:v>
                </c:pt>
                <c:pt idx="3">
                  <c:v>2010-11</c:v>
                </c:pt>
                <c:pt idx="4">
                  <c:v>2011-12</c:v>
                </c:pt>
                <c:pt idx="5">
                  <c:v>2012-13</c:v>
                </c:pt>
              </c:strCache>
            </c:strRef>
          </c:cat>
          <c:val>
            <c:numRef>
              <c:f>'Ch 4 - Fig 4.3'!$B$49:$G$49</c:f>
              <c:numCache>
                <c:formatCode>0.0</c:formatCode>
                <c:ptCount val="6"/>
                <c:pt idx="0">
                  <c:v>0.61801169319733296</c:v>
                </c:pt>
                <c:pt idx="1">
                  <c:v>0.62767713499999989</c:v>
                </c:pt>
                <c:pt idx="2">
                  <c:v>0.61619382281630652</c:v>
                </c:pt>
                <c:pt idx="3">
                  <c:v>0.52187159799999994</c:v>
                </c:pt>
                <c:pt idx="4">
                  <c:v>0.47609754022275297</c:v>
                </c:pt>
                <c:pt idx="5">
                  <c:v>0.46170274685914126</c:v>
                </c:pt>
              </c:numCache>
            </c:numRef>
          </c:val>
        </c:ser>
        <c:ser>
          <c:idx val="2"/>
          <c:order val="2"/>
          <c:tx>
            <c:strRef>
              <c:f>'Ch 4 - Fig 4.3'!$A$50</c:f>
              <c:strCache>
                <c:ptCount val="1"/>
                <c:pt idx="0">
                  <c:v>Industry-specific assistance</c:v>
                </c:pt>
              </c:strCache>
            </c:strRef>
          </c:tx>
          <c:spPr>
            <a:solidFill>
              <a:srgbClr val="B4C98B"/>
            </a:solidFill>
            <a:ln>
              <a:solidFill>
                <a:srgbClr val="B4C98B"/>
              </a:solidFill>
            </a:ln>
          </c:spPr>
          <c:invertIfNegative val="0"/>
          <c:cat>
            <c:strRef>
              <c:f>'Ch 4 - Fig 4.3'!$B$47:$G$47</c:f>
              <c:strCache>
                <c:ptCount val="6"/>
                <c:pt idx="0">
                  <c:v>2007-08</c:v>
                </c:pt>
                <c:pt idx="1">
                  <c:v>2008-09</c:v>
                </c:pt>
                <c:pt idx="2">
                  <c:v>2009-10</c:v>
                </c:pt>
                <c:pt idx="3">
                  <c:v>2010-11</c:v>
                </c:pt>
                <c:pt idx="4">
                  <c:v>2011-12</c:v>
                </c:pt>
                <c:pt idx="5">
                  <c:v>2012-13</c:v>
                </c:pt>
              </c:strCache>
            </c:strRef>
          </c:cat>
          <c:val>
            <c:numRef>
              <c:f>'Ch 4 - Fig 4.3'!$B$50:$G$50</c:f>
              <c:numCache>
                <c:formatCode>0.0</c:formatCode>
                <c:ptCount val="6"/>
                <c:pt idx="0">
                  <c:v>2.0638680680000006</c:v>
                </c:pt>
                <c:pt idx="1">
                  <c:v>1.5629219430320003</c:v>
                </c:pt>
                <c:pt idx="2">
                  <c:v>1.8332537546673182</c:v>
                </c:pt>
                <c:pt idx="3">
                  <c:v>1.5838381441400002</c:v>
                </c:pt>
                <c:pt idx="4">
                  <c:v>3.0615377421199996</c:v>
                </c:pt>
                <c:pt idx="5">
                  <c:v>1.6085528331700008</c:v>
                </c:pt>
              </c:numCache>
            </c:numRef>
          </c:val>
        </c:ser>
        <c:ser>
          <c:idx val="3"/>
          <c:order val="3"/>
          <c:tx>
            <c:strRef>
              <c:f>'Ch 4 - Fig 4.3'!$A$51</c:f>
              <c:strCache>
                <c:ptCount val="1"/>
                <c:pt idx="0">
                  <c:v>Sectoral assistance</c:v>
                </c:pt>
              </c:strCache>
            </c:strRef>
          </c:tx>
          <c:spPr>
            <a:pattFill prst="pct75">
              <a:fgClr>
                <a:srgbClr val="78A22F"/>
              </a:fgClr>
              <a:bgClr>
                <a:sysClr val="window" lastClr="FFFFFF"/>
              </a:bgClr>
            </a:pattFill>
            <a:ln>
              <a:solidFill>
                <a:srgbClr val="B4C98B"/>
              </a:solidFill>
            </a:ln>
          </c:spPr>
          <c:invertIfNegative val="0"/>
          <c:cat>
            <c:strRef>
              <c:f>'Ch 4 - Fig 4.3'!$B$47:$G$47</c:f>
              <c:strCache>
                <c:ptCount val="6"/>
                <c:pt idx="0">
                  <c:v>2007-08</c:v>
                </c:pt>
                <c:pt idx="1">
                  <c:v>2008-09</c:v>
                </c:pt>
                <c:pt idx="2">
                  <c:v>2009-10</c:v>
                </c:pt>
                <c:pt idx="3">
                  <c:v>2010-11</c:v>
                </c:pt>
                <c:pt idx="4">
                  <c:v>2011-12</c:v>
                </c:pt>
                <c:pt idx="5">
                  <c:v>2012-13</c:v>
                </c:pt>
              </c:strCache>
            </c:strRef>
          </c:cat>
          <c:val>
            <c:numRef>
              <c:f>'Ch 4 - Fig 4.3'!$B$51:$G$51</c:f>
              <c:numCache>
                <c:formatCode>0.0</c:formatCode>
                <c:ptCount val="6"/>
                <c:pt idx="0">
                  <c:v>1.5197226319999999</c:v>
                </c:pt>
                <c:pt idx="1">
                  <c:v>1.2206508239999998</c:v>
                </c:pt>
                <c:pt idx="2">
                  <c:v>0.97427983734000045</c:v>
                </c:pt>
                <c:pt idx="3">
                  <c:v>0.78150457390000028</c:v>
                </c:pt>
                <c:pt idx="4">
                  <c:v>0.76364681131999967</c:v>
                </c:pt>
                <c:pt idx="5">
                  <c:v>0.53727212999999996</c:v>
                </c:pt>
              </c:numCache>
            </c:numRef>
          </c:val>
        </c:ser>
        <c:ser>
          <c:idx val="4"/>
          <c:order val="4"/>
          <c:tx>
            <c:strRef>
              <c:f>'Ch 4 - Fig 4.3'!$A$52</c:f>
              <c:strCache>
                <c:ptCount val="1"/>
                <c:pt idx="0">
                  <c:v>Regional/Structural adjustment</c:v>
                </c:pt>
              </c:strCache>
            </c:strRef>
          </c:tx>
          <c:spPr>
            <a:solidFill>
              <a:sysClr val="windowText" lastClr="000000"/>
            </a:solidFill>
            <a:ln>
              <a:solidFill>
                <a:sysClr val="windowText" lastClr="000000"/>
              </a:solidFill>
            </a:ln>
          </c:spPr>
          <c:invertIfNegative val="0"/>
          <c:cat>
            <c:strRef>
              <c:f>'Ch 4 - Fig 4.3'!$B$47:$G$47</c:f>
              <c:strCache>
                <c:ptCount val="6"/>
                <c:pt idx="0">
                  <c:v>2007-08</c:v>
                </c:pt>
                <c:pt idx="1">
                  <c:v>2008-09</c:v>
                </c:pt>
                <c:pt idx="2">
                  <c:v>2009-10</c:v>
                </c:pt>
                <c:pt idx="3">
                  <c:v>2010-11</c:v>
                </c:pt>
                <c:pt idx="4">
                  <c:v>2011-12</c:v>
                </c:pt>
                <c:pt idx="5">
                  <c:v>2012-13</c:v>
                </c:pt>
              </c:strCache>
            </c:strRef>
          </c:cat>
          <c:val>
            <c:numRef>
              <c:f>'Ch 4 - Fig 4.3'!$B$52:$G$52</c:f>
              <c:numCache>
                <c:formatCode>0.0</c:formatCode>
                <c:ptCount val="6"/>
                <c:pt idx="0">
                  <c:v>0.17735436700000001</c:v>
                </c:pt>
                <c:pt idx="1">
                  <c:v>0.1563531275324743</c:v>
                </c:pt>
                <c:pt idx="2">
                  <c:v>0.15358158508236763</c:v>
                </c:pt>
                <c:pt idx="3">
                  <c:v>0.1182919214625464</c:v>
                </c:pt>
                <c:pt idx="4">
                  <c:v>0.16802699999999998</c:v>
                </c:pt>
                <c:pt idx="5">
                  <c:v>0.13451382913999999</c:v>
                </c:pt>
              </c:numCache>
            </c:numRef>
          </c:val>
        </c:ser>
        <c:ser>
          <c:idx val="5"/>
          <c:order val="5"/>
          <c:tx>
            <c:strRef>
              <c:f>'Ch 4 - Fig 4.3'!$A$53</c:f>
              <c:strCache>
                <c:ptCount val="1"/>
                <c:pt idx="0">
                  <c:v>Small business</c:v>
                </c:pt>
              </c:strCache>
            </c:strRef>
          </c:tx>
          <c:spPr>
            <a:solidFill>
              <a:srgbClr val="DFE8CE"/>
            </a:solidFill>
            <a:ln>
              <a:solidFill>
                <a:srgbClr val="B4C98B"/>
              </a:solidFill>
            </a:ln>
          </c:spPr>
          <c:invertIfNegative val="0"/>
          <c:cat>
            <c:strRef>
              <c:f>'Ch 4 - Fig 4.3'!$B$47:$G$47</c:f>
              <c:strCache>
                <c:ptCount val="6"/>
                <c:pt idx="0">
                  <c:v>2007-08</c:v>
                </c:pt>
                <c:pt idx="1">
                  <c:v>2008-09</c:v>
                </c:pt>
                <c:pt idx="2">
                  <c:v>2009-10</c:v>
                </c:pt>
                <c:pt idx="3">
                  <c:v>2010-11</c:v>
                </c:pt>
                <c:pt idx="4">
                  <c:v>2011-12</c:v>
                </c:pt>
                <c:pt idx="5">
                  <c:v>2012-13</c:v>
                </c:pt>
              </c:strCache>
            </c:strRef>
          </c:cat>
          <c:val>
            <c:numRef>
              <c:f>'Ch 4 - Fig 4.3'!$B$53:$G$53</c:f>
              <c:numCache>
                <c:formatCode>0.0</c:formatCode>
                <c:ptCount val="6"/>
                <c:pt idx="0">
                  <c:v>1.7784799999999985</c:v>
                </c:pt>
                <c:pt idx="1">
                  <c:v>2.3457720000000002</c:v>
                </c:pt>
                <c:pt idx="2">
                  <c:v>3.0518349999999996</c:v>
                </c:pt>
                <c:pt idx="3">
                  <c:v>3.9311399999999996</c:v>
                </c:pt>
                <c:pt idx="4">
                  <c:v>2.0821386446499992</c:v>
                </c:pt>
                <c:pt idx="5">
                  <c:v>1.7129775129400004</c:v>
                </c:pt>
              </c:numCache>
            </c:numRef>
          </c:val>
        </c:ser>
        <c:ser>
          <c:idx val="6"/>
          <c:order val="6"/>
          <c:tx>
            <c:strRef>
              <c:f>'Ch 4 - Fig 4.3'!$A$54</c:f>
              <c:strCache>
                <c:ptCount val="1"/>
                <c:pt idx="0">
                  <c:v>Other measures</c:v>
                </c:pt>
              </c:strCache>
            </c:strRef>
          </c:tx>
          <c:spPr>
            <a:pattFill prst="pct75">
              <a:fgClr>
                <a:srgbClr val="344893"/>
              </a:fgClr>
              <a:bgClr>
                <a:sysClr val="window" lastClr="FFFFFF"/>
              </a:bgClr>
            </a:pattFill>
            <a:ln>
              <a:solidFill>
                <a:srgbClr val="344893"/>
              </a:solidFill>
            </a:ln>
          </c:spPr>
          <c:invertIfNegative val="0"/>
          <c:cat>
            <c:strRef>
              <c:f>'Ch 4 - Fig 4.3'!$B$47:$G$47</c:f>
              <c:strCache>
                <c:ptCount val="6"/>
                <c:pt idx="0">
                  <c:v>2007-08</c:v>
                </c:pt>
                <c:pt idx="1">
                  <c:v>2008-09</c:v>
                </c:pt>
                <c:pt idx="2">
                  <c:v>2009-10</c:v>
                </c:pt>
                <c:pt idx="3">
                  <c:v>2010-11</c:v>
                </c:pt>
                <c:pt idx="4">
                  <c:v>2011-12</c:v>
                </c:pt>
                <c:pt idx="5">
                  <c:v>2012-13</c:v>
                </c:pt>
              </c:strCache>
            </c:strRef>
          </c:cat>
          <c:val>
            <c:numRef>
              <c:f>'Ch 4 - Fig 4.3'!$B$54:$G$54</c:f>
              <c:numCache>
                <c:formatCode>0.0</c:formatCode>
                <c:ptCount val="6"/>
                <c:pt idx="0">
                  <c:v>0.21348699999999998</c:v>
                </c:pt>
                <c:pt idx="1">
                  <c:v>0.1456394730698988</c:v>
                </c:pt>
                <c:pt idx="2">
                  <c:v>0.24925583899999998</c:v>
                </c:pt>
                <c:pt idx="3">
                  <c:v>0.34456208343</c:v>
                </c:pt>
                <c:pt idx="4">
                  <c:v>0.46240461400000005</c:v>
                </c:pt>
                <c:pt idx="5">
                  <c:v>0.33082322569</c:v>
                </c:pt>
              </c:numCache>
            </c:numRef>
          </c:val>
        </c:ser>
        <c:dLbls>
          <c:showLegendKey val="0"/>
          <c:showVal val="0"/>
          <c:showCatName val="0"/>
          <c:showSerName val="0"/>
          <c:showPercent val="0"/>
          <c:showBubbleSize val="0"/>
        </c:dLbls>
        <c:gapWidth val="49"/>
        <c:overlap val="100"/>
        <c:axId val="182920704"/>
        <c:axId val="182922240"/>
      </c:barChart>
      <c:catAx>
        <c:axId val="182920704"/>
        <c:scaling>
          <c:orientation val="minMax"/>
        </c:scaling>
        <c:delete val="0"/>
        <c:axPos val="b"/>
        <c:majorTickMark val="out"/>
        <c:minorTickMark val="none"/>
        <c:tickLblPos val="nextTo"/>
        <c:spPr>
          <a:ln w="9525">
            <a:solidFill>
              <a:sysClr val="window" lastClr="FFFFFF">
                <a:lumMod val="65000"/>
              </a:sysClr>
            </a:solidFill>
          </a:ln>
        </c:spPr>
        <c:txPr>
          <a:bodyPr rot="-2700000"/>
          <a:lstStyle/>
          <a:p>
            <a:pPr>
              <a:defRPr/>
            </a:pPr>
            <a:endParaRPr lang="en-US"/>
          </a:p>
        </c:txPr>
        <c:crossAx val="182922240"/>
        <c:crosses val="autoZero"/>
        <c:auto val="1"/>
        <c:lblAlgn val="ctr"/>
        <c:lblOffset val="100"/>
        <c:noMultiLvlLbl val="0"/>
      </c:catAx>
      <c:valAx>
        <c:axId val="182922240"/>
        <c:scaling>
          <c:orientation val="minMax"/>
          <c:max val="11"/>
          <c:min val="0"/>
        </c:scaling>
        <c:delete val="0"/>
        <c:axPos val="l"/>
        <c:majorGridlines>
          <c:spPr>
            <a:ln>
              <a:solidFill>
                <a:sysClr val="window" lastClr="FFFFFF">
                  <a:lumMod val="85000"/>
                </a:sysClr>
              </a:solidFill>
            </a:ln>
          </c:spPr>
        </c:majorGridlines>
        <c:title>
          <c:tx>
            <c:rich>
              <a:bodyPr rot="-5400000" vert="horz"/>
              <a:lstStyle/>
              <a:p>
                <a:pPr>
                  <a:defRPr/>
                </a:pPr>
                <a:r>
                  <a:rPr lang="en-AU"/>
                  <a:t>$ billion</a:t>
                </a:r>
              </a:p>
            </c:rich>
          </c:tx>
          <c:overlay val="0"/>
        </c:title>
        <c:numFmt formatCode="0" sourceLinked="0"/>
        <c:majorTickMark val="out"/>
        <c:minorTickMark val="none"/>
        <c:tickLblPos val="nextTo"/>
        <c:spPr>
          <a:ln w="9525">
            <a:solidFill>
              <a:sysClr val="window" lastClr="FFFFFF">
                <a:lumMod val="65000"/>
              </a:sysClr>
            </a:solidFill>
          </a:ln>
        </c:spPr>
        <c:crossAx val="182920704"/>
        <c:crosses val="autoZero"/>
        <c:crossBetween val="between"/>
      </c:valAx>
      <c:spPr>
        <a:noFill/>
        <a:ln>
          <a:noFill/>
        </a:ln>
      </c:spPr>
    </c:plotArea>
    <c:legend>
      <c:legendPos val="r"/>
      <c:layout>
        <c:manualLayout>
          <c:xMode val="edge"/>
          <c:yMode val="edge"/>
          <c:x val="0.75242236197298451"/>
          <c:y val="0.15949236111111112"/>
          <c:w val="0.23347299154554157"/>
          <c:h val="0.64573784722222216"/>
        </c:manualLayout>
      </c:layout>
      <c:overlay val="0"/>
      <c:spPr>
        <a:ln>
          <a:noFill/>
        </a:ln>
      </c:spPr>
      <c:txPr>
        <a:bodyPr/>
        <a:lstStyle/>
        <a:p>
          <a:pPr>
            <a:defRPr sz="900"/>
          </a:pPr>
          <a:endParaRPr lang="en-US"/>
        </a:p>
      </c:tx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'Ch 4 - Fig 4.4'!$B$4</c:f>
              <c:strCache>
                <c:ptCount val="1"/>
                <c:pt idx="0">
                  <c:v>2007-08</c:v>
                </c:pt>
              </c:strCache>
            </c:strRef>
          </c:tx>
          <c:spPr>
            <a:ln>
              <a:solidFill>
                <a:schemeClr val="tx1"/>
              </a:solidFill>
            </a:ln>
          </c:spPr>
          <c:dPt>
            <c:idx val="0"/>
            <c:bubble3D val="0"/>
            <c:spPr>
              <a:solidFill>
                <a:srgbClr val="78A22F"/>
              </a:solidFill>
              <a:ln>
                <a:solidFill>
                  <a:schemeClr val="tx1"/>
                </a:solidFill>
              </a:ln>
            </c:spPr>
          </c:dPt>
          <c:dPt>
            <c:idx val="1"/>
            <c:bubble3D val="0"/>
            <c:spPr>
              <a:solidFill>
                <a:srgbClr val="39580D"/>
              </a:solidFill>
              <a:ln>
                <a:solidFill>
                  <a:schemeClr val="tx1"/>
                </a:solidFill>
              </a:ln>
            </c:spPr>
          </c:dPt>
          <c:dPt>
            <c:idx val="2"/>
            <c:bubble3D val="0"/>
            <c:spPr>
              <a:solidFill>
                <a:srgbClr val="B4C98B"/>
              </a:solidFill>
              <a:ln>
                <a:solidFill>
                  <a:schemeClr val="tx1"/>
                </a:solidFill>
              </a:ln>
            </c:spPr>
          </c:dPt>
          <c:dPt>
            <c:idx val="3"/>
            <c:bubble3D val="0"/>
            <c:spPr>
              <a:solidFill>
                <a:srgbClr val="344893"/>
              </a:solidFill>
              <a:ln>
                <a:solidFill>
                  <a:schemeClr val="tx1"/>
                </a:solidFill>
              </a:ln>
            </c:spPr>
          </c:dPt>
          <c:dPt>
            <c:idx val="4"/>
            <c:bubble3D val="0"/>
            <c:spPr>
              <a:solidFill>
                <a:schemeClr val="bg1"/>
              </a:solidFill>
              <a:ln>
                <a:solidFill>
                  <a:schemeClr val="tx1"/>
                </a:solidFill>
              </a:ln>
            </c:spPr>
          </c:dPt>
          <c:dLbls>
            <c:dLbl>
              <c:idx val="1"/>
              <c:layout>
                <c:manualLayout>
                  <c:x val="0"/>
                  <c:y val="0.11608295354221715"/>
                </c:manualLayout>
              </c:layout>
              <c:tx>
                <c:rich>
                  <a:bodyPr/>
                  <a:lstStyle/>
                  <a:p>
                    <a:r>
                      <a:rPr lang="en-US" sz="800" baseline="0">
                        <a:latin typeface="Arial" pitchFamily="34" charset="0"/>
                        <a:cs typeface="Arial" pitchFamily="34" charset="0"/>
                      </a:rPr>
                      <a:t> </a:t>
                    </a:r>
                    <a:r>
                      <a:rPr lang="en-US" sz="900" baseline="0">
                        <a:latin typeface="Arial" pitchFamily="34" charset="0"/>
                        <a:cs typeface="Arial" pitchFamily="34" charset="0"/>
                      </a:rPr>
                      <a:t>Mining</a:t>
                    </a:r>
                  </a:p>
                  <a:p>
                    <a:r>
                      <a:rPr lang="en-US" sz="900" baseline="0">
                        <a:latin typeface="Arial" pitchFamily="34" charset="0"/>
                        <a:cs typeface="Arial" pitchFamily="34" charset="0"/>
                      </a:rPr>
                      <a:t>5%</a:t>
                    </a:r>
                    <a:endParaRPr lang="en-US" sz="900"/>
                  </a:p>
                </c:rich>
              </c:tx>
              <c:showLegendKey val="0"/>
              <c:showVal val="1"/>
              <c:showCatName val="0"/>
              <c:showSerName val="0"/>
              <c:showPercent val="0"/>
              <c:showBubbleSize val="0"/>
            </c:dLbl>
            <c:dLbl>
              <c:idx val="3"/>
              <c:layout>
                <c:manualLayout>
                  <c:x val="1.4571948998178506E-2"/>
                  <c:y val="0.15119061679790027"/>
                </c:manualLayout>
              </c:layout>
              <c:tx>
                <c:rich>
                  <a:bodyPr/>
                  <a:lstStyle/>
                  <a:p>
                    <a:r>
                      <a:rPr lang="en-US" sz="900" baseline="0">
                        <a:latin typeface="Arial" pitchFamily="34" charset="0"/>
                        <a:cs typeface="Arial" pitchFamily="34" charset="0"/>
                      </a:rPr>
                      <a:t>Services</a:t>
                    </a:r>
                  </a:p>
                  <a:p>
                    <a:r>
                      <a:rPr lang="en-US" sz="900" baseline="0">
                        <a:latin typeface="Arial" pitchFamily="34" charset="0"/>
                        <a:cs typeface="Arial" pitchFamily="34" charset="0"/>
                      </a:rPr>
                      <a:t>38%</a:t>
                    </a:r>
                    <a:endParaRPr lang="en-US" sz="900"/>
                  </a:p>
                </c:rich>
              </c:tx>
              <c:showLegendKey val="0"/>
              <c:showVal val="1"/>
              <c:showCatName val="0"/>
              <c:showSerName val="0"/>
              <c:showPercent val="0"/>
              <c:showBubbleSize val="0"/>
            </c:dLbl>
            <c:txPr>
              <a:bodyPr/>
              <a:lstStyle/>
              <a:p>
                <a:pPr>
                  <a:defRPr sz="800">
                    <a:latin typeface="Arial" pitchFamily="34" charset="0"/>
                    <a:cs typeface="Arial" pitchFamily="34" charset="0"/>
                  </a:defRPr>
                </a:pPr>
                <a:endParaRPr lang="en-US"/>
              </a:p>
            </c:txPr>
            <c:showLegendKey val="0"/>
            <c:showVal val="0"/>
            <c:showCatName val="0"/>
            <c:showSerName val="0"/>
            <c:showPercent val="0"/>
            <c:showBubbleSize val="0"/>
          </c:dLbls>
          <c:cat>
            <c:strRef>
              <c:f>'Ch 4 - Fig 4.4'!$A$5:$A$9</c:f>
              <c:strCache>
                <c:ptCount val="5"/>
                <c:pt idx="0">
                  <c:v>Primary industries</c:v>
                </c:pt>
                <c:pt idx="1">
                  <c:v>Mining</c:v>
                </c:pt>
                <c:pt idx="2">
                  <c:v>Manufacturing</c:v>
                </c:pt>
                <c:pt idx="3">
                  <c:v>Services</c:v>
                </c:pt>
                <c:pt idx="4">
                  <c:v>Unallocated</c:v>
                </c:pt>
              </c:strCache>
            </c:strRef>
          </c:cat>
          <c:val>
            <c:numRef>
              <c:f>'Ch 4 - Fig 4.4'!$B$5:$B$9</c:f>
              <c:numCache>
                <c:formatCode>0.0</c:formatCode>
                <c:ptCount val="5"/>
                <c:pt idx="0">
                  <c:v>2315.3617823646969</c:v>
                </c:pt>
                <c:pt idx="1">
                  <c:v>397.73158608348979</c:v>
                </c:pt>
                <c:pt idx="2">
                  <c:v>1687.8878895878509</c:v>
                </c:pt>
                <c:pt idx="3">
                  <c:v>3173.3535708685963</c:v>
                </c:pt>
                <c:pt idx="4">
                  <c:v>861.1109789054367</c:v>
                </c:pt>
              </c:numCache>
            </c:numRef>
          </c:val>
        </c:ser>
        <c:dLbls>
          <c:showLegendKey val="0"/>
          <c:showVal val="0"/>
          <c:showCatName val="0"/>
          <c:showSerName val="0"/>
          <c:showPercent val="0"/>
          <c:showBubbleSize val="0"/>
          <c:showLeaderLines val="1"/>
        </c:dLbls>
        <c:firstSliceAng val="0"/>
      </c:pieChart>
      <c:spPr>
        <a:noFill/>
      </c:spPr>
    </c:plotArea>
    <c:plotVisOnly val="1"/>
    <c:dispBlanksAs val="gap"/>
    <c:showDLblsOverMax val="0"/>
  </c:chart>
  <c:spPr>
    <a:ln>
      <a:noFill/>
    </a:ln>
  </c:spPr>
  <c:externalData r:id="rId2">
    <c:autoUpdate val="0"/>
  </c:externalData>
  <c:userShapes r:id="rId3"/>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'Ch 4 - Fig 4.4'!$C$4</c:f>
              <c:strCache>
                <c:ptCount val="1"/>
                <c:pt idx="0">
                  <c:v>2012-13</c:v>
                </c:pt>
              </c:strCache>
            </c:strRef>
          </c:tx>
          <c:spPr>
            <a:solidFill>
              <a:srgbClr val="78A22F"/>
            </a:solidFill>
            <a:ln>
              <a:solidFill>
                <a:schemeClr val="tx1"/>
              </a:solidFill>
            </a:ln>
          </c:spPr>
          <c:dPt>
            <c:idx val="0"/>
            <c:bubble3D val="0"/>
          </c:dPt>
          <c:dPt>
            <c:idx val="1"/>
            <c:bubble3D val="0"/>
            <c:spPr>
              <a:solidFill>
                <a:srgbClr val="39580D"/>
              </a:solidFill>
              <a:ln>
                <a:solidFill>
                  <a:schemeClr val="tx1"/>
                </a:solidFill>
              </a:ln>
            </c:spPr>
          </c:dPt>
          <c:dPt>
            <c:idx val="2"/>
            <c:bubble3D val="0"/>
            <c:spPr>
              <a:solidFill>
                <a:srgbClr val="B4C98B"/>
              </a:solidFill>
              <a:ln>
                <a:solidFill>
                  <a:schemeClr val="tx1"/>
                </a:solidFill>
              </a:ln>
            </c:spPr>
          </c:dPt>
          <c:dPt>
            <c:idx val="3"/>
            <c:bubble3D val="0"/>
            <c:spPr>
              <a:solidFill>
                <a:srgbClr val="344893"/>
              </a:solidFill>
              <a:ln>
                <a:solidFill>
                  <a:schemeClr val="tx1"/>
                </a:solidFill>
              </a:ln>
            </c:spPr>
          </c:dPt>
          <c:dPt>
            <c:idx val="4"/>
            <c:bubble3D val="0"/>
            <c:spPr>
              <a:solidFill>
                <a:schemeClr val="bg1"/>
              </a:solidFill>
              <a:ln>
                <a:solidFill>
                  <a:schemeClr val="tx1"/>
                </a:solidFill>
              </a:ln>
            </c:spPr>
          </c:dPt>
          <c:dLbls>
            <c:dLbl>
              <c:idx val="1"/>
              <c:layout>
                <c:manualLayout>
                  <c:x val="0"/>
                  <c:y val="-3.8029746281714752E-2"/>
                </c:manualLayout>
              </c:layout>
              <c:tx>
                <c:rich>
                  <a:bodyPr/>
                  <a:lstStyle/>
                  <a:p>
                    <a:r>
                      <a:rPr lang="en-US" sz="900" baseline="0">
                        <a:latin typeface="Arial" pitchFamily="34" charset="0"/>
                        <a:cs typeface="Arial" pitchFamily="34" charset="0"/>
                      </a:rPr>
                      <a:t> Mining</a:t>
                    </a:r>
                  </a:p>
                  <a:p>
                    <a:r>
                      <a:rPr lang="en-US" sz="900" baseline="0">
                        <a:latin typeface="Arial" pitchFamily="34" charset="0"/>
                        <a:cs typeface="Arial" pitchFamily="34" charset="0"/>
                      </a:rPr>
                      <a:t>7%</a:t>
                    </a:r>
                    <a:endParaRPr lang="en-US" sz="900"/>
                  </a:p>
                </c:rich>
              </c:tx>
              <c:showLegendKey val="0"/>
              <c:showVal val="1"/>
              <c:showCatName val="0"/>
              <c:showSerName val="0"/>
              <c:showPercent val="0"/>
              <c:showBubbleSize val="0"/>
            </c:dLbl>
            <c:dLbl>
              <c:idx val="3"/>
              <c:layout>
                <c:manualLayout>
                  <c:x val="-4.7358834244080147E-2"/>
                  <c:y val="-3.576771653543307E-3"/>
                </c:manualLayout>
              </c:layout>
              <c:tx>
                <c:rich>
                  <a:bodyPr/>
                  <a:lstStyle/>
                  <a:p>
                    <a:r>
                      <a:rPr lang="en-US" sz="900" baseline="0">
                        <a:latin typeface="Arial" pitchFamily="34" charset="0"/>
                        <a:cs typeface="Arial" pitchFamily="34" charset="0"/>
                      </a:rPr>
                      <a:t>Services</a:t>
                    </a:r>
                  </a:p>
                  <a:p>
                    <a:r>
                      <a:rPr lang="en-US" sz="900" baseline="0">
                        <a:latin typeface="Arial" pitchFamily="34" charset="0"/>
                        <a:cs typeface="Arial" pitchFamily="34" charset="0"/>
                      </a:rPr>
                      <a:t>43%</a:t>
                    </a:r>
                    <a:endParaRPr lang="en-US" sz="900"/>
                  </a:p>
                </c:rich>
              </c:tx>
              <c:showLegendKey val="0"/>
              <c:showVal val="1"/>
              <c:showCatName val="0"/>
              <c:showSerName val="0"/>
              <c:showPercent val="0"/>
              <c:showBubbleSize val="0"/>
            </c:dLbl>
            <c:txPr>
              <a:bodyPr/>
              <a:lstStyle/>
              <a:p>
                <a:pPr>
                  <a:defRPr sz="900">
                    <a:latin typeface="Arial" pitchFamily="34" charset="0"/>
                    <a:cs typeface="Arial" pitchFamily="34" charset="0"/>
                  </a:defRPr>
                </a:pPr>
                <a:endParaRPr lang="en-US"/>
              </a:p>
            </c:txPr>
            <c:showLegendKey val="0"/>
            <c:showVal val="0"/>
            <c:showCatName val="0"/>
            <c:showSerName val="0"/>
            <c:showPercent val="0"/>
            <c:showBubbleSize val="0"/>
          </c:dLbls>
          <c:cat>
            <c:strRef>
              <c:f>'Ch 4 - Fig 4.4'!$A$5:$A$9</c:f>
              <c:strCache>
                <c:ptCount val="5"/>
                <c:pt idx="0">
                  <c:v>Primary industries</c:v>
                </c:pt>
                <c:pt idx="1">
                  <c:v>Mining</c:v>
                </c:pt>
                <c:pt idx="2">
                  <c:v>Manufacturing</c:v>
                </c:pt>
                <c:pt idx="3">
                  <c:v>Services</c:v>
                </c:pt>
                <c:pt idx="4">
                  <c:v>Unallocated</c:v>
                </c:pt>
              </c:strCache>
            </c:strRef>
          </c:cat>
          <c:val>
            <c:numRef>
              <c:f>'Ch 4 - Fig 4.4'!$C$5:$C$9</c:f>
              <c:numCache>
                <c:formatCode>0.0</c:formatCode>
                <c:ptCount val="5"/>
                <c:pt idx="0">
                  <c:v>1132.741724168357</c:v>
                </c:pt>
                <c:pt idx="1">
                  <c:v>546.45276277815833</c:v>
                </c:pt>
                <c:pt idx="2">
                  <c:v>1609.2063195036062</c:v>
                </c:pt>
                <c:pt idx="3">
                  <c:v>3326.7402158816872</c:v>
                </c:pt>
                <c:pt idx="4">
                  <c:v>1155.8104981870185</c:v>
                </c:pt>
              </c:numCache>
            </c:numRef>
          </c:val>
        </c:ser>
        <c:dLbls>
          <c:showLegendKey val="0"/>
          <c:showVal val="0"/>
          <c:showCatName val="0"/>
          <c:showSerName val="0"/>
          <c:showPercent val="0"/>
          <c:showBubbleSize val="0"/>
          <c:showLeaderLines val="1"/>
        </c:dLbls>
        <c:firstSliceAng val="0"/>
      </c:pieChart>
      <c:spPr>
        <a:noFill/>
      </c:spPr>
    </c:plotArea>
    <c:plotVisOnly val="1"/>
    <c:dispBlanksAs val="gap"/>
    <c:showDLblsOverMax val="0"/>
  </c:chart>
  <c:spPr>
    <a:ln>
      <a:noFill/>
    </a:ln>
  </c:spPr>
  <c:externalData r:id="rId2">
    <c:autoUpdate val="0"/>
  </c:externalData>
  <c:userShapes r:id="rId3"/>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'Ch 4 - Fig 4.4'!$B$39</c:f>
              <c:strCache>
                <c:ptCount val="1"/>
                <c:pt idx="0">
                  <c:v>2007-08</c:v>
                </c:pt>
              </c:strCache>
            </c:strRef>
          </c:tx>
          <c:spPr>
            <a:solidFill>
              <a:srgbClr val="78A22F"/>
            </a:solidFill>
            <a:ln>
              <a:solidFill>
                <a:schemeClr val="tx1"/>
              </a:solidFill>
            </a:ln>
          </c:spPr>
          <c:dPt>
            <c:idx val="0"/>
            <c:bubble3D val="0"/>
          </c:dPt>
          <c:dPt>
            <c:idx val="1"/>
            <c:bubble3D val="0"/>
            <c:spPr>
              <a:solidFill>
                <a:srgbClr val="39580D"/>
              </a:solidFill>
              <a:ln>
                <a:solidFill>
                  <a:schemeClr val="tx1"/>
                </a:solidFill>
              </a:ln>
            </c:spPr>
          </c:dPt>
          <c:dPt>
            <c:idx val="2"/>
            <c:bubble3D val="0"/>
            <c:spPr>
              <a:solidFill>
                <a:srgbClr val="B4C98B"/>
              </a:solidFill>
              <a:ln>
                <a:solidFill>
                  <a:schemeClr val="tx1"/>
                </a:solidFill>
              </a:ln>
            </c:spPr>
          </c:dPt>
          <c:dPt>
            <c:idx val="3"/>
            <c:bubble3D val="0"/>
            <c:spPr>
              <a:solidFill>
                <a:srgbClr val="344893"/>
              </a:solidFill>
              <a:ln>
                <a:solidFill>
                  <a:schemeClr val="tx1"/>
                </a:solidFill>
              </a:ln>
            </c:spPr>
          </c:dPt>
          <c:dPt>
            <c:idx val="4"/>
            <c:bubble3D val="0"/>
          </c:dPt>
          <c:dLbls>
            <c:dLbl>
              <c:idx val="1"/>
              <c:layout>
                <c:manualLayout>
                  <c:x val="-4.8816143883653886E-2"/>
                  <c:y val="-6.0252260134149895E-2"/>
                </c:manualLayout>
              </c:layout>
              <c:tx>
                <c:rich>
                  <a:bodyPr/>
                  <a:lstStyle/>
                  <a:p>
                    <a:r>
                      <a:rPr lang="en-US" sz="800" baseline="0">
                        <a:latin typeface="Arial" pitchFamily="34" charset="0"/>
                        <a:cs typeface="Arial" pitchFamily="34" charset="0"/>
                      </a:rPr>
                      <a:t> </a:t>
                    </a:r>
                    <a:r>
                      <a:rPr lang="en-US" sz="900" baseline="0">
                        <a:latin typeface="Arial" pitchFamily="34" charset="0"/>
                        <a:cs typeface="Arial" pitchFamily="34" charset="0"/>
                      </a:rPr>
                      <a:t>Mining</a:t>
                    </a:r>
                  </a:p>
                  <a:p>
                    <a:r>
                      <a:rPr lang="en-US" sz="900" baseline="0">
                        <a:latin typeface="Arial" pitchFamily="34" charset="0"/>
                        <a:cs typeface="Arial" pitchFamily="34" charset="0"/>
                      </a:rPr>
                      <a:t>8%</a:t>
                    </a:r>
                    <a:endParaRPr lang="en-US" sz="900"/>
                  </a:p>
                </c:rich>
              </c:tx>
              <c:showLegendKey val="0"/>
              <c:showVal val="1"/>
              <c:showCatName val="0"/>
              <c:showSerName val="0"/>
              <c:showPercent val="0"/>
              <c:showBubbleSize val="0"/>
            </c:dLbl>
            <c:dLbl>
              <c:idx val="3"/>
              <c:layout>
                <c:manualLayout>
                  <c:x val="1.4570801600619595E-3"/>
                  <c:y val="1.7357830271216099E-2"/>
                </c:manualLayout>
              </c:layout>
              <c:tx>
                <c:rich>
                  <a:bodyPr/>
                  <a:lstStyle/>
                  <a:p>
                    <a:r>
                      <a:rPr lang="en-US" sz="900" baseline="0">
                        <a:latin typeface="Arial" pitchFamily="34" charset="0"/>
                        <a:cs typeface="Arial" pitchFamily="34" charset="0"/>
                      </a:rPr>
                      <a:t>Services</a:t>
                    </a:r>
                  </a:p>
                  <a:p>
                    <a:r>
                      <a:rPr lang="en-US" sz="900" baseline="0">
                        <a:latin typeface="Arial" pitchFamily="34" charset="0"/>
                        <a:cs typeface="Arial" pitchFamily="34" charset="0"/>
                      </a:rPr>
                      <a:t>80%</a:t>
                    </a:r>
                    <a:endParaRPr lang="en-US" sz="900"/>
                  </a:p>
                </c:rich>
              </c:tx>
              <c:showLegendKey val="0"/>
              <c:showVal val="1"/>
              <c:showCatName val="0"/>
              <c:showSerName val="0"/>
              <c:showPercent val="0"/>
              <c:showBubbleSize val="0"/>
            </c:dLbl>
            <c:dLbl>
              <c:idx val="4"/>
              <c:layout>
                <c:manualLayout>
                  <c:x val="-7.4844742767809766E-2"/>
                  <c:y val="1.9178477690288711E-2"/>
                </c:manualLayout>
              </c:layout>
              <c:tx>
                <c:rich>
                  <a:bodyPr/>
                  <a:lstStyle/>
                  <a:p>
                    <a:r>
                      <a:rPr lang="en-US" sz="900">
                        <a:latin typeface="Arial" pitchFamily="34" charset="0"/>
                        <a:cs typeface="Arial" pitchFamily="34" charset="0"/>
                      </a:rPr>
                      <a:t>Unalloc-ated</a:t>
                    </a:r>
                  </a:p>
                  <a:p>
                    <a:r>
                      <a:rPr lang="en-US" sz="900">
                        <a:latin typeface="Arial" pitchFamily="34" charset="0"/>
                        <a:cs typeface="Arial" pitchFamily="34" charset="0"/>
                      </a:rPr>
                      <a:t>10%</a:t>
                    </a:r>
                    <a:endParaRPr lang="en-US" sz="900"/>
                  </a:p>
                </c:rich>
              </c:tx>
              <c:showLegendKey val="0"/>
              <c:showVal val="1"/>
              <c:showCatName val="0"/>
              <c:showSerName val="0"/>
              <c:showPercent val="0"/>
              <c:showBubbleSize val="0"/>
            </c:dLbl>
            <c:txPr>
              <a:bodyPr/>
              <a:lstStyle/>
              <a:p>
                <a:pPr>
                  <a:defRPr sz="800">
                    <a:latin typeface="Arial" pitchFamily="34" charset="0"/>
                    <a:cs typeface="Arial" pitchFamily="34" charset="0"/>
                  </a:defRPr>
                </a:pPr>
                <a:endParaRPr lang="en-US"/>
              </a:p>
            </c:txPr>
            <c:showLegendKey val="0"/>
            <c:showVal val="0"/>
            <c:showCatName val="0"/>
            <c:showSerName val="0"/>
            <c:showPercent val="0"/>
            <c:showBubbleSize val="0"/>
          </c:dLbls>
          <c:cat>
            <c:strRef>
              <c:f>'Ch 4 - Fig 4.4'!$A$40:$A$43</c:f>
              <c:strCache>
                <c:ptCount val="4"/>
                <c:pt idx="0">
                  <c:v>Primary industries</c:v>
                </c:pt>
                <c:pt idx="1">
                  <c:v>Mining</c:v>
                </c:pt>
                <c:pt idx="2">
                  <c:v>Manufacturing</c:v>
                </c:pt>
                <c:pt idx="3">
                  <c:v>Services</c:v>
                </c:pt>
              </c:strCache>
            </c:strRef>
          </c:cat>
          <c:val>
            <c:numRef>
              <c:f>'Ch 4 - Fig 4.4'!$B$40:$B$43</c:f>
              <c:numCache>
                <c:formatCode>0.0</c:formatCode>
                <c:ptCount val="4"/>
                <c:pt idx="0">
                  <c:v>27438</c:v>
                </c:pt>
                <c:pt idx="1">
                  <c:v>83691</c:v>
                </c:pt>
                <c:pt idx="2">
                  <c:v>108754</c:v>
                </c:pt>
                <c:pt idx="3">
                  <c:v>869232</c:v>
                </c:pt>
              </c:numCache>
            </c:numRef>
          </c:val>
        </c:ser>
        <c:dLbls>
          <c:showLegendKey val="0"/>
          <c:showVal val="0"/>
          <c:showCatName val="0"/>
          <c:showSerName val="0"/>
          <c:showPercent val="0"/>
          <c:showBubbleSize val="0"/>
          <c:showLeaderLines val="1"/>
        </c:dLbls>
        <c:firstSliceAng val="0"/>
      </c:pieChart>
      <c:spPr>
        <a:noFill/>
      </c:spPr>
    </c:plotArea>
    <c:plotVisOnly val="1"/>
    <c:dispBlanksAs val="gap"/>
    <c:showDLblsOverMax val="0"/>
  </c:chart>
  <c:spPr>
    <a:ln>
      <a:noFill/>
    </a:ln>
  </c:spPr>
  <c:externalData r:id="rId2">
    <c:autoUpdate val="0"/>
  </c:externalData>
  <c:userShapes r:id="rId3"/>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'Ch 4 - Fig 4.4'!$C$39</c:f>
              <c:strCache>
                <c:ptCount val="1"/>
                <c:pt idx="0">
                  <c:v>2012-13</c:v>
                </c:pt>
              </c:strCache>
            </c:strRef>
          </c:tx>
          <c:spPr>
            <a:ln>
              <a:solidFill>
                <a:schemeClr val="tx1"/>
              </a:solidFill>
            </a:ln>
          </c:spPr>
          <c:dPt>
            <c:idx val="0"/>
            <c:bubble3D val="0"/>
            <c:spPr>
              <a:solidFill>
                <a:srgbClr val="78A22F"/>
              </a:solidFill>
              <a:ln>
                <a:solidFill>
                  <a:schemeClr val="tx1"/>
                </a:solidFill>
              </a:ln>
            </c:spPr>
          </c:dPt>
          <c:dPt>
            <c:idx val="1"/>
            <c:bubble3D val="0"/>
            <c:spPr>
              <a:solidFill>
                <a:srgbClr val="39580D"/>
              </a:solidFill>
              <a:ln>
                <a:solidFill>
                  <a:schemeClr val="tx1"/>
                </a:solidFill>
              </a:ln>
            </c:spPr>
          </c:dPt>
          <c:dPt>
            <c:idx val="2"/>
            <c:bubble3D val="0"/>
            <c:spPr>
              <a:solidFill>
                <a:srgbClr val="B4C98B"/>
              </a:solidFill>
              <a:ln>
                <a:solidFill>
                  <a:schemeClr val="tx1"/>
                </a:solidFill>
              </a:ln>
            </c:spPr>
          </c:dPt>
          <c:dPt>
            <c:idx val="3"/>
            <c:bubble3D val="0"/>
            <c:spPr>
              <a:solidFill>
                <a:srgbClr val="344893"/>
              </a:solidFill>
              <a:ln>
                <a:solidFill>
                  <a:schemeClr val="tx1"/>
                </a:solidFill>
              </a:ln>
            </c:spPr>
          </c:dPt>
          <c:dPt>
            <c:idx val="4"/>
            <c:bubble3D val="0"/>
            <c:spPr>
              <a:solidFill>
                <a:schemeClr val="bg1"/>
              </a:solidFill>
              <a:ln>
                <a:solidFill>
                  <a:schemeClr val="tx1"/>
                </a:solidFill>
              </a:ln>
            </c:spPr>
          </c:dPt>
          <c:dLbls>
            <c:dLbl>
              <c:idx val="1"/>
              <c:layout>
                <c:manualLayout>
                  <c:x val="-6.1930897982014545E-2"/>
                  <c:y val="-6.3955963837853597E-2"/>
                </c:manualLayout>
              </c:layout>
              <c:tx>
                <c:rich>
                  <a:bodyPr/>
                  <a:lstStyle/>
                  <a:p>
                    <a:r>
                      <a:rPr lang="en-US" sz="800" baseline="0">
                        <a:latin typeface="Arial" pitchFamily="34" charset="0"/>
                        <a:cs typeface="Arial" pitchFamily="34" charset="0"/>
                      </a:rPr>
                      <a:t> </a:t>
                    </a:r>
                    <a:r>
                      <a:rPr lang="en-US" sz="900" baseline="0">
                        <a:latin typeface="Arial" pitchFamily="34" charset="0"/>
                        <a:cs typeface="Arial" pitchFamily="34" charset="0"/>
                      </a:rPr>
                      <a:t>Mining</a:t>
                    </a:r>
                  </a:p>
                  <a:p>
                    <a:r>
                      <a:rPr lang="en-US" sz="900" baseline="0">
                        <a:latin typeface="Arial" pitchFamily="34" charset="0"/>
                        <a:cs typeface="Arial" pitchFamily="34" charset="0"/>
                      </a:rPr>
                      <a:t>9%</a:t>
                    </a:r>
                    <a:endParaRPr lang="en-US" sz="900"/>
                  </a:p>
                </c:rich>
              </c:tx>
              <c:showLegendKey val="0"/>
              <c:showVal val="1"/>
              <c:showCatName val="0"/>
              <c:showSerName val="0"/>
              <c:showPercent val="0"/>
              <c:showBubbleSize val="0"/>
            </c:dLbl>
            <c:dLbl>
              <c:idx val="3"/>
              <c:layout>
                <c:manualLayout>
                  <c:x val="-2.9872724925777711E-2"/>
                  <c:y val="-3.5768445610965295E-3"/>
                </c:manualLayout>
              </c:layout>
              <c:tx>
                <c:rich>
                  <a:bodyPr/>
                  <a:lstStyle/>
                  <a:p>
                    <a:r>
                      <a:rPr lang="en-US" sz="900" baseline="0">
                        <a:latin typeface="Arial" pitchFamily="34" charset="0"/>
                        <a:cs typeface="Arial" pitchFamily="34" charset="0"/>
                      </a:rPr>
                      <a:t>Services</a:t>
                    </a:r>
                  </a:p>
                  <a:p>
                    <a:r>
                      <a:rPr lang="en-US" sz="900" baseline="0">
                        <a:latin typeface="Arial" pitchFamily="34" charset="0"/>
                        <a:cs typeface="Arial" pitchFamily="34" charset="0"/>
                      </a:rPr>
                      <a:t>82%</a:t>
                    </a:r>
                    <a:endParaRPr lang="en-US" sz="900"/>
                  </a:p>
                </c:rich>
              </c:tx>
              <c:showLegendKey val="0"/>
              <c:showVal val="1"/>
              <c:showCatName val="0"/>
              <c:showSerName val="0"/>
              <c:showPercent val="0"/>
              <c:showBubbleSize val="0"/>
            </c:dLbl>
            <c:dLbl>
              <c:idx val="4"/>
              <c:layout>
                <c:manualLayout>
                  <c:x val="-2.7485908523729615E-2"/>
                  <c:y val="3.1678477690288712E-2"/>
                </c:manualLayout>
              </c:layout>
              <c:tx>
                <c:rich>
                  <a:bodyPr/>
                  <a:lstStyle/>
                  <a:p>
                    <a:r>
                      <a:rPr lang="en-US" sz="900">
                        <a:latin typeface="Arial" pitchFamily="34" charset="0"/>
                        <a:cs typeface="Arial" pitchFamily="34" charset="0"/>
                      </a:rPr>
                      <a:t>Unalloc-ated</a:t>
                    </a:r>
                  </a:p>
                  <a:p>
                    <a:r>
                      <a:rPr lang="en-US" sz="900">
                        <a:latin typeface="Arial" pitchFamily="34" charset="0"/>
                        <a:cs typeface="Arial" pitchFamily="34" charset="0"/>
                      </a:rPr>
                      <a:t>15%</a:t>
                    </a:r>
                    <a:endParaRPr lang="en-US" sz="900"/>
                  </a:p>
                </c:rich>
              </c:tx>
              <c:showLegendKey val="0"/>
              <c:showVal val="1"/>
              <c:showCatName val="0"/>
              <c:showSerName val="0"/>
              <c:showPercent val="0"/>
              <c:showBubbleSize val="0"/>
            </c:dLbl>
            <c:txPr>
              <a:bodyPr/>
              <a:lstStyle/>
              <a:p>
                <a:pPr>
                  <a:defRPr sz="800">
                    <a:latin typeface="Arial" pitchFamily="34" charset="0"/>
                    <a:cs typeface="Arial" pitchFamily="34" charset="0"/>
                  </a:defRPr>
                </a:pPr>
                <a:endParaRPr lang="en-US"/>
              </a:p>
            </c:txPr>
            <c:showLegendKey val="0"/>
            <c:showVal val="0"/>
            <c:showCatName val="0"/>
            <c:showSerName val="0"/>
            <c:showPercent val="0"/>
            <c:showBubbleSize val="0"/>
          </c:dLbls>
          <c:cat>
            <c:strRef>
              <c:f>'Ch 4 - Fig 4.4'!$A$40:$A$43</c:f>
              <c:strCache>
                <c:ptCount val="4"/>
                <c:pt idx="0">
                  <c:v>Primary industries</c:v>
                </c:pt>
                <c:pt idx="1">
                  <c:v>Mining</c:v>
                </c:pt>
                <c:pt idx="2">
                  <c:v>Manufacturing</c:v>
                </c:pt>
                <c:pt idx="3">
                  <c:v>Services</c:v>
                </c:pt>
              </c:strCache>
            </c:strRef>
          </c:cat>
          <c:val>
            <c:numRef>
              <c:f>'Ch 4 - Fig 4.4'!$C$40:$C$43</c:f>
              <c:numCache>
                <c:formatCode>0.0</c:formatCode>
                <c:ptCount val="4"/>
                <c:pt idx="0">
                  <c:v>34190</c:v>
                </c:pt>
                <c:pt idx="1">
                  <c:v>122028</c:v>
                </c:pt>
                <c:pt idx="2">
                  <c:v>101427</c:v>
                </c:pt>
                <c:pt idx="3">
                  <c:v>1165536</c:v>
                </c:pt>
              </c:numCache>
            </c:numRef>
          </c:val>
        </c:ser>
        <c:dLbls>
          <c:showLegendKey val="0"/>
          <c:showVal val="0"/>
          <c:showCatName val="0"/>
          <c:showSerName val="0"/>
          <c:showPercent val="0"/>
          <c:showBubbleSize val="0"/>
          <c:showLeaderLines val="1"/>
        </c:dLbls>
        <c:firstSliceAng val="0"/>
      </c:pieChart>
      <c:spPr>
        <a:noFill/>
      </c:spPr>
    </c:plotArea>
    <c:plotVisOnly val="1"/>
    <c:dispBlanksAs val="gap"/>
    <c:showDLblsOverMax val="0"/>
  </c:chart>
  <c:spPr>
    <a:ln>
      <a:noFill/>
    </a:ln>
  </c:spPr>
  <c:externalData r:id="rId2">
    <c:autoUpdate val="0"/>
  </c:externalData>
  <c:userShapes r:id="rId3"/>
</c:chartSpace>
</file>

<file path=word/drawings/drawing1.xml><?xml version="1.0" encoding="utf-8"?>
<c:userShapes xmlns:c="http://schemas.openxmlformats.org/drawingml/2006/chart">
  <cdr:relSizeAnchor xmlns:cdr="http://schemas.openxmlformats.org/drawingml/2006/chartDrawing">
    <cdr:from>
      <cdr:x>0.00353</cdr:x>
      <cdr:y>0.38034</cdr:y>
    </cdr:from>
    <cdr:to>
      <cdr:x>0.06703</cdr:x>
      <cdr:y>0.56203</cdr:y>
    </cdr:to>
    <cdr:sp macro="" textlink="">
      <cdr:nvSpPr>
        <cdr:cNvPr id="2" name="TextBox 1"/>
        <cdr:cNvSpPr txBox="1"/>
      </cdr:nvSpPr>
      <cdr:spPr>
        <a:xfrm xmlns:a="http://schemas.openxmlformats.org/drawingml/2006/main">
          <a:off x="19266" y="1430982"/>
          <a:ext cx="346572" cy="683569"/>
        </a:xfrm>
        <a:prstGeom xmlns:a="http://schemas.openxmlformats.org/drawingml/2006/main" prst="rect">
          <a:avLst/>
        </a:prstGeom>
      </cdr:spPr>
      <cdr:txBody>
        <a:bodyPr xmlns:a="http://schemas.openxmlformats.org/drawingml/2006/main" vertOverflow="clip" vert="vert270" wrap="square" rtlCol="0"/>
        <a:lstStyle xmlns:a="http://schemas.openxmlformats.org/drawingml/2006/main"/>
        <a:p xmlns:a="http://schemas.openxmlformats.org/drawingml/2006/main">
          <a:r>
            <a:rPr lang="en-AU" sz="900" b="1">
              <a:latin typeface="Arial" panose="020B0604020202020204" pitchFamily="34" charset="0"/>
              <a:cs typeface="Arial" panose="020B0604020202020204" pitchFamily="34" charset="0"/>
            </a:rPr>
            <a:t>$ billion</a:t>
          </a:r>
        </a:p>
      </cdr:txBody>
    </cdr:sp>
  </cdr:relSizeAnchor>
</c:userShapes>
</file>

<file path=word/drawings/drawing2.xml><?xml version="1.0" encoding="utf-8"?>
<c:userShapes xmlns:c="http://schemas.openxmlformats.org/drawingml/2006/chart">
  <cdr:relSizeAnchor xmlns:cdr="http://schemas.openxmlformats.org/drawingml/2006/chartDrawing">
    <cdr:from>
      <cdr:x>0.06557</cdr:x>
      <cdr:y>0.09167</cdr:y>
    </cdr:from>
    <cdr:to>
      <cdr:x>0.37377</cdr:x>
      <cdr:y>0.20278</cdr:y>
    </cdr:to>
    <cdr:sp macro="" textlink="">
      <cdr:nvSpPr>
        <cdr:cNvPr id="2" name="TextBox 1"/>
        <cdr:cNvSpPr txBox="1"/>
      </cdr:nvSpPr>
      <cdr:spPr>
        <a:xfrm xmlns:a="http://schemas.openxmlformats.org/drawingml/2006/main">
          <a:off x="190500" y="314325"/>
          <a:ext cx="895350" cy="38100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r>
            <a:rPr lang="en-AU" sz="900">
              <a:latin typeface="Arial" panose="020B0604020202020204" pitchFamily="34" charset="0"/>
              <a:cs typeface="Arial" panose="020B0604020202020204" pitchFamily="34" charset="0"/>
            </a:rPr>
            <a:t>Unallocated</a:t>
          </a:r>
        </a:p>
        <a:p xmlns:a="http://schemas.openxmlformats.org/drawingml/2006/main">
          <a:pPr algn="ctr"/>
          <a:r>
            <a:rPr lang="en-AU" sz="900">
              <a:latin typeface="Arial" panose="020B0604020202020204" pitchFamily="34" charset="0"/>
              <a:cs typeface="Arial" panose="020B0604020202020204" pitchFamily="34" charset="0"/>
            </a:rPr>
            <a:t>10%</a:t>
          </a:r>
        </a:p>
      </cdr:txBody>
    </cdr:sp>
  </cdr:relSizeAnchor>
  <cdr:relSizeAnchor xmlns:cdr="http://schemas.openxmlformats.org/drawingml/2006/chartDrawing">
    <cdr:from>
      <cdr:x>0.31148</cdr:x>
      <cdr:y>0.16389</cdr:y>
    </cdr:from>
    <cdr:to>
      <cdr:x>0.38033</cdr:x>
      <cdr:y>0.18611</cdr:y>
    </cdr:to>
    <cdr:cxnSp macro="">
      <cdr:nvCxnSpPr>
        <cdr:cNvPr id="4" name="Straight Connector 3"/>
        <cdr:cNvCxnSpPr/>
      </cdr:nvCxnSpPr>
      <cdr:spPr>
        <a:xfrm xmlns:a="http://schemas.openxmlformats.org/drawingml/2006/main">
          <a:off x="904875" y="561975"/>
          <a:ext cx="200025" cy="76200"/>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0.62732</cdr:x>
      <cdr:y>0.85093</cdr:y>
    </cdr:from>
    <cdr:to>
      <cdr:x>0.97049</cdr:x>
      <cdr:y>0.96204</cdr:y>
    </cdr:to>
    <cdr:sp macro="" textlink="">
      <cdr:nvSpPr>
        <cdr:cNvPr id="6" name="TextBox 1"/>
        <cdr:cNvSpPr txBox="1"/>
      </cdr:nvSpPr>
      <cdr:spPr>
        <a:xfrm xmlns:a="http://schemas.openxmlformats.org/drawingml/2006/main">
          <a:off x="1822450" y="2917825"/>
          <a:ext cx="996950" cy="381000"/>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en-AU" sz="900">
              <a:latin typeface="Arial" panose="020B0604020202020204" pitchFamily="34" charset="0"/>
              <a:cs typeface="Arial" panose="020B0604020202020204" pitchFamily="34" charset="0"/>
            </a:rPr>
            <a:t>Manufacturing</a:t>
          </a:r>
        </a:p>
        <a:p xmlns:a="http://schemas.openxmlformats.org/drawingml/2006/main">
          <a:pPr algn="ctr"/>
          <a:r>
            <a:rPr lang="en-AU" sz="900">
              <a:latin typeface="Arial" panose="020B0604020202020204" pitchFamily="34" charset="0"/>
              <a:cs typeface="Arial" panose="020B0604020202020204" pitchFamily="34" charset="0"/>
            </a:rPr>
            <a:t>20%</a:t>
          </a:r>
        </a:p>
      </cdr:txBody>
    </cdr:sp>
  </cdr:relSizeAnchor>
  <cdr:relSizeAnchor xmlns:cdr="http://schemas.openxmlformats.org/drawingml/2006/chartDrawing">
    <cdr:from>
      <cdr:x>0.6929</cdr:x>
      <cdr:y>0.78981</cdr:y>
    </cdr:from>
    <cdr:to>
      <cdr:x>0.7541</cdr:x>
      <cdr:y>0.84444</cdr:y>
    </cdr:to>
    <cdr:cxnSp macro="">
      <cdr:nvCxnSpPr>
        <cdr:cNvPr id="7" name="Straight Connector 6"/>
        <cdr:cNvCxnSpPr/>
      </cdr:nvCxnSpPr>
      <cdr:spPr>
        <a:xfrm xmlns:a="http://schemas.openxmlformats.org/drawingml/2006/main">
          <a:off x="2012950" y="2708275"/>
          <a:ext cx="177800" cy="187325"/>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0.77377</cdr:x>
      <cdr:y>0.18056</cdr:y>
    </cdr:from>
    <cdr:to>
      <cdr:x>0.80164</cdr:x>
      <cdr:y>0.26667</cdr:y>
    </cdr:to>
    <cdr:cxnSp macro="">
      <cdr:nvCxnSpPr>
        <cdr:cNvPr id="8" name="Straight Connector 7"/>
        <cdr:cNvCxnSpPr>
          <a:stCxn xmlns:a="http://schemas.openxmlformats.org/drawingml/2006/main" id="3" idx="2"/>
        </cdr:cNvCxnSpPr>
      </cdr:nvCxnSpPr>
      <cdr:spPr>
        <a:xfrm xmlns:a="http://schemas.openxmlformats.org/drawingml/2006/main" flipH="1">
          <a:off x="2116711" y="579814"/>
          <a:ext cx="76240" cy="276515"/>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0.64918</cdr:x>
      <cdr:y>0.01483</cdr:y>
    </cdr:from>
    <cdr:to>
      <cdr:x>0.9541</cdr:x>
      <cdr:y>0.18056</cdr:y>
    </cdr:to>
    <cdr:sp macro="" textlink="">
      <cdr:nvSpPr>
        <cdr:cNvPr id="3" name="TextBox 2"/>
        <cdr:cNvSpPr txBox="1"/>
      </cdr:nvSpPr>
      <cdr:spPr>
        <a:xfrm xmlns:a="http://schemas.openxmlformats.org/drawingml/2006/main">
          <a:off x="1775884" y="47626"/>
          <a:ext cx="834133" cy="53218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r>
            <a:rPr lang="en-AU" sz="900">
              <a:latin typeface="Arial" panose="020B0604020202020204" pitchFamily="34" charset="0"/>
              <a:cs typeface="Arial" panose="020B0604020202020204" pitchFamily="34" charset="0"/>
            </a:rPr>
            <a:t>Primary production 27%</a:t>
          </a:r>
        </a:p>
      </cdr:txBody>
    </cdr:sp>
  </cdr:relSizeAnchor>
</c:userShapes>
</file>

<file path=word/drawings/drawing3.xml><?xml version="1.0" encoding="utf-8"?>
<c:userShapes xmlns:c="http://schemas.openxmlformats.org/drawingml/2006/chart">
  <cdr:relSizeAnchor xmlns:cdr="http://schemas.openxmlformats.org/drawingml/2006/chartDrawing">
    <cdr:from>
      <cdr:x>0.04699</cdr:x>
      <cdr:y>0.0787</cdr:y>
    </cdr:from>
    <cdr:to>
      <cdr:x>0.35519</cdr:x>
      <cdr:y>0.18981</cdr:y>
    </cdr:to>
    <cdr:sp macro="" textlink="">
      <cdr:nvSpPr>
        <cdr:cNvPr id="2" name="TextBox 1"/>
        <cdr:cNvSpPr txBox="1"/>
      </cdr:nvSpPr>
      <cdr:spPr>
        <a:xfrm xmlns:a="http://schemas.openxmlformats.org/drawingml/2006/main">
          <a:off x="136525" y="269875"/>
          <a:ext cx="895350" cy="381000"/>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en-AU" sz="900">
              <a:latin typeface="Arial" panose="020B0604020202020204" pitchFamily="34" charset="0"/>
              <a:cs typeface="Arial" panose="020B0604020202020204" pitchFamily="34" charset="0"/>
            </a:rPr>
            <a:t>Unallocated</a:t>
          </a:r>
        </a:p>
        <a:p xmlns:a="http://schemas.openxmlformats.org/drawingml/2006/main">
          <a:pPr algn="ctr"/>
          <a:r>
            <a:rPr lang="en-AU" sz="900">
              <a:latin typeface="Arial" panose="020B0604020202020204" pitchFamily="34" charset="0"/>
              <a:cs typeface="Arial" panose="020B0604020202020204" pitchFamily="34" charset="0"/>
            </a:rPr>
            <a:t>15%</a:t>
          </a:r>
        </a:p>
      </cdr:txBody>
    </cdr:sp>
  </cdr:relSizeAnchor>
  <cdr:relSizeAnchor xmlns:cdr="http://schemas.openxmlformats.org/drawingml/2006/chartDrawing">
    <cdr:from>
      <cdr:x>0.27213</cdr:x>
      <cdr:y>0.18056</cdr:y>
    </cdr:from>
    <cdr:to>
      <cdr:x>0.32382</cdr:x>
      <cdr:y>0.21534</cdr:y>
    </cdr:to>
    <cdr:cxnSp macro="">
      <cdr:nvCxnSpPr>
        <cdr:cNvPr id="3" name="Straight Connector 2"/>
        <cdr:cNvCxnSpPr/>
      </cdr:nvCxnSpPr>
      <cdr:spPr>
        <a:xfrm xmlns:a="http://schemas.openxmlformats.org/drawingml/2006/main">
          <a:off x="744433" y="583024"/>
          <a:ext cx="141392" cy="112301"/>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0.65798</cdr:x>
      <cdr:y>0.77593</cdr:y>
    </cdr:from>
    <cdr:to>
      <cdr:x>0.99672</cdr:x>
      <cdr:y>0.88704</cdr:y>
    </cdr:to>
    <cdr:sp macro="" textlink="">
      <cdr:nvSpPr>
        <cdr:cNvPr id="5" name="TextBox 1"/>
        <cdr:cNvSpPr txBox="1"/>
      </cdr:nvSpPr>
      <cdr:spPr>
        <a:xfrm xmlns:a="http://schemas.openxmlformats.org/drawingml/2006/main">
          <a:off x="1800225" y="2505770"/>
          <a:ext cx="926801" cy="358816"/>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en-AU" sz="900">
              <a:latin typeface="Arial" panose="020B0604020202020204" pitchFamily="34" charset="0"/>
              <a:cs typeface="Arial" panose="020B0604020202020204" pitchFamily="34" charset="0"/>
            </a:rPr>
            <a:t>Manufacturing</a:t>
          </a:r>
        </a:p>
        <a:p xmlns:a="http://schemas.openxmlformats.org/drawingml/2006/main">
          <a:pPr algn="ctr"/>
          <a:r>
            <a:rPr lang="en-AU" sz="900">
              <a:latin typeface="Arial" panose="020B0604020202020204" pitchFamily="34" charset="0"/>
              <a:cs typeface="Arial" panose="020B0604020202020204" pitchFamily="34" charset="0"/>
            </a:rPr>
            <a:t>21%</a:t>
          </a:r>
        </a:p>
      </cdr:txBody>
    </cdr:sp>
  </cdr:relSizeAnchor>
  <cdr:relSizeAnchor xmlns:cdr="http://schemas.openxmlformats.org/drawingml/2006/chartDrawing">
    <cdr:from>
      <cdr:x>0.81476</cdr:x>
      <cdr:y>0.69027</cdr:y>
    </cdr:from>
    <cdr:to>
      <cdr:x>0.83279</cdr:x>
      <cdr:y>0.76111</cdr:y>
    </cdr:to>
    <cdr:cxnSp macro="">
      <cdr:nvCxnSpPr>
        <cdr:cNvPr id="6" name="Straight Connector 5"/>
        <cdr:cNvCxnSpPr/>
      </cdr:nvCxnSpPr>
      <cdr:spPr>
        <a:xfrm xmlns:a="http://schemas.openxmlformats.org/drawingml/2006/main">
          <a:off x="2228850" y="2228850"/>
          <a:ext cx="49314" cy="228755"/>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0.68942</cdr:x>
      <cdr:y>0.17222</cdr:y>
    </cdr:from>
    <cdr:to>
      <cdr:x>0.77213</cdr:x>
      <cdr:y>0.22419</cdr:y>
    </cdr:to>
    <cdr:cxnSp macro="">
      <cdr:nvCxnSpPr>
        <cdr:cNvPr id="7" name="Straight Connector 6"/>
        <cdr:cNvCxnSpPr>
          <a:stCxn xmlns:a="http://schemas.openxmlformats.org/drawingml/2006/main" id="8" idx="2"/>
        </cdr:cNvCxnSpPr>
      </cdr:nvCxnSpPr>
      <cdr:spPr>
        <a:xfrm xmlns:a="http://schemas.openxmlformats.org/drawingml/2006/main" flipH="1">
          <a:off x="1885950" y="556094"/>
          <a:ext cx="226274" cy="167806"/>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0.63934</cdr:x>
      <cdr:y>0.01944</cdr:y>
    </cdr:from>
    <cdr:to>
      <cdr:x>0.90492</cdr:x>
      <cdr:y>0.17222</cdr:y>
    </cdr:to>
    <cdr:sp macro="" textlink="">
      <cdr:nvSpPr>
        <cdr:cNvPr id="8" name="TextBox 7"/>
        <cdr:cNvSpPr txBox="1"/>
      </cdr:nvSpPr>
      <cdr:spPr>
        <a:xfrm xmlns:a="http://schemas.openxmlformats.org/drawingml/2006/main">
          <a:off x="1703202" y="66660"/>
          <a:ext cx="707505" cy="523882"/>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r>
            <a:rPr lang="en-AU" sz="900">
              <a:latin typeface="Arial" panose="020B0604020202020204" pitchFamily="34" charset="0"/>
              <a:cs typeface="Arial" panose="020B0604020202020204" pitchFamily="34" charset="0"/>
            </a:rPr>
            <a:t>Primary production 14%</a:t>
          </a:r>
        </a:p>
      </cdr:txBody>
    </cdr:sp>
  </cdr:relSizeAnchor>
</c:userShapes>
</file>

<file path=word/drawings/drawing4.xml><?xml version="1.0" encoding="utf-8"?>
<c:userShapes xmlns:c="http://schemas.openxmlformats.org/drawingml/2006/chart">
  <cdr:relSizeAnchor xmlns:cdr="http://schemas.openxmlformats.org/drawingml/2006/chartDrawing">
    <cdr:from>
      <cdr:x>0.66494</cdr:x>
      <cdr:y>0.14259</cdr:y>
    </cdr:from>
    <cdr:to>
      <cdr:x>1</cdr:x>
      <cdr:y>0.2537</cdr:y>
    </cdr:to>
    <cdr:sp macro="" textlink="">
      <cdr:nvSpPr>
        <cdr:cNvPr id="2" name="TextBox 1"/>
        <cdr:cNvSpPr txBox="1"/>
      </cdr:nvSpPr>
      <cdr:spPr>
        <a:xfrm xmlns:a="http://schemas.openxmlformats.org/drawingml/2006/main">
          <a:off x="1819275" y="460477"/>
          <a:ext cx="916725" cy="358815"/>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en-AU" sz="900">
              <a:latin typeface="Arial" panose="020B0604020202020204" pitchFamily="34" charset="0"/>
              <a:cs typeface="Arial" panose="020B0604020202020204" pitchFamily="34" charset="0"/>
            </a:rPr>
            <a:t>Manufacturing</a:t>
          </a:r>
        </a:p>
        <a:p xmlns:a="http://schemas.openxmlformats.org/drawingml/2006/main">
          <a:pPr algn="ctr"/>
          <a:r>
            <a:rPr lang="en-AU" sz="900">
              <a:latin typeface="Arial" panose="020B0604020202020204" pitchFamily="34" charset="0"/>
              <a:cs typeface="Arial" panose="020B0604020202020204" pitchFamily="34" charset="0"/>
            </a:rPr>
            <a:t>10%</a:t>
          </a:r>
        </a:p>
      </cdr:txBody>
    </cdr:sp>
  </cdr:relSizeAnchor>
  <cdr:relSizeAnchor xmlns:cdr="http://schemas.openxmlformats.org/drawingml/2006/chartDrawing">
    <cdr:from>
      <cdr:x>0.81476</cdr:x>
      <cdr:y>0.2537</cdr:y>
    </cdr:from>
    <cdr:to>
      <cdr:x>0.83247</cdr:x>
      <cdr:y>0.31858</cdr:y>
    </cdr:to>
    <cdr:cxnSp macro="">
      <cdr:nvCxnSpPr>
        <cdr:cNvPr id="3" name="Straight Connector 2"/>
        <cdr:cNvCxnSpPr>
          <a:stCxn xmlns:a="http://schemas.openxmlformats.org/drawingml/2006/main" id="2" idx="2"/>
        </cdr:cNvCxnSpPr>
      </cdr:nvCxnSpPr>
      <cdr:spPr>
        <a:xfrm xmlns:a="http://schemas.openxmlformats.org/drawingml/2006/main" flipH="1">
          <a:off x="2228850" y="819191"/>
          <a:ext cx="48439" cy="209509"/>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0.43607</cdr:x>
      <cdr:y>0.11667</cdr:y>
    </cdr:from>
    <cdr:to>
      <cdr:x>0.53115</cdr:x>
      <cdr:y>0.17222</cdr:y>
    </cdr:to>
    <cdr:cxnSp macro="">
      <cdr:nvCxnSpPr>
        <cdr:cNvPr id="4" name="Straight Connector 3"/>
        <cdr:cNvCxnSpPr/>
      </cdr:nvCxnSpPr>
      <cdr:spPr>
        <a:xfrm xmlns:a="http://schemas.openxmlformats.org/drawingml/2006/main">
          <a:off x="1266825" y="400050"/>
          <a:ext cx="276225" cy="190500"/>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0.20328</cdr:x>
      <cdr:y>0.01389</cdr:y>
    </cdr:from>
    <cdr:to>
      <cdr:x>0.49836</cdr:x>
      <cdr:y>0.15556</cdr:y>
    </cdr:to>
    <cdr:sp macro="" textlink="">
      <cdr:nvSpPr>
        <cdr:cNvPr id="5" name="TextBox 4"/>
        <cdr:cNvSpPr txBox="1"/>
      </cdr:nvSpPr>
      <cdr:spPr>
        <a:xfrm xmlns:a="http://schemas.openxmlformats.org/drawingml/2006/main">
          <a:off x="590550" y="47625"/>
          <a:ext cx="857250" cy="48577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r>
            <a:rPr lang="en-AU" sz="900">
              <a:latin typeface="Arial" panose="020B0604020202020204" pitchFamily="34" charset="0"/>
              <a:cs typeface="Arial" panose="020B0604020202020204" pitchFamily="34" charset="0"/>
            </a:rPr>
            <a:t>Primary production 3%</a:t>
          </a:r>
        </a:p>
      </cdr:txBody>
    </cdr:sp>
  </cdr:relSizeAnchor>
</c:userShapes>
</file>

<file path=word/drawings/drawing5.xml><?xml version="1.0" encoding="utf-8"?>
<c:userShapes xmlns:c="http://schemas.openxmlformats.org/drawingml/2006/chart">
  <cdr:relSizeAnchor xmlns:cdr="http://schemas.openxmlformats.org/drawingml/2006/chartDrawing">
    <cdr:from>
      <cdr:x>0.6545</cdr:x>
      <cdr:y>0.14537</cdr:y>
    </cdr:from>
    <cdr:to>
      <cdr:x>1</cdr:x>
      <cdr:y>0.25648</cdr:y>
    </cdr:to>
    <cdr:sp macro="" textlink="">
      <cdr:nvSpPr>
        <cdr:cNvPr id="2" name="TextBox 1"/>
        <cdr:cNvSpPr txBox="1"/>
      </cdr:nvSpPr>
      <cdr:spPr>
        <a:xfrm xmlns:a="http://schemas.openxmlformats.org/drawingml/2006/main">
          <a:off x="1790700" y="469454"/>
          <a:ext cx="945300" cy="358816"/>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en-AU" sz="900">
              <a:latin typeface="Arial" panose="020B0604020202020204" pitchFamily="34" charset="0"/>
              <a:cs typeface="Arial" panose="020B0604020202020204" pitchFamily="34" charset="0"/>
            </a:rPr>
            <a:t>Manufacturing</a:t>
          </a:r>
        </a:p>
        <a:p xmlns:a="http://schemas.openxmlformats.org/drawingml/2006/main">
          <a:pPr algn="ctr"/>
          <a:r>
            <a:rPr lang="en-AU" sz="900">
              <a:latin typeface="Arial" panose="020B0604020202020204" pitchFamily="34" charset="0"/>
              <a:cs typeface="Arial" panose="020B0604020202020204" pitchFamily="34" charset="0"/>
            </a:rPr>
            <a:t>7%</a:t>
          </a:r>
        </a:p>
      </cdr:txBody>
    </cdr:sp>
  </cdr:relSizeAnchor>
  <cdr:relSizeAnchor xmlns:cdr="http://schemas.openxmlformats.org/drawingml/2006/chartDrawing">
    <cdr:from>
      <cdr:x>0.80432</cdr:x>
      <cdr:y>0.25648</cdr:y>
    </cdr:from>
    <cdr:to>
      <cdr:x>0.82725</cdr:x>
      <cdr:y>0.30383</cdr:y>
    </cdr:to>
    <cdr:cxnSp macro="">
      <cdr:nvCxnSpPr>
        <cdr:cNvPr id="3" name="Straight Connector 2"/>
        <cdr:cNvCxnSpPr>
          <a:stCxn xmlns:a="http://schemas.openxmlformats.org/drawingml/2006/main" id="2" idx="2"/>
        </cdr:cNvCxnSpPr>
      </cdr:nvCxnSpPr>
      <cdr:spPr>
        <a:xfrm xmlns:a="http://schemas.openxmlformats.org/drawingml/2006/main" flipH="1">
          <a:off x="2200275" y="828168"/>
          <a:ext cx="62734" cy="152907"/>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0.47541</cdr:x>
      <cdr:y>0.10833</cdr:y>
    </cdr:from>
    <cdr:to>
      <cdr:x>0.53273</cdr:x>
      <cdr:y>0.17994</cdr:y>
    </cdr:to>
    <cdr:cxnSp macro="">
      <cdr:nvCxnSpPr>
        <cdr:cNvPr id="4" name="Straight Connector 3"/>
        <cdr:cNvCxnSpPr/>
      </cdr:nvCxnSpPr>
      <cdr:spPr>
        <a:xfrm xmlns:a="http://schemas.openxmlformats.org/drawingml/2006/main">
          <a:off x="1300522" y="349795"/>
          <a:ext cx="156803" cy="231230"/>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0.25902</cdr:x>
      <cdr:y>0</cdr:y>
    </cdr:from>
    <cdr:to>
      <cdr:x>0.52787</cdr:x>
      <cdr:y>0.15556</cdr:y>
    </cdr:to>
    <cdr:sp macro="" textlink="">
      <cdr:nvSpPr>
        <cdr:cNvPr id="5" name="TextBox 4"/>
        <cdr:cNvSpPr txBox="1"/>
      </cdr:nvSpPr>
      <cdr:spPr>
        <a:xfrm xmlns:a="http://schemas.openxmlformats.org/drawingml/2006/main">
          <a:off x="752475" y="0"/>
          <a:ext cx="781050" cy="53340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r>
            <a:rPr lang="en-AU" sz="900">
              <a:latin typeface="Arial" panose="020B0604020202020204" pitchFamily="34" charset="0"/>
              <a:cs typeface="Arial" panose="020B0604020202020204" pitchFamily="34" charset="0"/>
            </a:rPr>
            <a:t>Primary production 2%</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D68F90-C261-4BCB-B886-CA4C9F18EDAF}">
  <ds:schemaRefs>
    <ds:schemaRef ds:uri="http://schemas.openxmlformats.org/officeDocument/2006/bibliography"/>
  </ds:schemaRefs>
</ds:datastoreItem>
</file>

<file path=customXml/itemProps2.xml><?xml version="1.0" encoding="utf-8"?>
<ds:datastoreItem xmlns:ds="http://schemas.openxmlformats.org/officeDocument/2006/customXml" ds:itemID="{F89AA72F-6D24-4BFD-87F2-F2845C76C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2</TotalTime>
  <Pages>23</Pages>
  <Words>6261</Words>
  <Characters>36486</Characters>
  <Application>Microsoft Office Word</Application>
  <DocSecurity>0</DocSecurity>
  <Lines>1456</Lines>
  <Paragraphs>1033</Paragraphs>
  <ScaleCrop>false</ScaleCrop>
  <HeadingPairs>
    <vt:vector size="2" baseType="variant">
      <vt:variant>
        <vt:lpstr>Title</vt:lpstr>
      </vt:variant>
      <vt:variant>
        <vt:i4>1</vt:i4>
      </vt:variant>
    </vt:vector>
  </HeadingPairs>
  <TitlesOfParts>
    <vt:vector size="1" baseType="lpstr">
      <vt:lpstr>Assistance estimates</vt:lpstr>
    </vt:vector>
  </TitlesOfParts>
  <Company>Productivity Commission</Company>
  <LinksUpToDate>false</LinksUpToDate>
  <CharactersWithSpaces>41869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Assistance estimates</dc:title>
  <dc:subject>Trade &amp; Assistance Review 2012-13</dc:subject>
  <dc:creator>Productivity Commission</dc:creator>
  <dc:description>4.</dc:description>
  <cp:lastModifiedBy>Productivity Commission</cp:lastModifiedBy>
  <cp:revision>4</cp:revision>
  <cp:lastPrinted>2014-06-20T05:00:00Z</cp:lastPrinted>
  <dcterms:created xsi:type="dcterms:W3CDTF">2014-06-20T04:54:00Z</dcterms:created>
  <dcterms:modified xsi:type="dcterms:W3CDTF">2014-06-24T05:25:00Z</dcterms:modified>
</cp:coreProperties>
</file>