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54A18" w:rsidP="00954A18">
      <w:pPr>
        <w:pStyle w:val="Chapter"/>
        <w:ind w:left="907" w:hanging="907"/>
      </w:pPr>
      <w:bookmarkStart w:id="0" w:name="_AppendixNotByChapter"/>
      <w:bookmarkStart w:id="1" w:name="ChapterNumber"/>
      <w:bookmarkStart w:id="2" w:name="_GoBack"/>
      <w:bookmarkEnd w:id="0"/>
      <w:bookmarkEnd w:id="2"/>
      <w:r>
        <w:t>B</w:t>
      </w:r>
      <w:bookmarkEnd w:id="1"/>
      <w:r>
        <w:tab/>
      </w:r>
      <w:bookmarkStart w:id="3" w:name="ChapterTitle"/>
      <w:r>
        <w:t>Defence industry engagement programs</w:t>
      </w:r>
      <w:bookmarkEnd w:id="3"/>
    </w:p>
    <w:p w:rsidR="00066D02" w:rsidRDefault="00066D02" w:rsidP="001A45B5">
      <w:pPr>
        <w:pStyle w:val="BodyText"/>
      </w:pPr>
      <w:bookmarkStart w:id="4" w:name="begin"/>
      <w:bookmarkEnd w:id="4"/>
      <w:r>
        <w:t xml:space="preserve">This appendix identifies defence industry engagement programs, the nature of the support to industry, and how much is expended by the Australian Government (table </w:t>
      </w:r>
      <w:proofErr w:type="spellStart"/>
      <w:r>
        <w:t>B.1</w:t>
      </w:r>
      <w:proofErr w:type="spellEnd"/>
      <w:r>
        <w:t>). (In some cases it identifies funding from sources other than the Australian Government.)</w:t>
      </w:r>
    </w:p>
    <w:p w:rsidR="00066D02" w:rsidRDefault="00066D02" w:rsidP="001A45B5">
      <w:pPr>
        <w:pStyle w:val="BodyText"/>
      </w:pPr>
      <w:r>
        <w:t>Most of the programs are not separate line items in the budget, rather they are funded from within the appropriations to the Defence Materiel Organisation (</w:t>
      </w:r>
      <w:proofErr w:type="spellStart"/>
      <w:r>
        <w:t>DMO</w:t>
      </w:r>
      <w:proofErr w:type="spellEnd"/>
      <w:r>
        <w:t xml:space="preserve">), the Department of Defence and </w:t>
      </w:r>
      <w:r w:rsidR="006C4FA7">
        <w:t xml:space="preserve">the </w:t>
      </w:r>
      <w:r>
        <w:t>Defence Science and Technology Organisation (</w:t>
      </w:r>
      <w:proofErr w:type="spellStart"/>
      <w:r>
        <w:t>DSTO</w:t>
      </w:r>
      <w:proofErr w:type="spellEnd"/>
      <w:r>
        <w:t>). For some programs the expenditure can be found on the program’s web page, grant recipient reporting information and/or documents announcing the program. In some cases, it is unclear whether the aggregate funding announced in the past has subsequently been adjusted, in particular following budget cuts to Defence in 2012 and 2013.</w:t>
      </w:r>
    </w:p>
    <w:p w:rsidR="00066D02" w:rsidRDefault="00066D02" w:rsidP="001A45B5">
      <w:pPr>
        <w:pStyle w:val="BodyText"/>
      </w:pPr>
      <w:r>
        <w:t xml:space="preserve">Not identified in this appendix </w:t>
      </w:r>
      <w:r w:rsidR="001A45B5">
        <w:t xml:space="preserve">are </w:t>
      </w:r>
      <w:r>
        <w:t>defence industry engagement programs of State or Territory governments.</w:t>
      </w:r>
    </w:p>
    <w:p w:rsidR="008E1A61" w:rsidRDefault="008E1A61" w:rsidP="001A45B5">
      <w:pPr>
        <w:pStyle w:val="BodyText"/>
      </w:pPr>
    </w:p>
    <w:p w:rsidR="001718CE" w:rsidRDefault="001718CE" w:rsidP="00120072">
      <w:pPr>
        <w:pStyle w:val="BodyText"/>
      </w:pPr>
    </w:p>
    <w:p w:rsidR="001718CE" w:rsidRDefault="001718CE">
      <w:pPr>
        <w:pStyle w:val="BodyText"/>
        <w:sectPr w:rsidR="001718CE" w:rsidSect="00857E75">
          <w:headerReference w:type="even" r:id="rId9"/>
          <w:headerReference w:type="default" r:id="rId10"/>
          <w:footerReference w:type="even" r:id="rId11"/>
          <w:footerReference w:type="default" r:id="rId12"/>
          <w:pgSz w:w="11907" w:h="16840" w:code="9"/>
          <w:pgMar w:top="1985" w:right="1304" w:bottom="1418" w:left="1814" w:header="1701" w:footer="567" w:gutter="0"/>
          <w:pgNumType w:start="181" w:chapStyle="1" w:chapSep="period"/>
          <w:cols w:space="720"/>
        </w:sectPr>
      </w:pPr>
    </w:p>
    <w:p w:rsidR="004D7737" w:rsidRPr="004D7737" w:rsidRDefault="009452CF" w:rsidP="009452CF">
      <w:pPr>
        <w:pStyle w:val="TableTitle"/>
      </w:pPr>
      <w:bookmarkStart w:id="5" w:name="TableTitle"/>
      <w:bookmarkEnd w:id="5"/>
      <w:r w:rsidRPr="009452CF">
        <w:lastRenderedPageBreak/>
        <w:t xml:space="preserve">Table </w:t>
      </w:r>
      <w:proofErr w:type="spellStart"/>
      <w:r w:rsidRPr="009452CF">
        <w:t>B.1</w:t>
      </w:r>
      <w:proofErr w:type="spellEnd"/>
      <w:r w:rsidRPr="009452CF">
        <w:tab/>
        <w:t>Defence industry support</w:t>
      </w:r>
    </w:p>
    <w:tbl>
      <w:tblPr>
        <w:tblW w:w="5125" w:type="pct"/>
        <w:tblLayout w:type="fixed"/>
        <w:tblCellMar>
          <w:left w:w="0" w:type="dxa"/>
          <w:right w:w="0" w:type="dxa"/>
        </w:tblCellMar>
        <w:tblLook w:val="0000" w:firstRow="0" w:lastRow="0" w:firstColumn="0" w:lastColumn="0" w:noHBand="0" w:noVBand="0"/>
      </w:tblPr>
      <w:tblGrid>
        <w:gridCol w:w="2270"/>
        <w:gridCol w:w="5809"/>
        <w:gridCol w:w="2270"/>
        <w:gridCol w:w="1843"/>
        <w:gridCol w:w="1581"/>
      </w:tblGrid>
      <w:tr w:rsidR="00066D02" w:rsidTr="0060747E">
        <w:tc>
          <w:tcPr>
            <w:tcW w:w="824" w:type="pct"/>
            <w:tcBorders>
              <w:top w:val="single" w:sz="6" w:space="0" w:color="auto"/>
              <w:bottom w:val="single" w:sz="6" w:space="0" w:color="auto"/>
            </w:tcBorders>
            <w:shd w:val="clear" w:color="auto" w:fill="auto"/>
            <w:vAlign w:val="bottom"/>
          </w:tcPr>
          <w:p w:rsidR="00066D02" w:rsidRPr="00A6566D" w:rsidRDefault="00685AD3" w:rsidP="00FB1932">
            <w:pPr>
              <w:pStyle w:val="TableBodyText"/>
              <w:jc w:val="left"/>
              <w:rPr>
                <w:i/>
              </w:rPr>
            </w:pPr>
            <w:r w:rsidRPr="00A6566D">
              <w:rPr>
                <w:i/>
              </w:rPr>
              <w:t>Program</w:t>
            </w:r>
          </w:p>
        </w:tc>
        <w:tc>
          <w:tcPr>
            <w:tcW w:w="2109" w:type="pct"/>
            <w:tcBorders>
              <w:top w:val="single" w:sz="6" w:space="0" w:color="auto"/>
              <w:bottom w:val="single" w:sz="6" w:space="0" w:color="auto"/>
            </w:tcBorders>
            <w:vAlign w:val="bottom"/>
          </w:tcPr>
          <w:p w:rsidR="00066D02" w:rsidRPr="00A6566D" w:rsidRDefault="00685AD3" w:rsidP="00D4672B">
            <w:pPr>
              <w:pStyle w:val="TableBodyText"/>
              <w:jc w:val="center"/>
              <w:rPr>
                <w:i/>
              </w:rPr>
            </w:pPr>
            <w:r w:rsidRPr="00A6566D">
              <w:rPr>
                <w:i/>
              </w:rPr>
              <w:t>Description</w:t>
            </w:r>
          </w:p>
        </w:tc>
        <w:tc>
          <w:tcPr>
            <w:tcW w:w="824" w:type="pct"/>
            <w:tcBorders>
              <w:top w:val="single" w:sz="6" w:space="0" w:color="auto"/>
              <w:bottom w:val="single" w:sz="6" w:space="0" w:color="auto"/>
            </w:tcBorders>
            <w:vAlign w:val="bottom"/>
          </w:tcPr>
          <w:p w:rsidR="00066D02" w:rsidRPr="00A6566D" w:rsidRDefault="00685AD3" w:rsidP="00FB1932">
            <w:pPr>
              <w:pStyle w:val="TableBodyText"/>
              <w:jc w:val="left"/>
              <w:rPr>
                <w:i/>
              </w:rPr>
            </w:pPr>
            <w:r w:rsidRPr="00A6566D">
              <w:rPr>
                <w:i/>
              </w:rPr>
              <w:t>Type of support</w:t>
            </w:r>
          </w:p>
        </w:tc>
        <w:tc>
          <w:tcPr>
            <w:tcW w:w="669" w:type="pct"/>
            <w:tcBorders>
              <w:top w:val="single" w:sz="6" w:space="0" w:color="auto"/>
              <w:bottom w:val="single" w:sz="6" w:space="0" w:color="auto"/>
            </w:tcBorders>
            <w:shd w:val="clear" w:color="auto" w:fill="auto"/>
            <w:vAlign w:val="bottom"/>
          </w:tcPr>
          <w:p w:rsidR="00066D02" w:rsidRPr="00A6566D" w:rsidRDefault="00685AD3" w:rsidP="00FB1932">
            <w:pPr>
              <w:pStyle w:val="TableBodyText"/>
              <w:jc w:val="left"/>
              <w:rPr>
                <w:i/>
              </w:rPr>
            </w:pPr>
            <w:r w:rsidRPr="00A6566D">
              <w:rPr>
                <w:i/>
              </w:rPr>
              <w:t>Funding and timing</w:t>
            </w:r>
          </w:p>
        </w:tc>
        <w:tc>
          <w:tcPr>
            <w:tcW w:w="574" w:type="pct"/>
            <w:tcBorders>
              <w:top w:val="single" w:sz="6" w:space="0" w:color="auto"/>
              <w:bottom w:val="single" w:sz="6" w:space="0" w:color="auto"/>
            </w:tcBorders>
            <w:shd w:val="clear" w:color="auto" w:fill="auto"/>
            <w:vAlign w:val="bottom"/>
          </w:tcPr>
          <w:p w:rsidR="00066D02" w:rsidRPr="00A6566D" w:rsidRDefault="00685AD3" w:rsidP="00FB1932">
            <w:pPr>
              <w:pStyle w:val="TableBodyText"/>
              <w:jc w:val="left"/>
              <w:rPr>
                <w:i/>
              </w:rPr>
            </w:pPr>
            <w:r w:rsidRPr="00A6566D">
              <w:rPr>
                <w:i/>
              </w:rPr>
              <w:t>Recipients information</w:t>
            </w:r>
          </w:p>
        </w:tc>
      </w:tr>
      <w:tr w:rsidR="004D7737" w:rsidTr="0060747E">
        <w:tc>
          <w:tcPr>
            <w:tcW w:w="824" w:type="pct"/>
            <w:tcBorders>
              <w:top w:val="single" w:sz="6" w:space="0" w:color="auto"/>
              <w:bottom w:val="single" w:sz="4" w:space="0" w:color="auto"/>
            </w:tcBorders>
          </w:tcPr>
          <w:p w:rsidR="00066D02" w:rsidRPr="001C7F69" w:rsidRDefault="00685AD3" w:rsidP="00FD02A4">
            <w:pPr>
              <w:pStyle w:val="TableBodyText"/>
              <w:jc w:val="left"/>
            </w:pPr>
            <w:r w:rsidRPr="001C7F69">
              <w:t>Australian Industry Capability (AIC)</w:t>
            </w:r>
          </w:p>
        </w:tc>
        <w:tc>
          <w:tcPr>
            <w:tcW w:w="2109" w:type="pct"/>
            <w:tcBorders>
              <w:top w:val="single" w:sz="6" w:space="0" w:color="auto"/>
              <w:bottom w:val="single" w:sz="4" w:space="0" w:color="auto"/>
            </w:tcBorders>
          </w:tcPr>
          <w:p w:rsidR="00685AD3" w:rsidRPr="001C7F69" w:rsidRDefault="00685AD3" w:rsidP="00FF5ACE">
            <w:pPr>
              <w:pStyle w:val="TableBodyText"/>
              <w:jc w:val="left"/>
            </w:pPr>
            <w:r w:rsidRPr="001C7F69">
              <w:t>The AIC program leverages work for local suppliers by including in tender requirements a definition that, for tenders to represent value for money, tenderers must describe how their proposed approach will enhance defence industry capability. There are three levels of Defence Capabilities.</w:t>
            </w:r>
          </w:p>
          <w:p w:rsidR="00685AD3" w:rsidRPr="001C7F69" w:rsidRDefault="00685AD3" w:rsidP="00FF5ACE">
            <w:pPr>
              <w:pStyle w:val="TableBodyText"/>
              <w:jc w:val="left"/>
            </w:pPr>
            <w:r w:rsidRPr="001C7F69">
              <w:t>Priority Industry Capabilities (</w:t>
            </w:r>
            <w:proofErr w:type="spellStart"/>
            <w:r w:rsidRPr="001C7F69">
              <w:t>PICs</w:t>
            </w:r>
            <w:proofErr w:type="spellEnd"/>
            <w:r w:rsidRPr="001C7F69">
              <w:t xml:space="preserve">) are those industry capabilities deemed to confer an essential strategic advantage by being resident within Australia and which, if not available, will significantly undermine defence self-reliance and </w:t>
            </w:r>
            <w:proofErr w:type="spellStart"/>
            <w:r w:rsidRPr="001C7F69">
              <w:t>ADF</w:t>
            </w:r>
            <w:proofErr w:type="spellEnd"/>
            <w:r w:rsidRPr="001C7F69">
              <w:t xml:space="preserve"> operational capability. There are currently 12 designated </w:t>
            </w:r>
            <w:proofErr w:type="spellStart"/>
            <w:r w:rsidRPr="001C7F69">
              <w:t>PICs</w:t>
            </w:r>
            <w:proofErr w:type="spellEnd"/>
            <w:r w:rsidRPr="001C7F69">
              <w:t>, including, acoustic technologies and systems, in-service support of Collins class submarine combat systems, and ship dry docking facilities.</w:t>
            </w:r>
          </w:p>
          <w:p w:rsidR="00685AD3" w:rsidRPr="001C7F69" w:rsidRDefault="00685AD3" w:rsidP="00FF5ACE">
            <w:pPr>
              <w:pStyle w:val="TableBodyText"/>
              <w:jc w:val="left"/>
            </w:pPr>
            <w:r w:rsidRPr="001C7F69">
              <w:t>Strategic Industry Capabilities (</w:t>
            </w:r>
            <w:proofErr w:type="spellStart"/>
            <w:r w:rsidRPr="001C7F69">
              <w:t>SICs</w:t>
            </w:r>
            <w:proofErr w:type="spellEnd"/>
            <w:r w:rsidRPr="001C7F69">
              <w:t xml:space="preserve">) are those industry capabilities that provide Australia with enhanced defence self-reliance, </w:t>
            </w:r>
            <w:proofErr w:type="spellStart"/>
            <w:r w:rsidRPr="001C7F69">
              <w:t>ADF</w:t>
            </w:r>
            <w:proofErr w:type="spellEnd"/>
            <w:r w:rsidRPr="001C7F69">
              <w:t xml:space="preserve"> operational capability, or longer term procurement certainty. There are currently 12 designated </w:t>
            </w:r>
            <w:proofErr w:type="spellStart"/>
            <w:r w:rsidRPr="001C7F69">
              <w:t>SICs</w:t>
            </w:r>
            <w:proofErr w:type="spellEnd"/>
            <w:r w:rsidRPr="001C7F69">
              <w:t>, including, for example, composite and exotic materials, guided weapons, naval shipbuilding and repair, maintenance and upgrading of armoured vehicles and aircraft.</w:t>
            </w:r>
          </w:p>
          <w:p w:rsidR="00066D02" w:rsidRPr="001C7F69" w:rsidRDefault="00685AD3" w:rsidP="00910FE5">
            <w:pPr>
              <w:pStyle w:val="TableBodyText"/>
              <w:jc w:val="left"/>
            </w:pPr>
            <w:r w:rsidRPr="001C7F69">
              <w:t>Project/Product Specific Industry Capabilities (</w:t>
            </w:r>
            <w:proofErr w:type="spellStart"/>
            <w:r w:rsidRPr="001C7F69">
              <w:t>PSICs</w:t>
            </w:r>
            <w:proofErr w:type="spellEnd"/>
            <w:r w:rsidRPr="001C7F69">
              <w:t xml:space="preserve">) are those industry capabilities determined by procurement sponsors as being required to enhance the capability being delivered through inclusion of Australian industry. </w:t>
            </w:r>
            <w:proofErr w:type="spellStart"/>
            <w:r w:rsidRPr="001C7F69">
              <w:t>PSICs</w:t>
            </w:r>
            <w:proofErr w:type="spellEnd"/>
            <w:r w:rsidRPr="001C7F69">
              <w:t xml:space="preserve"> are determined on a case-by-case basis.</w:t>
            </w:r>
          </w:p>
        </w:tc>
        <w:tc>
          <w:tcPr>
            <w:tcW w:w="824" w:type="pct"/>
            <w:tcBorders>
              <w:top w:val="single" w:sz="6" w:space="0" w:color="auto"/>
              <w:bottom w:val="single" w:sz="4" w:space="0" w:color="auto"/>
            </w:tcBorders>
          </w:tcPr>
          <w:p w:rsidR="00066D02" w:rsidRPr="001C7F69" w:rsidRDefault="00685AD3" w:rsidP="00FF5ACE">
            <w:pPr>
              <w:pStyle w:val="TableBodyText"/>
              <w:jc w:val="left"/>
            </w:pPr>
            <w:r w:rsidRPr="001C7F69">
              <w:t>Preference for local supply</w:t>
            </w:r>
            <w:r w:rsidRPr="001C7F69">
              <w:br/>
            </w:r>
            <w:r w:rsidRPr="001C7F69">
              <w:br/>
            </w:r>
          </w:p>
        </w:tc>
        <w:tc>
          <w:tcPr>
            <w:tcW w:w="669" w:type="pct"/>
            <w:tcBorders>
              <w:top w:val="single" w:sz="6" w:space="0" w:color="auto"/>
              <w:bottom w:val="single" w:sz="4" w:space="0" w:color="auto"/>
            </w:tcBorders>
          </w:tcPr>
          <w:p w:rsidR="00066D02" w:rsidRPr="001C7F69" w:rsidRDefault="00685AD3" w:rsidP="00FF5ACE">
            <w:pPr>
              <w:pStyle w:val="TableBodyText"/>
              <w:jc w:val="left"/>
            </w:pPr>
            <w:r w:rsidRPr="001C7F69">
              <w:t>Not applicable</w:t>
            </w:r>
            <w:r w:rsidRPr="001C7F69">
              <w:br/>
            </w:r>
            <w:r w:rsidRPr="001C7F69">
              <w:br/>
            </w:r>
            <w:r w:rsidRPr="001C7F69">
              <w:br/>
              <w:t xml:space="preserve">The AIC and its predecessors replaced arrangements that ended in the </w:t>
            </w:r>
            <w:proofErr w:type="spellStart"/>
            <w:r w:rsidRPr="001C7F69">
              <w:t>1990s</w:t>
            </w:r>
            <w:proofErr w:type="spellEnd"/>
            <w:r w:rsidRPr="001C7F69">
              <w:t xml:space="preserve"> involving explicit local activity percentages and allowing local bid premiums</w:t>
            </w:r>
          </w:p>
        </w:tc>
        <w:tc>
          <w:tcPr>
            <w:tcW w:w="574" w:type="pct"/>
            <w:tcBorders>
              <w:top w:val="single" w:sz="6" w:space="0" w:color="auto"/>
              <w:bottom w:val="single" w:sz="4" w:space="0" w:color="auto"/>
            </w:tcBorders>
          </w:tcPr>
          <w:p w:rsidR="00066D02" w:rsidRPr="001C7F69" w:rsidRDefault="00685AD3" w:rsidP="00FF5ACE">
            <w:pPr>
              <w:pStyle w:val="TableBodyText"/>
              <w:jc w:val="left"/>
            </w:pPr>
            <w:r w:rsidRPr="001C7F69">
              <w:t>Beneficiaries not individually identifiable</w:t>
            </w:r>
            <w:r w:rsidRPr="001C7F69">
              <w:br/>
            </w:r>
            <w:r w:rsidRPr="001C7F69">
              <w:br/>
              <w:t>Industry Participation Plans indicate nature of local activity</w:t>
            </w:r>
          </w:p>
        </w:tc>
      </w:tr>
    </w:tbl>
    <w:p w:rsidR="00DE77FF" w:rsidRDefault="00CD2DC2">
      <w:r>
        <w:rPr>
          <w:rStyle w:val="NoteLabel"/>
          <w:b w:val="0"/>
          <w:i/>
        </w:rPr>
        <w:t xml:space="preserve"> </w:t>
      </w:r>
    </w:p>
    <w:tbl>
      <w:tblPr>
        <w:tblpPr w:leftFromText="180" w:rightFromText="180" w:vertAnchor="text" w:horzAnchor="margin" w:tblpY="-1"/>
        <w:tblW w:w="5125" w:type="pct"/>
        <w:tblLayout w:type="fixed"/>
        <w:tblCellMar>
          <w:left w:w="0" w:type="dxa"/>
          <w:right w:w="0" w:type="dxa"/>
        </w:tblCellMar>
        <w:tblLook w:val="0000" w:firstRow="0" w:lastRow="0" w:firstColumn="0" w:lastColumn="0" w:noHBand="0" w:noVBand="0"/>
      </w:tblPr>
      <w:tblGrid>
        <w:gridCol w:w="2269"/>
        <w:gridCol w:w="5953"/>
        <w:gridCol w:w="2267"/>
        <w:gridCol w:w="1843"/>
        <w:gridCol w:w="1441"/>
      </w:tblGrid>
      <w:tr w:rsidR="00D4672B" w:rsidRPr="00C70208" w:rsidTr="00E3208F">
        <w:trPr>
          <w:trHeight w:val="557"/>
        </w:trPr>
        <w:tc>
          <w:tcPr>
            <w:tcW w:w="824" w:type="pct"/>
            <w:tcBorders>
              <w:top w:val="single" w:sz="4" w:space="0" w:color="auto"/>
              <w:bottom w:val="single" w:sz="4" w:space="0" w:color="auto"/>
            </w:tcBorders>
            <w:vAlign w:val="bottom"/>
          </w:tcPr>
          <w:p w:rsidR="00D4672B" w:rsidRPr="00A6566D" w:rsidRDefault="00D4672B" w:rsidP="00CA3EB0">
            <w:pPr>
              <w:pStyle w:val="TableBodyText"/>
              <w:jc w:val="left"/>
              <w:rPr>
                <w:i/>
              </w:rPr>
            </w:pPr>
            <w:r w:rsidRPr="00A6566D">
              <w:rPr>
                <w:i/>
              </w:rPr>
              <w:lastRenderedPageBreak/>
              <w:t>Program</w:t>
            </w:r>
          </w:p>
        </w:tc>
        <w:tc>
          <w:tcPr>
            <w:tcW w:w="2161" w:type="pct"/>
            <w:tcBorders>
              <w:top w:val="single" w:sz="4" w:space="0" w:color="auto"/>
              <w:bottom w:val="single" w:sz="4" w:space="0" w:color="auto"/>
            </w:tcBorders>
            <w:vAlign w:val="bottom"/>
          </w:tcPr>
          <w:p w:rsidR="00D4672B" w:rsidRPr="00A6566D" w:rsidRDefault="00D4672B" w:rsidP="0023753D">
            <w:pPr>
              <w:pStyle w:val="TableBodyText"/>
              <w:jc w:val="center"/>
              <w:rPr>
                <w:i/>
              </w:rPr>
            </w:pPr>
            <w:r w:rsidRPr="00A6566D">
              <w:rPr>
                <w:i/>
              </w:rPr>
              <w:t>Description</w:t>
            </w:r>
          </w:p>
        </w:tc>
        <w:tc>
          <w:tcPr>
            <w:tcW w:w="823" w:type="pct"/>
            <w:tcBorders>
              <w:top w:val="single" w:sz="4" w:space="0" w:color="auto"/>
              <w:bottom w:val="single" w:sz="4" w:space="0" w:color="auto"/>
            </w:tcBorders>
            <w:vAlign w:val="bottom"/>
          </w:tcPr>
          <w:p w:rsidR="00D4672B" w:rsidRPr="00A6566D" w:rsidRDefault="00D4672B" w:rsidP="00CA3EB0">
            <w:pPr>
              <w:pStyle w:val="TableBodyText"/>
              <w:jc w:val="left"/>
              <w:rPr>
                <w:i/>
              </w:rPr>
            </w:pPr>
            <w:r w:rsidRPr="00A6566D">
              <w:rPr>
                <w:i/>
              </w:rPr>
              <w:t>Type of support</w:t>
            </w:r>
          </w:p>
        </w:tc>
        <w:tc>
          <w:tcPr>
            <w:tcW w:w="669" w:type="pct"/>
            <w:tcBorders>
              <w:top w:val="single" w:sz="4" w:space="0" w:color="auto"/>
              <w:bottom w:val="single" w:sz="4" w:space="0" w:color="auto"/>
            </w:tcBorders>
            <w:vAlign w:val="bottom"/>
          </w:tcPr>
          <w:p w:rsidR="00D4672B" w:rsidRPr="00A6566D" w:rsidRDefault="00D4672B" w:rsidP="00CA3EB0">
            <w:pPr>
              <w:pStyle w:val="TableBodyText"/>
              <w:jc w:val="left"/>
              <w:rPr>
                <w:i/>
              </w:rPr>
            </w:pPr>
            <w:r w:rsidRPr="00A6566D">
              <w:rPr>
                <w:i/>
              </w:rPr>
              <w:t>Funding and timing</w:t>
            </w:r>
          </w:p>
        </w:tc>
        <w:tc>
          <w:tcPr>
            <w:tcW w:w="523" w:type="pct"/>
            <w:tcBorders>
              <w:top w:val="single" w:sz="4" w:space="0" w:color="auto"/>
              <w:bottom w:val="single" w:sz="4" w:space="0" w:color="auto"/>
            </w:tcBorders>
            <w:vAlign w:val="bottom"/>
          </w:tcPr>
          <w:p w:rsidR="00D4672B" w:rsidRPr="00A6566D" w:rsidRDefault="00D4672B" w:rsidP="00CA3EB0">
            <w:pPr>
              <w:pStyle w:val="TableBodyText"/>
              <w:jc w:val="left"/>
              <w:rPr>
                <w:i/>
              </w:rPr>
            </w:pPr>
            <w:r w:rsidRPr="00A6566D">
              <w:rPr>
                <w:i/>
              </w:rPr>
              <w:t>Recipients information</w:t>
            </w:r>
          </w:p>
        </w:tc>
      </w:tr>
      <w:tr w:rsidR="002602CF" w:rsidRPr="00FF5ACE" w:rsidTr="00C46EA1">
        <w:tc>
          <w:tcPr>
            <w:tcW w:w="824" w:type="pct"/>
            <w:tcBorders>
              <w:top w:val="single" w:sz="4" w:space="0" w:color="auto"/>
              <w:bottom w:val="single" w:sz="4" w:space="0" w:color="auto"/>
            </w:tcBorders>
          </w:tcPr>
          <w:p w:rsidR="002602CF" w:rsidRPr="001C7F69" w:rsidRDefault="002602CF" w:rsidP="00D3332C">
            <w:pPr>
              <w:pStyle w:val="TableBodyText"/>
              <w:jc w:val="left"/>
            </w:pPr>
            <w:r w:rsidRPr="001C7F69">
              <w:t>Global Supply Chains (</w:t>
            </w:r>
            <w:proofErr w:type="spellStart"/>
            <w:r w:rsidRPr="001C7F69">
              <w:t>GS</w:t>
            </w:r>
            <w:r w:rsidR="00B21C02" w:rsidRPr="001C7F69">
              <w:t>C</w:t>
            </w:r>
            <w:proofErr w:type="spellEnd"/>
            <w:r w:rsidRPr="001C7F69">
              <w:t>)</w:t>
            </w:r>
          </w:p>
        </w:tc>
        <w:tc>
          <w:tcPr>
            <w:tcW w:w="2161" w:type="pct"/>
            <w:tcBorders>
              <w:top w:val="single" w:sz="4" w:space="0" w:color="auto"/>
              <w:bottom w:val="single" w:sz="4" w:space="0" w:color="auto"/>
            </w:tcBorders>
          </w:tcPr>
          <w:p w:rsidR="002602CF" w:rsidRPr="001C7F69" w:rsidRDefault="002602CF" w:rsidP="00D3332C">
            <w:pPr>
              <w:pStyle w:val="TableBodyText"/>
              <w:jc w:val="left"/>
            </w:pPr>
            <w:r w:rsidRPr="001C7F69">
              <w:t>Funding to multinationals to deploy staff inside their organisations to act as the internal sponsor promoting Australian industry into the business units of the company: to actively seek out opportunities for Australian industry; train Australian industry in the company’s purchasing practices and methods; educate Australian industry in the company’s requirements; and help make Australian industry globally competitive.</w:t>
            </w:r>
            <w:r w:rsidRPr="001C7F69">
              <w:br/>
            </w:r>
          </w:p>
        </w:tc>
        <w:tc>
          <w:tcPr>
            <w:tcW w:w="823" w:type="pct"/>
            <w:tcBorders>
              <w:top w:val="single" w:sz="4" w:space="0" w:color="auto"/>
              <w:bottom w:val="single" w:sz="4" w:space="0" w:color="auto"/>
            </w:tcBorders>
          </w:tcPr>
          <w:p w:rsidR="002602CF" w:rsidRPr="001C7F69" w:rsidRDefault="002602CF" w:rsidP="00D3332C">
            <w:pPr>
              <w:pStyle w:val="TableBodyText"/>
              <w:jc w:val="left"/>
            </w:pPr>
            <w:r w:rsidRPr="001C7F69">
              <w:t>Budgetary outlay (</w:t>
            </w:r>
            <w:proofErr w:type="spellStart"/>
            <w:r w:rsidRPr="001C7F69">
              <w:t>DMO</w:t>
            </w:r>
            <w:proofErr w:type="spellEnd"/>
            <w:r w:rsidRPr="001C7F69">
              <w:t xml:space="preserve"> expenditure)</w:t>
            </w:r>
            <w:r w:rsidRPr="001C7F69">
              <w:br/>
            </w:r>
            <w:r w:rsidRPr="001C7F69">
              <w:br/>
              <w:t>Paid to multinational prime contractors</w:t>
            </w:r>
          </w:p>
        </w:tc>
        <w:tc>
          <w:tcPr>
            <w:tcW w:w="669" w:type="pct"/>
            <w:tcBorders>
              <w:top w:val="single" w:sz="4" w:space="0" w:color="auto"/>
              <w:bottom w:val="single" w:sz="4" w:space="0" w:color="auto"/>
            </w:tcBorders>
          </w:tcPr>
          <w:p w:rsidR="002602CF" w:rsidRPr="001C7F69" w:rsidRDefault="002602CF" w:rsidP="00D3332C">
            <w:pPr>
              <w:pStyle w:val="TableBodyText"/>
              <w:jc w:val="left"/>
            </w:pPr>
            <w:r w:rsidRPr="001C7F69">
              <w:t>Annual expenditure not identified</w:t>
            </w:r>
            <w:r w:rsidRPr="001C7F69">
              <w:br/>
            </w:r>
            <w:r w:rsidRPr="001C7F69">
              <w:br/>
              <w:t xml:space="preserve">Intended </w:t>
            </w:r>
            <w:r w:rsidRPr="001C7F69">
              <w:br/>
              <w:t>$59 million</w:t>
            </w:r>
            <w:r w:rsidRPr="001C7F69">
              <w:br/>
              <w:t>2009–2019</w:t>
            </w:r>
            <w:r w:rsidRPr="001C7F69">
              <w:br/>
            </w:r>
          </w:p>
        </w:tc>
        <w:tc>
          <w:tcPr>
            <w:tcW w:w="523" w:type="pct"/>
            <w:tcBorders>
              <w:top w:val="single" w:sz="4" w:space="0" w:color="auto"/>
              <w:bottom w:val="single" w:sz="4" w:space="0" w:color="auto"/>
            </w:tcBorders>
          </w:tcPr>
          <w:p w:rsidR="002602CF" w:rsidRPr="001C7F69" w:rsidRDefault="002602CF" w:rsidP="00D3332C">
            <w:pPr>
              <w:pStyle w:val="TableBodyText"/>
              <w:ind w:right="28"/>
              <w:jc w:val="left"/>
            </w:pPr>
            <w:r w:rsidRPr="001C7F69">
              <w:t>Currently, seven multinational primes with active annexes are identified, but not amounts</w:t>
            </w:r>
            <w:r w:rsidRPr="001C7F69">
              <w:br/>
            </w:r>
          </w:p>
        </w:tc>
      </w:tr>
      <w:tr w:rsidR="002602CF" w:rsidTr="00C46EA1">
        <w:tc>
          <w:tcPr>
            <w:tcW w:w="824" w:type="pct"/>
            <w:tcBorders>
              <w:top w:val="single" w:sz="4" w:space="0" w:color="auto"/>
              <w:bottom w:val="single" w:sz="4" w:space="0" w:color="auto"/>
            </w:tcBorders>
          </w:tcPr>
          <w:p w:rsidR="002602CF" w:rsidRPr="001C7F69" w:rsidRDefault="002602CF" w:rsidP="00D3332C">
            <w:pPr>
              <w:pStyle w:val="TableBodyText"/>
              <w:jc w:val="left"/>
            </w:pPr>
            <w:r w:rsidRPr="001C7F69">
              <w:t>Priority Industry Capability Innovation Program (</w:t>
            </w:r>
            <w:proofErr w:type="spellStart"/>
            <w:r w:rsidRPr="001C7F69">
              <w:t>PICIP</w:t>
            </w:r>
            <w:proofErr w:type="spellEnd"/>
            <w:r w:rsidRPr="001C7F69">
              <w:t>)</w:t>
            </w:r>
          </w:p>
        </w:tc>
        <w:tc>
          <w:tcPr>
            <w:tcW w:w="2161" w:type="pct"/>
            <w:tcBorders>
              <w:top w:val="single" w:sz="4" w:space="0" w:color="auto"/>
              <w:bottom w:val="single" w:sz="4" w:space="0" w:color="auto"/>
            </w:tcBorders>
          </w:tcPr>
          <w:p w:rsidR="002602CF" w:rsidRPr="001C7F69" w:rsidRDefault="002602CF" w:rsidP="00D3332C">
            <w:pPr>
              <w:pStyle w:val="TableBodyText"/>
              <w:jc w:val="left"/>
            </w:pPr>
            <w:r w:rsidRPr="001C7F69">
              <w:t xml:space="preserve">Provides matched grants (up to $4 million) to Australian defence companies to develop, adopt and commercialise innovative technologies, methodologies, materials or systems in areas defined as </w:t>
            </w:r>
            <w:hyperlink r:id="rId13" w:tgtFrame="_blank" w:tooltip="link to PIC webpage" w:history="1">
              <w:proofErr w:type="spellStart"/>
              <w:r w:rsidRPr="001C7F69">
                <w:t>PICs</w:t>
              </w:r>
              <w:proofErr w:type="spellEnd"/>
              <w:r w:rsidRPr="001C7F69">
                <w:rPr>
                  <w:rStyle w:val="Hyperlink"/>
                </w:rPr>
                <w:t>.</w:t>
              </w:r>
            </w:hyperlink>
            <w:r w:rsidRPr="001C7F69">
              <w:t xml:space="preserve"> The program is intended to focus on assisting small to medium sized enterprises to pursue innovative defence industry projects. Grantees who successfully commercialise their project may be required to make payments to the Government, based on the gross sales revenue generated by the project’s output.</w:t>
            </w:r>
            <w:r w:rsidRPr="001C7F69">
              <w:br/>
            </w:r>
          </w:p>
        </w:tc>
        <w:tc>
          <w:tcPr>
            <w:tcW w:w="823" w:type="pct"/>
            <w:tcBorders>
              <w:top w:val="single" w:sz="4" w:space="0" w:color="auto"/>
              <w:bottom w:val="single" w:sz="4" w:space="0" w:color="auto"/>
            </w:tcBorders>
          </w:tcPr>
          <w:p w:rsidR="002602CF" w:rsidRPr="001C7F69" w:rsidRDefault="002602CF" w:rsidP="00D3332C">
            <w:pPr>
              <w:pStyle w:val="TableBodyText"/>
              <w:jc w:val="left"/>
            </w:pPr>
            <w:r w:rsidRPr="001C7F69">
              <w:t>Budgetary outlay (</w:t>
            </w:r>
            <w:proofErr w:type="spellStart"/>
            <w:r w:rsidRPr="001C7F69">
              <w:t>DMO</w:t>
            </w:r>
            <w:proofErr w:type="spellEnd"/>
            <w:r w:rsidRPr="001C7F69">
              <w:t xml:space="preserve"> expenditure)</w:t>
            </w:r>
            <w:r w:rsidRPr="001C7F69">
              <w:br/>
            </w:r>
            <w:r w:rsidRPr="001C7F69">
              <w:br/>
              <w:t>Discretionary grant to companies</w:t>
            </w:r>
            <w:r w:rsidRPr="001C7F69">
              <w:br/>
            </w:r>
            <w:r w:rsidRPr="001C7F69">
              <w:br/>
              <w:t>Potentially repayable</w:t>
            </w:r>
            <w:r w:rsidRPr="001C7F69">
              <w:br/>
            </w:r>
          </w:p>
        </w:tc>
        <w:tc>
          <w:tcPr>
            <w:tcW w:w="669" w:type="pct"/>
            <w:tcBorders>
              <w:top w:val="single" w:sz="4" w:space="0" w:color="auto"/>
              <w:bottom w:val="single" w:sz="4" w:space="0" w:color="auto"/>
            </w:tcBorders>
          </w:tcPr>
          <w:p w:rsidR="002602CF" w:rsidRPr="001C7F69" w:rsidRDefault="002602CF" w:rsidP="00D3332C">
            <w:pPr>
              <w:pStyle w:val="TableBodyText"/>
              <w:jc w:val="left"/>
            </w:pPr>
            <w:r w:rsidRPr="001C7F69">
              <w:t>$10.4 million  2012</w:t>
            </w:r>
            <w:r w:rsidRPr="001C7F69">
              <w:noBreakHyphen/>
              <w:t>13</w:t>
            </w:r>
            <w:r w:rsidRPr="001C7F69">
              <w:br/>
            </w:r>
            <w:r w:rsidRPr="001C7F69">
              <w:br/>
              <w:t>$13.3 million 2011</w:t>
            </w:r>
            <w:r w:rsidRPr="001C7F69">
              <w:noBreakHyphen/>
              <w:t>12</w:t>
            </w:r>
            <w:r w:rsidRPr="001C7F69">
              <w:br/>
            </w:r>
            <w:r w:rsidRPr="001C7F69">
              <w:br/>
              <w:t xml:space="preserve">Intended $44.9 million </w:t>
            </w:r>
            <w:r w:rsidRPr="001C7F69">
              <w:br/>
              <w:t>2011 to 2019</w:t>
            </w:r>
          </w:p>
        </w:tc>
        <w:tc>
          <w:tcPr>
            <w:tcW w:w="523" w:type="pct"/>
            <w:tcBorders>
              <w:top w:val="single" w:sz="4" w:space="0" w:color="auto"/>
              <w:bottom w:val="single" w:sz="4" w:space="0" w:color="auto"/>
            </w:tcBorders>
          </w:tcPr>
          <w:p w:rsidR="002602CF" w:rsidRPr="001C7F69" w:rsidRDefault="002602CF" w:rsidP="00D3332C">
            <w:pPr>
              <w:pStyle w:val="TableBodyText"/>
              <w:ind w:right="28"/>
              <w:jc w:val="left"/>
            </w:pPr>
            <w:r w:rsidRPr="001C7F69">
              <w:t>Recipients and amounts identifiable</w:t>
            </w:r>
          </w:p>
        </w:tc>
      </w:tr>
      <w:tr w:rsidR="002602CF" w:rsidTr="00C46EA1">
        <w:tc>
          <w:tcPr>
            <w:tcW w:w="824" w:type="pct"/>
            <w:tcBorders>
              <w:top w:val="single" w:sz="4" w:space="0" w:color="auto"/>
              <w:bottom w:val="single" w:sz="4" w:space="0" w:color="auto"/>
            </w:tcBorders>
          </w:tcPr>
          <w:p w:rsidR="002602CF" w:rsidRPr="001C7F69" w:rsidRDefault="002602CF" w:rsidP="00D3332C">
            <w:pPr>
              <w:pStyle w:val="TableBodyText"/>
              <w:jc w:val="left"/>
            </w:pPr>
            <w:r w:rsidRPr="001C7F69">
              <w:t>Skilling Australian Defence Industry (</w:t>
            </w:r>
            <w:proofErr w:type="spellStart"/>
            <w:r w:rsidRPr="001C7F69">
              <w:t>SADI</w:t>
            </w:r>
            <w:proofErr w:type="spellEnd"/>
            <w:r w:rsidRPr="001C7F69">
              <w:t>)</w:t>
            </w:r>
          </w:p>
        </w:tc>
        <w:tc>
          <w:tcPr>
            <w:tcW w:w="2161" w:type="pct"/>
            <w:tcBorders>
              <w:top w:val="single" w:sz="4" w:space="0" w:color="auto"/>
              <w:bottom w:val="single" w:sz="4" w:space="0" w:color="auto"/>
            </w:tcBorders>
          </w:tcPr>
          <w:p w:rsidR="002602CF" w:rsidRPr="001C7F69" w:rsidRDefault="002602CF" w:rsidP="00D3332C">
            <w:pPr>
              <w:pStyle w:val="TableBodyText"/>
              <w:jc w:val="left"/>
            </w:pPr>
            <w:r w:rsidRPr="001C7F69">
              <w:t xml:space="preserve">The </w:t>
            </w:r>
            <w:proofErr w:type="spellStart"/>
            <w:r w:rsidRPr="001C7F69">
              <w:t>SADI</w:t>
            </w:r>
            <w:proofErr w:type="spellEnd"/>
            <w:r w:rsidRPr="001C7F69">
              <w:t xml:space="preserve"> program started in 2005 with three main aims: to up-skill existing employees in the defence industry; to improve the quality and quantity of skills training in defence industry; and to generate additional skilled positions. </w:t>
            </w:r>
            <w:r w:rsidRPr="001C7F69">
              <w:br/>
              <w:t>Since its inception, nearly 200 defence companies and organisations have been provided with funding support.</w:t>
            </w:r>
          </w:p>
        </w:tc>
        <w:tc>
          <w:tcPr>
            <w:tcW w:w="823" w:type="pct"/>
            <w:tcBorders>
              <w:top w:val="single" w:sz="4" w:space="0" w:color="auto"/>
              <w:bottom w:val="single" w:sz="4" w:space="0" w:color="auto"/>
            </w:tcBorders>
          </w:tcPr>
          <w:p w:rsidR="002602CF" w:rsidRPr="001C7F69" w:rsidRDefault="002602CF" w:rsidP="00D3332C">
            <w:pPr>
              <w:pStyle w:val="TableBodyText"/>
              <w:jc w:val="left"/>
              <w:rPr>
                <w:rStyle w:val="Hyperlink"/>
                <w:u w:val="none"/>
              </w:rPr>
            </w:pPr>
            <w:r w:rsidRPr="001C7F69">
              <w:rPr>
                <w:rStyle w:val="Hyperlink"/>
                <w:color w:val="auto"/>
                <w:u w:val="none"/>
              </w:rPr>
              <w:t>Budgetary outlay (</w:t>
            </w:r>
            <w:proofErr w:type="spellStart"/>
            <w:r w:rsidRPr="001C7F69">
              <w:rPr>
                <w:rStyle w:val="Hyperlink"/>
                <w:color w:val="auto"/>
                <w:u w:val="none"/>
              </w:rPr>
              <w:t>DMO</w:t>
            </w:r>
            <w:proofErr w:type="spellEnd"/>
            <w:r w:rsidRPr="001C7F69">
              <w:rPr>
                <w:rStyle w:val="Hyperlink"/>
                <w:color w:val="auto"/>
                <w:u w:val="none"/>
              </w:rPr>
              <w:t xml:space="preserve"> expenditure)</w:t>
            </w:r>
            <w:r w:rsidRPr="001C7F69">
              <w:rPr>
                <w:rStyle w:val="Hyperlink"/>
                <w:color w:val="auto"/>
                <w:u w:val="none"/>
              </w:rPr>
              <w:br/>
            </w:r>
            <w:r w:rsidRPr="001C7F69">
              <w:rPr>
                <w:rStyle w:val="Hyperlink"/>
                <w:color w:val="auto"/>
                <w:u w:val="none"/>
              </w:rPr>
              <w:br/>
              <w:t>Discretionary grant to defence companies</w:t>
            </w:r>
          </w:p>
        </w:tc>
        <w:tc>
          <w:tcPr>
            <w:tcW w:w="669" w:type="pct"/>
            <w:tcBorders>
              <w:top w:val="single" w:sz="4" w:space="0" w:color="auto"/>
              <w:bottom w:val="single" w:sz="4" w:space="0" w:color="auto"/>
            </w:tcBorders>
          </w:tcPr>
          <w:p w:rsidR="002602CF" w:rsidRPr="001C7F69" w:rsidRDefault="002602CF" w:rsidP="00910FE5">
            <w:pPr>
              <w:pStyle w:val="TableBodyText"/>
              <w:jc w:val="left"/>
            </w:pPr>
            <w:r w:rsidRPr="001C7F69">
              <w:t>Over $20 million</w:t>
            </w:r>
            <w:r w:rsidRPr="001C7F69">
              <w:br/>
              <w:t>2012</w:t>
            </w:r>
            <w:r w:rsidRPr="001C7F69">
              <w:noBreakHyphen/>
              <w:t>13</w:t>
            </w:r>
            <w:r w:rsidRPr="001C7F69">
              <w:rPr>
                <w:rStyle w:val="Hyperlink"/>
              </w:rPr>
              <w:br/>
            </w:r>
            <w:r w:rsidRPr="001C7F69">
              <w:rPr>
                <w:rStyle w:val="Hyperlink"/>
                <w:color w:val="auto"/>
                <w:u w:val="none"/>
              </w:rPr>
              <w:br/>
              <w:t xml:space="preserve">Intended $215 million </w:t>
            </w:r>
            <w:r w:rsidRPr="001C7F69">
              <w:rPr>
                <w:rStyle w:val="Hyperlink"/>
                <w:color w:val="auto"/>
                <w:u w:val="none"/>
              </w:rPr>
              <w:br/>
              <w:t>2005 to 2015</w:t>
            </w:r>
          </w:p>
        </w:tc>
        <w:tc>
          <w:tcPr>
            <w:tcW w:w="523" w:type="pct"/>
            <w:tcBorders>
              <w:top w:val="single" w:sz="4" w:space="0" w:color="auto"/>
              <w:bottom w:val="single" w:sz="4" w:space="0" w:color="auto"/>
            </w:tcBorders>
          </w:tcPr>
          <w:p w:rsidR="002602CF" w:rsidRPr="001C7F69" w:rsidRDefault="002602CF" w:rsidP="00D3332C">
            <w:pPr>
              <w:pStyle w:val="TableBodyText"/>
              <w:ind w:right="28"/>
              <w:jc w:val="left"/>
            </w:pPr>
            <w:r w:rsidRPr="001C7F69">
              <w:t>Recipients and amounts identifiable</w:t>
            </w:r>
            <w:r w:rsidRPr="001C7F69">
              <w:br/>
            </w:r>
            <w:r w:rsidRPr="001C7F69">
              <w:br/>
              <w:t>Over 200 grants 2012</w:t>
            </w:r>
            <w:r w:rsidRPr="001C7F69">
              <w:noBreakHyphen/>
              <w:t>13</w:t>
            </w:r>
          </w:p>
        </w:tc>
      </w:tr>
    </w:tbl>
    <w:p w:rsidR="009C0538" w:rsidRPr="00A6566D" w:rsidRDefault="009C0538" w:rsidP="00A6566D">
      <w:pPr>
        <w:pStyle w:val="Continued"/>
      </w:pPr>
      <w:r w:rsidRPr="00A6566D">
        <w:t>(continued next page)</w:t>
      </w:r>
    </w:p>
    <w:p w:rsidR="00686322" w:rsidRPr="001718CE" w:rsidRDefault="00686322" w:rsidP="00686322">
      <w:pPr>
        <w:pStyle w:val="TableTitle"/>
        <w:rPr>
          <w:rFonts w:ascii="Times New Roman" w:hAnsi="Times New Roman"/>
          <w:sz w:val="26"/>
        </w:rPr>
      </w:pPr>
      <w:r w:rsidRPr="00686322">
        <w:rPr>
          <w:b w:val="0"/>
        </w:rPr>
        <w:lastRenderedPageBreak/>
        <w:t xml:space="preserve">Table </w:t>
      </w:r>
      <w:proofErr w:type="spellStart"/>
      <w:r w:rsidRPr="00686322">
        <w:rPr>
          <w:b w:val="0"/>
        </w:rPr>
        <w:t>B.</w:t>
      </w:r>
      <w:r w:rsidRPr="00686322">
        <w:rPr>
          <w:b w:val="0"/>
          <w:noProof/>
        </w:rPr>
        <w:t>1</w:t>
      </w:r>
      <w:proofErr w:type="spellEnd"/>
      <w:r>
        <w:tab/>
      </w:r>
      <w:r w:rsidRPr="00686322">
        <w:rPr>
          <w:sz w:val="20"/>
        </w:rPr>
        <w:t>(continued)</w:t>
      </w:r>
    </w:p>
    <w:tbl>
      <w:tblPr>
        <w:tblW w:w="5116" w:type="pct"/>
        <w:tblLayout w:type="fixed"/>
        <w:tblCellMar>
          <w:left w:w="0" w:type="dxa"/>
          <w:right w:w="0" w:type="dxa"/>
        </w:tblCellMar>
        <w:tblLook w:val="0000" w:firstRow="0" w:lastRow="0" w:firstColumn="0" w:lastColumn="0" w:noHBand="0" w:noVBand="0"/>
      </w:tblPr>
      <w:tblGrid>
        <w:gridCol w:w="2100"/>
        <w:gridCol w:w="5981"/>
        <w:gridCol w:w="2269"/>
        <w:gridCol w:w="2131"/>
        <w:gridCol w:w="1268"/>
      </w:tblGrid>
      <w:tr w:rsidR="002602CF" w:rsidRPr="0099051E" w:rsidTr="001A2FBD">
        <w:trPr>
          <w:trHeight w:val="340"/>
        </w:trPr>
        <w:tc>
          <w:tcPr>
            <w:tcW w:w="764" w:type="pct"/>
            <w:tcBorders>
              <w:top w:val="single" w:sz="6" w:space="0" w:color="auto"/>
              <w:bottom w:val="single" w:sz="6" w:space="0" w:color="auto"/>
            </w:tcBorders>
            <w:shd w:val="clear" w:color="auto" w:fill="auto"/>
            <w:vAlign w:val="bottom"/>
          </w:tcPr>
          <w:p w:rsidR="007C4208" w:rsidRPr="00102686" w:rsidRDefault="002602CF" w:rsidP="00A34665">
            <w:pPr>
              <w:pStyle w:val="TableColumnHeading"/>
              <w:jc w:val="left"/>
            </w:pPr>
            <w:r w:rsidRPr="00102686">
              <w:t>Program</w:t>
            </w:r>
          </w:p>
        </w:tc>
        <w:tc>
          <w:tcPr>
            <w:tcW w:w="2175" w:type="pct"/>
            <w:tcBorders>
              <w:top w:val="single" w:sz="6" w:space="0" w:color="auto"/>
              <w:bottom w:val="single" w:sz="6" w:space="0" w:color="auto"/>
            </w:tcBorders>
            <w:vAlign w:val="bottom"/>
          </w:tcPr>
          <w:p w:rsidR="007C4208" w:rsidRPr="00102686" w:rsidRDefault="002602CF" w:rsidP="002602CF">
            <w:pPr>
              <w:pStyle w:val="TableColumnHeading"/>
              <w:jc w:val="center"/>
            </w:pPr>
            <w:r w:rsidRPr="00102686">
              <w:t>Description</w:t>
            </w:r>
          </w:p>
        </w:tc>
        <w:tc>
          <w:tcPr>
            <w:tcW w:w="825" w:type="pct"/>
            <w:tcBorders>
              <w:top w:val="single" w:sz="6" w:space="0" w:color="auto"/>
              <w:bottom w:val="single" w:sz="6" w:space="0" w:color="auto"/>
            </w:tcBorders>
            <w:vAlign w:val="bottom"/>
          </w:tcPr>
          <w:p w:rsidR="007C4208" w:rsidRPr="00102686" w:rsidRDefault="002602CF" w:rsidP="00A34665">
            <w:pPr>
              <w:pStyle w:val="TableColumnHeading"/>
              <w:jc w:val="left"/>
            </w:pPr>
            <w:r w:rsidRPr="00102686">
              <w:t>Type of support</w:t>
            </w:r>
          </w:p>
        </w:tc>
        <w:tc>
          <w:tcPr>
            <w:tcW w:w="775" w:type="pct"/>
            <w:tcBorders>
              <w:top w:val="single" w:sz="6" w:space="0" w:color="auto"/>
              <w:bottom w:val="single" w:sz="6" w:space="0" w:color="auto"/>
            </w:tcBorders>
            <w:shd w:val="clear" w:color="auto" w:fill="auto"/>
            <w:vAlign w:val="bottom"/>
          </w:tcPr>
          <w:p w:rsidR="007C4208" w:rsidRPr="00102686" w:rsidRDefault="002602CF" w:rsidP="00A34665">
            <w:pPr>
              <w:pStyle w:val="TableColumnHeading"/>
              <w:jc w:val="left"/>
            </w:pPr>
            <w:r w:rsidRPr="00102686">
              <w:t>Funding and timing</w:t>
            </w:r>
          </w:p>
        </w:tc>
        <w:tc>
          <w:tcPr>
            <w:tcW w:w="461" w:type="pct"/>
            <w:tcBorders>
              <w:top w:val="single" w:sz="6" w:space="0" w:color="auto"/>
              <w:bottom w:val="single" w:sz="6" w:space="0" w:color="auto"/>
            </w:tcBorders>
            <w:shd w:val="clear" w:color="auto" w:fill="auto"/>
            <w:vAlign w:val="bottom"/>
          </w:tcPr>
          <w:p w:rsidR="007C4208" w:rsidRPr="006C4FA7" w:rsidRDefault="002602CF" w:rsidP="00A34665">
            <w:pPr>
              <w:pStyle w:val="TableColumnHeading"/>
              <w:ind w:right="28"/>
              <w:jc w:val="left"/>
            </w:pPr>
            <w:r w:rsidRPr="006C4FA7">
              <w:t>Recipients information</w:t>
            </w:r>
          </w:p>
        </w:tc>
      </w:tr>
      <w:tr w:rsidR="001A2FBD" w:rsidRPr="0099051E" w:rsidTr="001A2FBD">
        <w:tc>
          <w:tcPr>
            <w:tcW w:w="764" w:type="pct"/>
            <w:tcBorders>
              <w:top w:val="single" w:sz="4" w:space="0" w:color="auto"/>
              <w:bottom w:val="single" w:sz="4" w:space="0" w:color="auto"/>
            </w:tcBorders>
          </w:tcPr>
          <w:p w:rsidR="001A2FBD" w:rsidRPr="00102686" w:rsidRDefault="001A2FBD" w:rsidP="001718CE">
            <w:pPr>
              <w:pStyle w:val="TableBodyText"/>
              <w:jc w:val="left"/>
            </w:pPr>
            <w:r w:rsidRPr="00102686">
              <w:t>Defence Industry Innovation Centre (</w:t>
            </w:r>
            <w:proofErr w:type="spellStart"/>
            <w:r w:rsidRPr="00102686">
              <w:t>DIIC</w:t>
            </w:r>
            <w:proofErr w:type="spellEnd"/>
            <w:r w:rsidRPr="00102686">
              <w:t>)</w:t>
            </w:r>
          </w:p>
        </w:tc>
        <w:tc>
          <w:tcPr>
            <w:tcW w:w="2175" w:type="pct"/>
            <w:tcBorders>
              <w:top w:val="single" w:sz="4" w:space="0" w:color="auto"/>
              <w:bottom w:val="single" w:sz="4" w:space="0" w:color="auto"/>
            </w:tcBorders>
          </w:tcPr>
          <w:p w:rsidR="001A2FBD" w:rsidRPr="00102686" w:rsidRDefault="001A2FBD" w:rsidP="001718CE">
            <w:pPr>
              <w:pStyle w:val="TableBodyText"/>
              <w:jc w:val="left"/>
            </w:pPr>
            <w:r w:rsidRPr="00102686">
              <w:t xml:space="preserve">The Centre provides a range of services intended to link small and medium defence businesses to new ideas, technologies and markets. As well as offering the complete suite of Enterprise Connect Services (a </w:t>
            </w:r>
            <w:proofErr w:type="spellStart"/>
            <w:r w:rsidRPr="00102686">
              <w:t>DIISR</w:t>
            </w:r>
            <w:proofErr w:type="spellEnd"/>
            <w:r w:rsidRPr="00102686">
              <w:t xml:space="preserve"> program available generally to Australian </w:t>
            </w:r>
            <w:proofErr w:type="spellStart"/>
            <w:r w:rsidRPr="00102686">
              <w:t>SMEs</w:t>
            </w:r>
            <w:proofErr w:type="spellEnd"/>
            <w:r w:rsidRPr="00102686">
              <w:t>), the Centre delivers three main services to businesses: the Defence Industry Change Plan (</w:t>
            </w:r>
            <w:proofErr w:type="spellStart"/>
            <w:r w:rsidRPr="00102686">
              <w:t>DICP</w:t>
            </w:r>
            <w:proofErr w:type="spellEnd"/>
            <w:r w:rsidRPr="00102686">
              <w:t>) which provides defence specific advice, guidance and implementation support to businesses; the Supplier Continuous Improvement Program (</w:t>
            </w:r>
            <w:proofErr w:type="spellStart"/>
            <w:r w:rsidRPr="00102686">
              <w:t>SCIP</w:t>
            </w:r>
            <w:proofErr w:type="spellEnd"/>
            <w:r w:rsidRPr="00102686">
              <w:t xml:space="preserve">) which is a change program; and the Business Review which involves a top-to-bottom analysis of a business which is carried out on site. Business advisers also provide connections to researchers, industry associations, training and other sources of funding and advice. All of these services are confidential and delivered at no charge. Funding is available through the Tailored Advisory Service (TAS) to help businesses implement the recommendations that flow from a Business Review or </w:t>
            </w:r>
            <w:proofErr w:type="spellStart"/>
            <w:r w:rsidRPr="00102686">
              <w:t>SCIP</w:t>
            </w:r>
            <w:proofErr w:type="spellEnd"/>
            <w:r w:rsidRPr="00102686">
              <w:t>.</w:t>
            </w:r>
          </w:p>
        </w:tc>
        <w:tc>
          <w:tcPr>
            <w:tcW w:w="825" w:type="pct"/>
            <w:tcBorders>
              <w:top w:val="single" w:sz="4" w:space="0" w:color="auto"/>
              <w:bottom w:val="single" w:sz="4" w:space="0" w:color="auto"/>
            </w:tcBorders>
          </w:tcPr>
          <w:p w:rsidR="001A2FBD" w:rsidRPr="00102686" w:rsidRDefault="001A2FBD" w:rsidP="002602CF">
            <w:pPr>
              <w:pStyle w:val="TableBodyText"/>
              <w:jc w:val="left"/>
            </w:pPr>
            <w:r w:rsidRPr="00102686">
              <w:t>Budgetary outlay (</w:t>
            </w:r>
            <w:proofErr w:type="spellStart"/>
            <w:r w:rsidRPr="00102686">
              <w:t>DMO</w:t>
            </w:r>
            <w:proofErr w:type="spellEnd"/>
            <w:r w:rsidRPr="00102686">
              <w:t xml:space="preserve"> expenditure)</w:t>
            </w:r>
          </w:p>
          <w:p w:rsidR="001A2FBD" w:rsidRPr="00102686" w:rsidRDefault="001A2FBD" w:rsidP="002602CF">
            <w:pPr>
              <w:pStyle w:val="TableBodyText"/>
              <w:jc w:val="left"/>
            </w:pPr>
          </w:p>
          <w:p w:rsidR="001A2FBD" w:rsidRPr="00102686" w:rsidRDefault="001A2FBD" w:rsidP="002602CF">
            <w:pPr>
              <w:pStyle w:val="TableBodyText"/>
              <w:jc w:val="left"/>
            </w:pPr>
            <w:r w:rsidRPr="00102686">
              <w:t>Service provider</w:t>
            </w:r>
          </w:p>
          <w:p w:rsidR="001A2FBD" w:rsidRPr="00102686" w:rsidRDefault="001A2FBD" w:rsidP="002602CF">
            <w:pPr>
              <w:pStyle w:val="TableBodyText"/>
              <w:jc w:val="left"/>
            </w:pPr>
          </w:p>
          <w:p w:rsidR="001A2FBD" w:rsidRPr="00102686" w:rsidRDefault="001A2FBD" w:rsidP="002602CF">
            <w:pPr>
              <w:pStyle w:val="TableBodyText"/>
              <w:jc w:val="left"/>
            </w:pPr>
            <w:r w:rsidRPr="00102686">
              <w:t>Free of charge to defence business</w:t>
            </w:r>
          </w:p>
        </w:tc>
        <w:tc>
          <w:tcPr>
            <w:tcW w:w="775" w:type="pct"/>
            <w:tcBorders>
              <w:top w:val="single" w:sz="4" w:space="0" w:color="auto"/>
              <w:bottom w:val="single" w:sz="4" w:space="0" w:color="auto"/>
            </w:tcBorders>
          </w:tcPr>
          <w:p w:rsidR="001A2FBD" w:rsidRPr="00102686" w:rsidRDefault="001A2FBD" w:rsidP="002602CF">
            <w:pPr>
              <w:pStyle w:val="TableBodyText"/>
              <w:jc w:val="left"/>
            </w:pPr>
            <w:r w:rsidRPr="00102686">
              <w:t>Annual expenditure not identified</w:t>
            </w:r>
          </w:p>
          <w:p w:rsidR="001A2FBD" w:rsidRPr="00102686" w:rsidRDefault="001A2FBD" w:rsidP="002602CF">
            <w:pPr>
              <w:pStyle w:val="TableBodyText"/>
              <w:jc w:val="left"/>
            </w:pPr>
          </w:p>
          <w:p w:rsidR="001A2FBD" w:rsidRPr="00102686" w:rsidRDefault="001A2FBD" w:rsidP="002602CF">
            <w:pPr>
              <w:pStyle w:val="TableBodyText"/>
              <w:jc w:val="left"/>
              <w:rPr>
                <w:i/>
              </w:rPr>
            </w:pPr>
            <w:r w:rsidRPr="00102686">
              <w:t>Commenced 200</w:t>
            </w:r>
            <w:r w:rsidRPr="00102686">
              <w:rPr>
                <w:i/>
              </w:rPr>
              <w:t>9</w:t>
            </w:r>
          </w:p>
        </w:tc>
        <w:tc>
          <w:tcPr>
            <w:tcW w:w="461" w:type="pct"/>
            <w:tcBorders>
              <w:top w:val="single" w:sz="4" w:space="0" w:color="auto"/>
              <w:bottom w:val="single" w:sz="4" w:space="0" w:color="auto"/>
            </w:tcBorders>
          </w:tcPr>
          <w:p w:rsidR="001A2FBD" w:rsidRDefault="001A2FBD" w:rsidP="004E5DEF">
            <w:pPr>
              <w:pStyle w:val="TableBodyText"/>
              <w:ind w:right="28"/>
              <w:jc w:val="left"/>
            </w:pPr>
            <w:r>
              <w:t>Recipients not identified</w:t>
            </w:r>
          </w:p>
        </w:tc>
      </w:tr>
      <w:tr w:rsidR="001A2FBD" w:rsidRPr="0099051E" w:rsidTr="001A2FBD">
        <w:tc>
          <w:tcPr>
            <w:tcW w:w="764" w:type="pct"/>
            <w:tcBorders>
              <w:top w:val="single" w:sz="4" w:space="0" w:color="auto"/>
              <w:bottom w:val="single" w:sz="4" w:space="0" w:color="auto"/>
            </w:tcBorders>
          </w:tcPr>
          <w:p w:rsidR="001A2FBD" w:rsidRPr="001C7F69" w:rsidRDefault="001A2FBD" w:rsidP="001718CE">
            <w:pPr>
              <w:pStyle w:val="TableBodyText"/>
              <w:jc w:val="left"/>
            </w:pPr>
            <w:r w:rsidRPr="001C7F69">
              <w:t>Industry Skilling Program Enhancement (</w:t>
            </w:r>
            <w:proofErr w:type="spellStart"/>
            <w:r w:rsidRPr="001C7F69">
              <w:t>ISPE</w:t>
            </w:r>
            <w:proofErr w:type="spellEnd"/>
            <w:r w:rsidR="009A37F3" w:rsidRPr="001C7F69">
              <w:t>)</w:t>
            </w:r>
          </w:p>
        </w:tc>
        <w:tc>
          <w:tcPr>
            <w:tcW w:w="2175" w:type="pct"/>
            <w:tcBorders>
              <w:top w:val="single" w:sz="4" w:space="0" w:color="auto"/>
              <w:bottom w:val="single" w:sz="4" w:space="0" w:color="auto"/>
            </w:tcBorders>
          </w:tcPr>
          <w:p w:rsidR="001A2FBD" w:rsidRPr="001C7F69" w:rsidRDefault="001A2FBD" w:rsidP="001718CE">
            <w:pPr>
              <w:pStyle w:val="TableBodyText"/>
              <w:jc w:val="left"/>
            </w:pPr>
            <w:r w:rsidRPr="001C7F69">
              <w:t>The program is intended to expand the pool of skilled workers from which defence industry can recruit, enhance work and career pathways and address specific skills gaps in defence industry capability. Package elements include targeting surplus workers in other industries experiencing downturns, school curriculum pathway programs, developing higher education masters courses, engineering internships, and branding the defence industry sector as a career.</w:t>
            </w:r>
          </w:p>
        </w:tc>
        <w:tc>
          <w:tcPr>
            <w:tcW w:w="825" w:type="pct"/>
            <w:tcBorders>
              <w:top w:val="single" w:sz="4" w:space="0" w:color="auto"/>
              <w:bottom w:val="single" w:sz="4" w:space="0" w:color="auto"/>
            </w:tcBorders>
          </w:tcPr>
          <w:p w:rsidR="001A2FBD" w:rsidRPr="001C7F69" w:rsidRDefault="001A2FBD" w:rsidP="002602CF">
            <w:pPr>
              <w:pStyle w:val="TableBodyText"/>
              <w:jc w:val="left"/>
            </w:pPr>
            <w:r w:rsidRPr="001C7F69">
              <w:t>Budgetary outlay (</w:t>
            </w:r>
            <w:proofErr w:type="spellStart"/>
            <w:r w:rsidRPr="001C7F69">
              <w:t>DMO</w:t>
            </w:r>
            <w:proofErr w:type="spellEnd"/>
            <w:r w:rsidRPr="001C7F69">
              <w:t xml:space="preserve"> expenditure)</w:t>
            </w:r>
          </w:p>
          <w:p w:rsidR="001A2FBD" w:rsidRPr="001C7F69" w:rsidRDefault="001A2FBD" w:rsidP="002602CF">
            <w:pPr>
              <w:pStyle w:val="TableBodyText"/>
              <w:jc w:val="left"/>
            </w:pPr>
          </w:p>
          <w:p w:rsidR="001A2FBD" w:rsidRPr="001C7F69" w:rsidRDefault="001A2FBD" w:rsidP="002602CF">
            <w:pPr>
              <w:pStyle w:val="TableBodyText"/>
              <w:jc w:val="left"/>
            </w:pPr>
            <w:r w:rsidRPr="001C7F69">
              <w:t>Discretionary grant to defence companies and service providers</w:t>
            </w:r>
          </w:p>
        </w:tc>
        <w:tc>
          <w:tcPr>
            <w:tcW w:w="775" w:type="pct"/>
            <w:tcBorders>
              <w:top w:val="single" w:sz="4" w:space="0" w:color="auto"/>
              <w:bottom w:val="single" w:sz="4" w:space="0" w:color="auto"/>
            </w:tcBorders>
          </w:tcPr>
          <w:p w:rsidR="001A2FBD" w:rsidRPr="001C7F69" w:rsidRDefault="001A2FBD" w:rsidP="001A2FBD">
            <w:pPr>
              <w:pStyle w:val="TableBodyText"/>
              <w:jc w:val="left"/>
            </w:pPr>
            <w:r w:rsidRPr="001C7F69">
              <w:t xml:space="preserve">$0.3 million </w:t>
            </w:r>
          </w:p>
          <w:p w:rsidR="001A2FBD" w:rsidRPr="001C7F69" w:rsidRDefault="00C76639" w:rsidP="001A2FBD">
            <w:pPr>
              <w:pStyle w:val="TableBodyText"/>
              <w:jc w:val="left"/>
            </w:pPr>
            <w:r w:rsidRPr="001C7F69">
              <w:t>2012-</w:t>
            </w:r>
            <w:r w:rsidR="001A2FBD" w:rsidRPr="001C7F69">
              <w:t xml:space="preserve">13 </w:t>
            </w:r>
          </w:p>
          <w:p w:rsidR="001A2FBD" w:rsidRPr="001C7F69" w:rsidRDefault="001A2FBD" w:rsidP="001A2FBD">
            <w:pPr>
              <w:pStyle w:val="TableBodyText"/>
              <w:jc w:val="left"/>
            </w:pPr>
          </w:p>
          <w:p w:rsidR="001A2FBD" w:rsidRPr="001C7F69" w:rsidRDefault="001A2FBD" w:rsidP="001A2FBD">
            <w:pPr>
              <w:pStyle w:val="TableBodyText"/>
              <w:jc w:val="left"/>
            </w:pPr>
            <w:r w:rsidRPr="001C7F69">
              <w:t xml:space="preserve">Intended $60.8 million </w:t>
            </w:r>
          </w:p>
          <w:p w:rsidR="001A2FBD" w:rsidRPr="001C7F69" w:rsidRDefault="001A2FBD" w:rsidP="001A2FBD">
            <w:pPr>
              <w:pStyle w:val="TableBodyText"/>
              <w:jc w:val="left"/>
            </w:pPr>
            <w:r w:rsidRPr="001C7F69">
              <w:t>2008 to 2014</w:t>
            </w:r>
          </w:p>
        </w:tc>
        <w:tc>
          <w:tcPr>
            <w:tcW w:w="461" w:type="pct"/>
            <w:tcBorders>
              <w:top w:val="single" w:sz="4" w:space="0" w:color="auto"/>
              <w:bottom w:val="single" w:sz="4" w:space="0" w:color="auto"/>
            </w:tcBorders>
          </w:tcPr>
          <w:p w:rsidR="001A2FBD" w:rsidRPr="001C7F69" w:rsidRDefault="001A2FBD" w:rsidP="004E5DEF">
            <w:pPr>
              <w:pStyle w:val="TableBodyText"/>
              <w:ind w:right="28"/>
              <w:jc w:val="left"/>
            </w:pPr>
            <w:r w:rsidRPr="001C7F69">
              <w:t>Recipients and amounts identifiable</w:t>
            </w:r>
          </w:p>
        </w:tc>
      </w:tr>
      <w:tr w:rsidR="001A2FBD" w:rsidRPr="0099051E" w:rsidTr="001A2FBD">
        <w:trPr>
          <w:trHeight w:val="1508"/>
        </w:trPr>
        <w:tc>
          <w:tcPr>
            <w:tcW w:w="764" w:type="pct"/>
            <w:tcBorders>
              <w:top w:val="single" w:sz="4" w:space="0" w:color="auto"/>
              <w:bottom w:val="single" w:sz="4" w:space="0" w:color="auto"/>
            </w:tcBorders>
          </w:tcPr>
          <w:p w:rsidR="001A2FBD" w:rsidRPr="001C7F69" w:rsidRDefault="001A2FBD" w:rsidP="009F3915">
            <w:pPr>
              <w:pStyle w:val="TableBodyText"/>
              <w:jc w:val="left"/>
            </w:pPr>
            <w:r w:rsidRPr="001C7F69">
              <w:t>Capability and Technology Demonstrator (</w:t>
            </w:r>
            <w:proofErr w:type="spellStart"/>
            <w:r w:rsidRPr="001C7F69">
              <w:t>CTD</w:t>
            </w:r>
            <w:proofErr w:type="spellEnd"/>
            <w:r w:rsidRPr="001C7F69">
              <w:t>)</w:t>
            </w:r>
          </w:p>
        </w:tc>
        <w:tc>
          <w:tcPr>
            <w:tcW w:w="2175" w:type="pct"/>
            <w:tcBorders>
              <w:top w:val="single" w:sz="4" w:space="0" w:color="auto"/>
              <w:bottom w:val="single" w:sz="4" w:space="0" w:color="auto"/>
            </w:tcBorders>
          </w:tcPr>
          <w:p w:rsidR="001A2FBD" w:rsidRPr="001C7F69" w:rsidRDefault="001A2FBD" w:rsidP="002602CF">
            <w:pPr>
              <w:pStyle w:val="TableBodyText"/>
              <w:jc w:val="left"/>
            </w:pPr>
            <w:r w:rsidRPr="001C7F69">
              <w:t xml:space="preserve">The </w:t>
            </w:r>
            <w:proofErr w:type="spellStart"/>
            <w:r w:rsidRPr="001C7F69">
              <w:t>CTD</w:t>
            </w:r>
            <w:proofErr w:type="spellEnd"/>
            <w:r w:rsidRPr="001C7F69">
              <w:t xml:space="preserve"> Program was established in 1997 to give Australian defence industry opportunities to demonstrate how its ideas and technologies could enhance Australian Defence Force (</w:t>
            </w:r>
            <w:proofErr w:type="spellStart"/>
            <w:r w:rsidRPr="001C7F69">
              <w:t>ADF</w:t>
            </w:r>
            <w:proofErr w:type="spellEnd"/>
            <w:r w:rsidRPr="001C7F69">
              <w:t xml:space="preserve">) capability. </w:t>
            </w:r>
          </w:p>
          <w:p w:rsidR="001A2FBD" w:rsidRPr="001C7F69" w:rsidRDefault="001A2FBD" w:rsidP="002602CF">
            <w:pPr>
              <w:pStyle w:val="TableBodyText"/>
              <w:jc w:val="left"/>
            </w:pPr>
            <w:r w:rsidRPr="001C7F69">
              <w:t xml:space="preserve">Over 100 technology demonstrations have been funded with 14 </w:t>
            </w:r>
            <w:proofErr w:type="spellStart"/>
            <w:r w:rsidRPr="001C7F69">
              <w:t>CTDs</w:t>
            </w:r>
            <w:proofErr w:type="spellEnd"/>
            <w:r w:rsidRPr="001C7F69">
              <w:t xml:space="preserve"> having entered service with the </w:t>
            </w:r>
            <w:proofErr w:type="spellStart"/>
            <w:r w:rsidRPr="001C7F69">
              <w:t>ADF</w:t>
            </w:r>
            <w:proofErr w:type="spellEnd"/>
            <w:r w:rsidRPr="001C7F69">
              <w:t>.</w:t>
            </w:r>
          </w:p>
        </w:tc>
        <w:tc>
          <w:tcPr>
            <w:tcW w:w="825" w:type="pct"/>
            <w:tcBorders>
              <w:top w:val="single" w:sz="4" w:space="0" w:color="auto"/>
              <w:bottom w:val="single" w:sz="4" w:space="0" w:color="auto"/>
            </w:tcBorders>
          </w:tcPr>
          <w:p w:rsidR="001A2FBD" w:rsidRPr="001C7F69" w:rsidRDefault="001A2FBD" w:rsidP="002602CF">
            <w:pPr>
              <w:pStyle w:val="TableBodyText"/>
              <w:jc w:val="left"/>
            </w:pPr>
            <w:r w:rsidRPr="001C7F69">
              <w:t>Budgetary outlay (Department of Defence)</w:t>
            </w:r>
          </w:p>
          <w:p w:rsidR="001A2FBD" w:rsidRPr="001C7F69" w:rsidRDefault="001A2FBD" w:rsidP="002602CF">
            <w:pPr>
              <w:pStyle w:val="TableBodyText"/>
              <w:jc w:val="left"/>
            </w:pPr>
          </w:p>
          <w:p w:rsidR="001A2FBD" w:rsidRPr="001C7F69" w:rsidRDefault="001A2FBD" w:rsidP="002602CF">
            <w:pPr>
              <w:pStyle w:val="TableBodyText"/>
              <w:jc w:val="left"/>
            </w:pPr>
            <w:r w:rsidRPr="001C7F69">
              <w:t>Discretionary grant to defence companies</w:t>
            </w:r>
          </w:p>
        </w:tc>
        <w:tc>
          <w:tcPr>
            <w:tcW w:w="775" w:type="pct"/>
            <w:tcBorders>
              <w:top w:val="single" w:sz="4" w:space="0" w:color="auto"/>
              <w:bottom w:val="single" w:sz="4" w:space="0" w:color="auto"/>
            </w:tcBorders>
          </w:tcPr>
          <w:p w:rsidR="001A2FBD" w:rsidRPr="001C7F69" w:rsidRDefault="001A2FBD" w:rsidP="002602CF">
            <w:pPr>
              <w:pStyle w:val="TableBodyText"/>
              <w:jc w:val="left"/>
            </w:pPr>
            <w:r w:rsidRPr="001C7F69">
              <w:t>Annual expenditure not identified</w:t>
            </w:r>
            <w:r w:rsidRPr="001C7F69">
              <w:br/>
            </w:r>
            <w:r w:rsidRPr="001C7F69">
              <w:br/>
              <w:t>Over $250 million to date over 18 Rounds</w:t>
            </w:r>
          </w:p>
          <w:p w:rsidR="001A2FBD" w:rsidRPr="001C7F69" w:rsidRDefault="001A2FBD" w:rsidP="002602CF">
            <w:pPr>
              <w:pStyle w:val="TableBodyText"/>
              <w:jc w:val="left"/>
            </w:pPr>
          </w:p>
          <w:p w:rsidR="001A2FBD" w:rsidRPr="001C7F69" w:rsidRDefault="001A2FBD" w:rsidP="002602CF">
            <w:pPr>
              <w:pStyle w:val="TableBodyText"/>
              <w:jc w:val="left"/>
            </w:pPr>
            <w:r w:rsidRPr="001C7F69">
              <w:t>Commenced 1997</w:t>
            </w:r>
          </w:p>
        </w:tc>
        <w:tc>
          <w:tcPr>
            <w:tcW w:w="461" w:type="pct"/>
            <w:tcBorders>
              <w:top w:val="single" w:sz="4" w:space="0" w:color="auto"/>
              <w:bottom w:val="single" w:sz="4" w:space="0" w:color="auto"/>
            </w:tcBorders>
          </w:tcPr>
          <w:p w:rsidR="001A2FBD" w:rsidRPr="001C7F69" w:rsidRDefault="001A2FBD" w:rsidP="004E5DEF">
            <w:pPr>
              <w:pStyle w:val="TableBodyText"/>
              <w:ind w:right="28"/>
              <w:jc w:val="left"/>
            </w:pPr>
            <w:r w:rsidRPr="001C7F69">
              <w:t>Recipients are identified but amounts are in-confidence</w:t>
            </w:r>
          </w:p>
        </w:tc>
      </w:tr>
    </w:tbl>
    <w:p w:rsidR="005A55A2" w:rsidRPr="001718CE" w:rsidRDefault="005A55A2" w:rsidP="005A55A2">
      <w:pPr>
        <w:pStyle w:val="TableTitle"/>
        <w:rPr>
          <w:rFonts w:ascii="Times New Roman" w:hAnsi="Times New Roman"/>
          <w:sz w:val="26"/>
        </w:rPr>
      </w:pPr>
    </w:p>
    <w:tbl>
      <w:tblPr>
        <w:tblW w:w="5064" w:type="pct"/>
        <w:tblLayout w:type="fixed"/>
        <w:tblCellMar>
          <w:left w:w="0" w:type="dxa"/>
          <w:right w:w="0" w:type="dxa"/>
        </w:tblCellMar>
        <w:tblLook w:val="0000" w:firstRow="0" w:lastRow="0" w:firstColumn="0" w:lastColumn="0" w:noHBand="0" w:noVBand="0"/>
      </w:tblPr>
      <w:tblGrid>
        <w:gridCol w:w="2099"/>
        <w:gridCol w:w="5841"/>
        <w:gridCol w:w="2270"/>
        <w:gridCol w:w="2131"/>
        <w:gridCol w:w="1268"/>
      </w:tblGrid>
      <w:tr w:rsidR="001B1D22" w:rsidRPr="0099051E" w:rsidTr="001B1D22">
        <w:trPr>
          <w:trHeight w:val="340"/>
        </w:trPr>
        <w:tc>
          <w:tcPr>
            <w:tcW w:w="771" w:type="pct"/>
            <w:tcBorders>
              <w:top w:val="single" w:sz="6" w:space="0" w:color="auto"/>
              <w:bottom w:val="single" w:sz="4" w:space="0" w:color="auto"/>
            </w:tcBorders>
            <w:shd w:val="clear" w:color="auto" w:fill="auto"/>
            <w:vAlign w:val="bottom"/>
          </w:tcPr>
          <w:p w:rsidR="005A55A2" w:rsidRPr="00694E92" w:rsidRDefault="005A55A2" w:rsidP="00102686">
            <w:pPr>
              <w:pStyle w:val="TableColumnHeading"/>
              <w:spacing w:before="0" w:after="40"/>
              <w:jc w:val="left"/>
            </w:pPr>
            <w:r w:rsidRPr="00694E92">
              <w:t>Program</w:t>
            </w:r>
          </w:p>
        </w:tc>
        <w:tc>
          <w:tcPr>
            <w:tcW w:w="2146" w:type="pct"/>
            <w:tcBorders>
              <w:top w:val="single" w:sz="6" w:space="0" w:color="auto"/>
              <w:bottom w:val="single" w:sz="4" w:space="0" w:color="auto"/>
            </w:tcBorders>
            <w:vAlign w:val="bottom"/>
          </w:tcPr>
          <w:p w:rsidR="005A55A2" w:rsidRPr="00694E92" w:rsidRDefault="005A55A2" w:rsidP="00102686">
            <w:pPr>
              <w:pStyle w:val="TableColumnHeading"/>
              <w:spacing w:before="0" w:after="40"/>
              <w:jc w:val="center"/>
            </w:pPr>
            <w:r w:rsidRPr="00694E92">
              <w:t>Description</w:t>
            </w:r>
          </w:p>
        </w:tc>
        <w:tc>
          <w:tcPr>
            <w:tcW w:w="834" w:type="pct"/>
            <w:tcBorders>
              <w:top w:val="single" w:sz="6" w:space="0" w:color="auto"/>
              <w:bottom w:val="single" w:sz="4" w:space="0" w:color="auto"/>
            </w:tcBorders>
            <w:vAlign w:val="bottom"/>
          </w:tcPr>
          <w:p w:rsidR="005A55A2" w:rsidRPr="00694E92" w:rsidRDefault="005A55A2" w:rsidP="00102686">
            <w:pPr>
              <w:pStyle w:val="TableColumnHeading"/>
              <w:spacing w:before="0" w:after="40"/>
              <w:jc w:val="left"/>
            </w:pPr>
            <w:r w:rsidRPr="00694E92">
              <w:t>Type of support</w:t>
            </w:r>
          </w:p>
        </w:tc>
        <w:tc>
          <w:tcPr>
            <w:tcW w:w="783" w:type="pct"/>
            <w:tcBorders>
              <w:top w:val="single" w:sz="6" w:space="0" w:color="auto"/>
              <w:bottom w:val="single" w:sz="4" w:space="0" w:color="auto"/>
            </w:tcBorders>
            <w:shd w:val="clear" w:color="auto" w:fill="auto"/>
            <w:vAlign w:val="bottom"/>
          </w:tcPr>
          <w:p w:rsidR="005A55A2" w:rsidRPr="00694E92" w:rsidRDefault="005A55A2" w:rsidP="00102686">
            <w:pPr>
              <w:pStyle w:val="TableColumnHeading"/>
              <w:spacing w:before="0" w:after="40"/>
              <w:jc w:val="left"/>
            </w:pPr>
            <w:r w:rsidRPr="00694E92">
              <w:t>Funding and timing</w:t>
            </w:r>
          </w:p>
        </w:tc>
        <w:tc>
          <w:tcPr>
            <w:tcW w:w="466" w:type="pct"/>
            <w:tcBorders>
              <w:top w:val="single" w:sz="6" w:space="0" w:color="auto"/>
              <w:bottom w:val="single" w:sz="4" w:space="0" w:color="auto"/>
            </w:tcBorders>
            <w:shd w:val="clear" w:color="auto" w:fill="auto"/>
            <w:vAlign w:val="bottom"/>
          </w:tcPr>
          <w:p w:rsidR="005A55A2" w:rsidRPr="00694E92" w:rsidRDefault="005A55A2" w:rsidP="00102686">
            <w:pPr>
              <w:pStyle w:val="TableColumnHeading"/>
              <w:spacing w:before="0" w:after="40"/>
              <w:jc w:val="left"/>
            </w:pPr>
            <w:r w:rsidRPr="00694E92">
              <w:t>Recipients information</w:t>
            </w:r>
          </w:p>
        </w:tc>
      </w:tr>
      <w:tr w:rsidR="001B1D22" w:rsidRPr="0099051E" w:rsidTr="001B1D22">
        <w:trPr>
          <w:trHeight w:val="1846"/>
        </w:trPr>
        <w:tc>
          <w:tcPr>
            <w:tcW w:w="771" w:type="pct"/>
            <w:tcBorders>
              <w:top w:val="single" w:sz="4" w:space="0" w:color="auto"/>
              <w:bottom w:val="single" w:sz="4" w:space="0" w:color="auto"/>
            </w:tcBorders>
          </w:tcPr>
          <w:p w:rsidR="005A55A2" w:rsidRPr="001C7F69" w:rsidRDefault="005A55A2" w:rsidP="00D3332C">
            <w:pPr>
              <w:pStyle w:val="TableBodyText"/>
              <w:jc w:val="left"/>
            </w:pPr>
            <w:r w:rsidRPr="001C7F69">
              <w:t>Rapid Prototyping, Development and Evaluation (</w:t>
            </w:r>
            <w:proofErr w:type="spellStart"/>
            <w:r w:rsidRPr="001C7F69">
              <w:t>RPDE</w:t>
            </w:r>
            <w:proofErr w:type="spellEnd"/>
            <w:r w:rsidRPr="001C7F69">
              <w:t>)</w:t>
            </w:r>
          </w:p>
        </w:tc>
        <w:tc>
          <w:tcPr>
            <w:tcW w:w="2146" w:type="pct"/>
            <w:tcBorders>
              <w:top w:val="single" w:sz="4" w:space="0" w:color="auto"/>
              <w:bottom w:val="single" w:sz="4" w:space="0" w:color="auto"/>
            </w:tcBorders>
          </w:tcPr>
          <w:p w:rsidR="005A55A2" w:rsidRPr="001C7F69" w:rsidRDefault="005A55A2" w:rsidP="005A55A2">
            <w:pPr>
              <w:pStyle w:val="TableBodyText"/>
              <w:jc w:val="left"/>
            </w:pPr>
            <w:r w:rsidRPr="001C7F69">
              <w:t xml:space="preserve">A collaboration between Defence, industry and academia, intended to address complex, high-risk problems. </w:t>
            </w:r>
          </w:p>
          <w:p w:rsidR="005A55A2" w:rsidRPr="001C7F69" w:rsidRDefault="005A55A2" w:rsidP="005A55A2">
            <w:pPr>
              <w:pStyle w:val="TableBodyText"/>
              <w:jc w:val="left"/>
            </w:pPr>
            <w:r w:rsidRPr="001C7F69">
              <w:t>Defence funds about three quarters of program expenditure. Personnel from industry and academia are paid from the project budget. Each project activity has a Defence sponsor.</w:t>
            </w:r>
          </w:p>
        </w:tc>
        <w:tc>
          <w:tcPr>
            <w:tcW w:w="834" w:type="pct"/>
            <w:tcBorders>
              <w:top w:val="single" w:sz="4" w:space="0" w:color="auto"/>
              <w:bottom w:val="single" w:sz="4" w:space="0" w:color="auto"/>
            </w:tcBorders>
          </w:tcPr>
          <w:p w:rsidR="005A55A2" w:rsidRPr="001C7F69" w:rsidRDefault="005A55A2" w:rsidP="005A55A2">
            <w:pPr>
              <w:pStyle w:val="TableBodyText"/>
              <w:jc w:val="left"/>
            </w:pPr>
            <w:r w:rsidRPr="001C7F69">
              <w:t>Budgetary outlay (Department of Defence)</w:t>
            </w:r>
          </w:p>
          <w:p w:rsidR="005A55A2" w:rsidRPr="001C7F69" w:rsidRDefault="005A55A2" w:rsidP="005A55A2">
            <w:pPr>
              <w:pStyle w:val="TableBodyText"/>
              <w:jc w:val="left"/>
            </w:pPr>
          </w:p>
          <w:p w:rsidR="005A55A2" w:rsidRPr="001C7F69" w:rsidRDefault="005A55A2" w:rsidP="005A55A2">
            <w:pPr>
              <w:pStyle w:val="TableBodyText"/>
              <w:jc w:val="left"/>
            </w:pPr>
            <w:r w:rsidRPr="001C7F69">
              <w:t>Research collaboration</w:t>
            </w:r>
          </w:p>
          <w:p w:rsidR="005A55A2" w:rsidRPr="001C7F69" w:rsidRDefault="005A55A2" w:rsidP="005A55A2">
            <w:pPr>
              <w:pStyle w:val="TableBodyText"/>
              <w:jc w:val="left"/>
            </w:pPr>
          </w:p>
          <w:p w:rsidR="005A55A2" w:rsidRPr="001C7F69" w:rsidRDefault="005A55A2" w:rsidP="005A55A2">
            <w:pPr>
              <w:pStyle w:val="TableBodyText"/>
              <w:jc w:val="left"/>
            </w:pPr>
            <w:r w:rsidRPr="001C7F69">
              <w:t>Participation by application</w:t>
            </w:r>
          </w:p>
        </w:tc>
        <w:tc>
          <w:tcPr>
            <w:tcW w:w="783" w:type="pct"/>
            <w:tcBorders>
              <w:top w:val="single" w:sz="4" w:space="0" w:color="auto"/>
              <w:bottom w:val="single" w:sz="4" w:space="0" w:color="auto"/>
            </w:tcBorders>
          </w:tcPr>
          <w:p w:rsidR="005A55A2" w:rsidRPr="001C7F69" w:rsidRDefault="005A55A2" w:rsidP="005A55A2">
            <w:pPr>
              <w:pStyle w:val="TableBodyText"/>
              <w:jc w:val="left"/>
            </w:pPr>
            <w:r w:rsidRPr="001C7F69">
              <w:t>Around $8 million</w:t>
            </w:r>
          </w:p>
          <w:p w:rsidR="005A55A2" w:rsidRPr="001C7F69" w:rsidRDefault="005A55A2" w:rsidP="005A55A2">
            <w:pPr>
              <w:pStyle w:val="TableBodyText"/>
              <w:jc w:val="left"/>
            </w:pPr>
          </w:p>
          <w:p w:rsidR="005A55A2" w:rsidRPr="001C7F69" w:rsidRDefault="005A55A2" w:rsidP="005A55A2">
            <w:pPr>
              <w:pStyle w:val="TableBodyText"/>
              <w:jc w:val="left"/>
            </w:pPr>
            <w:r w:rsidRPr="001C7F69">
              <w:t>Commenced 2004</w:t>
            </w:r>
          </w:p>
          <w:p w:rsidR="005A55A2" w:rsidRPr="001C7F69" w:rsidRDefault="005A55A2" w:rsidP="005A55A2">
            <w:pPr>
              <w:pStyle w:val="TableBodyText"/>
              <w:jc w:val="left"/>
            </w:pPr>
          </w:p>
          <w:p w:rsidR="005A55A2" w:rsidRPr="001C7F69" w:rsidRDefault="005A55A2" w:rsidP="005A55A2">
            <w:pPr>
              <w:pStyle w:val="TableBodyText"/>
              <w:jc w:val="left"/>
            </w:pPr>
            <w:r w:rsidRPr="001C7F69">
              <w:t>Annual funding reduced from around $12 million in 2012</w:t>
            </w:r>
          </w:p>
        </w:tc>
        <w:tc>
          <w:tcPr>
            <w:tcW w:w="466" w:type="pct"/>
            <w:tcBorders>
              <w:top w:val="single" w:sz="4" w:space="0" w:color="auto"/>
              <w:bottom w:val="single" w:sz="4" w:space="0" w:color="auto"/>
            </w:tcBorders>
          </w:tcPr>
          <w:p w:rsidR="005A55A2" w:rsidRPr="001C7F69" w:rsidRDefault="005A55A2" w:rsidP="00D3332C">
            <w:pPr>
              <w:pStyle w:val="TableBodyText"/>
              <w:jc w:val="left"/>
            </w:pPr>
            <w:r w:rsidRPr="001C7F69">
              <w:t>Participants identified but not amounts</w:t>
            </w:r>
          </w:p>
        </w:tc>
      </w:tr>
      <w:tr w:rsidR="001B1D22" w:rsidRPr="0099051E" w:rsidTr="001B1D22">
        <w:tc>
          <w:tcPr>
            <w:tcW w:w="771" w:type="pct"/>
            <w:tcBorders>
              <w:top w:val="single" w:sz="4" w:space="0" w:color="auto"/>
              <w:bottom w:val="single" w:sz="4" w:space="0" w:color="auto"/>
            </w:tcBorders>
          </w:tcPr>
          <w:p w:rsidR="005A55A2" w:rsidRPr="001C7F69" w:rsidRDefault="005A55A2" w:rsidP="00D3332C">
            <w:pPr>
              <w:pStyle w:val="TableBodyText"/>
              <w:jc w:val="left"/>
            </w:pPr>
            <w:r w:rsidRPr="001C7F69">
              <w:t>Defence Materials Technology Centre (</w:t>
            </w:r>
            <w:proofErr w:type="spellStart"/>
            <w:r w:rsidRPr="001C7F69">
              <w:t>DMTC</w:t>
            </w:r>
            <w:proofErr w:type="spellEnd"/>
            <w:r w:rsidR="00557F1F" w:rsidRPr="001C7F69">
              <w:t>)</w:t>
            </w:r>
          </w:p>
        </w:tc>
        <w:tc>
          <w:tcPr>
            <w:tcW w:w="2146" w:type="pct"/>
            <w:tcBorders>
              <w:top w:val="single" w:sz="4" w:space="0" w:color="auto"/>
              <w:bottom w:val="single" w:sz="4" w:space="0" w:color="auto"/>
            </w:tcBorders>
          </w:tcPr>
          <w:p w:rsidR="005A55A2" w:rsidRPr="001C7F69" w:rsidRDefault="005A55A2" w:rsidP="005A55A2">
            <w:pPr>
              <w:pStyle w:val="TableBodyText"/>
              <w:jc w:val="left"/>
            </w:pPr>
            <w:proofErr w:type="spellStart"/>
            <w:r w:rsidRPr="001C7F69">
              <w:t>DMTC</w:t>
            </w:r>
            <w:proofErr w:type="spellEnd"/>
            <w:r w:rsidRPr="001C7F69">
              <w:t xml:space="preserve"> is intended to support the development and delivery of new materials technologies and manufacturing processes to enhance Australia’s defence capability. It is a collaborative partnership approach between Defence, defence industries and research agencies, based on the Co-operative Research Centre (CRC) model used for non-defence industry R&amp;D.</w:t>
            </w:r>
          </w:p>
          <w:p w:rsidR="005A55A2" w:rsidRPr="001C7F69" w:rsidRDefault="005A55A2" w:rsidP="005A55A2">
            <w:pPr>
              <w:pStyle w:val="TableBodyText"/>
              <w:jc w:val="left"/>
            </w:pPr>
            <w:r w:rsidRPr="001C7F69">
              <w:t>Operational funding in 2012 13 comprised $</w:t>
            </w:r>
            <w:proofErr w:type="spellStart"/>
            <w:r w:rsidRPr="001C7F69">
              <w:t>6.8m</w:t>
            </w:r>
            <w:proofErr w:type="spellEnd"/>
            <w:r w:rsidRPr="001C7F69">
              <w:t xml:space="preserve"> (Australian Government), $</w:t>
            </w:r>
            <w:proofErr w:type="spellStart"/>
            <w:r w:rsidRPr="001C7F69">
              <w:t>4.0m</w:t>
            </w:r>
            <w:proofErr w:type="spellEnd"/>
            <w:r w:rsidRPr="001C7F69">
              <w:t xml:space="preserve"> (industry and other income, including State government), and $7.7 million (the research sector). </w:t>
            </w:r>
            <w:proofErr w:type="spellStart"/>
            <w:r w:rsidRPr="001C7F69">
              <w:t>DMTC</w:t>
            </w:r>
            <w:proofErr w:type="spellEnd"/>
            <w:r w:rsidRPr="001C7F69">
              <w:t xml:space="preserve"> operates as a public company, limited by guarantee.</w:t>
            </w:r>
          </w:p>
        </w:tc>
        <w:tc>
          <w:tcPr>
            <w:tcW w:w="834" w:type="pct"/>
            <w:tcBorders>
              <w:top w:val="single" w:sz="4" w:space="0" w:color="auto"/>
              <w:bottom w:val="single" w:sz="4" w:space="0" w:color="auto"/>
            </w:tcBorders>
          </w:tcPr>
          <w:p w:rsidR="005A55A2" w:rsidRPr="001C7F69" w:rsidRDefault="005A55A2" w:rsidP="005A55A2">
            <w:pPr>
              <w:pStyle w:val="TableBodyText"/>
              <w:jc w:val="left"/>
            </w:pPr>
            <w:r w:rsidRPr="001C7F69">
              <w:t>Budgetary outlay</w:t>
            </w:r>
          </w:p>
          <w:p w:rsidR="005A55A2" w:rsidRPr="001C7F69" w:rsidRDefault="005A55A2" w:rsidP="005A55A2">
            <w:pPr>
              <w:pStyle w:val="TableBodyText"/>
              <w:jc w:val="left"/>
            </w:pPr>
          </w:p>
          <w:p w:rsidR="005A55A2" w:rsidRPr="001C7F69" w:rsidRDefault="005A55A2" w:rsidP="005A55A2">
            <w:pPr>
              <w:pStyle w:val="TableBodyText"/>
              <w:jc w:val="left"/>
            </w:pPr>
            <w:r w:rsidRPr="001C7F69">
              <w:t>Collaborative research</w:t>
            </w:r>
          </w:p>
        </w:tc>
        <w:tc>
          <w:tcPr>
            <w:tcW w:w="783" w:type="pct"/>
            <w:tcBorders>
              <w:top w:val="single" w:sz="4" w:space="0" w:color="auto"/>
              <w:bottom w:val="single" w:sz="4" w:space="0" w:color="auto"/>
            </w:tcBorders>
          </w:tcPr>
          <w:p w:rsidR="005A55A2" w:rsidRPr="001C7F69" w:rsidRDefault="005A55A2" w:rsidP="005A55A2">
            <w:pPr>
              <w:pStyle w:val="TableBodyText"/>
              <w:jc w:val="left"/>
            </w:pPr>
            <w:r w:rsidRPr="001C7F69">
              <w:t>$6.8 million</w:t>
            </w:r>
          </w:p>
          <w:p w:rsidR="005A55A2" w:rsidRPr="001C7F69" w:rsidRDefault="005A55A2" w:rsidP="005A55A2">
            <w:pPr>
              <w:pStyle w:val="TableBodyText"/>
              <w:jc w:val="left"/>
            </w:pPr>
          </w:p>
          <w:p w:rsidR="005A55A2" w:rsidRPr="001C7F69" w:rsidRDefault="005A55A2" w:rsidP="005A55A2">
            <w:pPr>
              <w:pStyle w:val="TableBodyText"/>
              <w:jc w:val="left"/>
            </w:pPr>
            <w:r w:rsidRPr="001C7F69">
              <w:t>Commenced 2008</w:t>
            </w:r>
          </w:p>
        </w:tc>
        <w:tc>
          <w:tcPr>
            <w:tcW w:w="466" w:type="pct"/>
            <w:tcBorders>
              <w:top w:val="single" w:sz="4" w:space="0" w:color="auto"/>
              <w:bottom w:val="single" w:sz="4" w:space="0" w:color="auto"/>
            </w:tcBorders>
          </w:tcPr>
          <w:p w:rsidR="005A55A2" w:rsidRPr="001C7F69" w:rsidRDefault="005A55A2" w:rsidP="00D3332C">
            <w:pPr>
              <w:pStyle w:val="TableBodyText"/>
              <w:jc w:val="left"/>
            </w:pPr>
            <w:r w:rsidRPr="001C7F69">
              <w:t>Projects identified, but not individual companies</w:t>
            </w:r>
          </w:p>
        </w:tc>
      </w:tr>
      <w:tr w:rsidR="001B1D22" w:rsidRPr="0099051E" w:rsidTr="001B1D22">
        <w:trPr>
          <w:trHeight w:val="1508"/>
        </w:trPr>
        <w:tc>
          <w:tcPr>
            <w:tcW w:w="771" w:type="pct"/>
            <w:tcBorders>
              <w:top w:val="single" w:sz="4" w:space="0" w:color="auto"/>
              <w:bottom w:val="single" w:sz="4" w:space="0" w:color="auto"/>
            </w:tcBorders>
          </w:tcPr>
          <w:p w:rsidR="005A55A2" w:rsidRPr="001C7F69" w:rsidRDefault="005A55A2" w:rsidP="00D3332C">
            <w:pPr>
              <w:pStyle w:val="TableBodyText"/>
              <w:jc w:val="left"/>
            </w:pPr>
            <w:r w:rsidRPr="001C7F69">
              <w:t>New Aircraft Combat Capability (</w:t>
            </w:r>
            <w:proofErr w:type="spellStart"/>
            <w:r w:rsidRPr="001C7F69">
              <w:t>NACC</w:t>
            </w:r>
            <w:proofErr w:type="spellEnd"/>
            <w:r w:rsidRPr="001C7F69">
              <w:t>)</w:t>
            </w:r>
          </w:p>
        </w:tc>
        <w:tc>
          <w:tcPr>
            <w:tcW w:w="2146" w:type="pct"/>
            <w:tcBorders>
              <w:top w:val="single" w:sz="4" w:space="0" w:color="auto"/>
              <w:bottom w:val="single" w:sz="4" w:space="0" w:color="auto"/>
            </w:tcBorders>
          </w:tcPr>
          <w:p w:rsidR="005A55A2" w:rsidRPr="001C7F69" w:rsidRDefault="005A55A2" w:rsidP="00D3332C">
            <w:pPr>
              <w:pStyle w:val="TableBodyText"/>
              <w:jc w:val="left"/>
            </w:pPr>
            <w:r w:rsidRPr="001C7F69">
              <w:t>Intended to enable Australian companies and research organisations to support the development of new or improved capability to win work in the production, sustainment and follow-on development of the F-35 Joint Strike Fighter.</w:t>
            </w:r>
          </w:p>
        </w:tc>
        <w:tc>
          <w:tcPr>
            <w:tcW w:w="834" w:type="pct"/>
            <w:tcBorders>
              <w:top w:val="single" w:sz="4" w:space="0" w:color="auto"/>
              <w:bottom w:val="single" w:sz="4" w:space="0" w:color="auto"/>
            </w:tcBorders>
          </w:tcPr>
          <w:p w:rsidR="005A55A2" w:rsidRPr="001C7F69" w:rsidRDefault="005A55A2" w:rsidP="00D3332C">
            <w:pPr>
              <w:pStyle w:val="TableBodyText"/>
              <w:jc w:val="left"/>
            </w:pPr>
            <w:r w:rsidRPr="001C7F69">
              <w:t>Budgetary outlay (Department of Defence)</w:t>
            </w:r>
          </w:p>
          <w:p w:rsidR="005A55A2" w:rsidRPr="001C7F69" w:rsidRDefault="005A55A2" w:rsidP="00D3332C">
            <w:pPr>
              <w:pStyle w:val="TableBodyText"/>
              <w:jc w:val="left"/>
            </w:pPr>
          </w:p>
          <w:p w:rsidR="005A55A2" w:rsidRPr="001C7F69" w:rsidRDefault="005A55A2" w:rsidP="00D3332C">
            <w:pPr>
              <w:pStyle w:val="TableBodyText"/>
              <w:jc w:val="left"/>
            </w:pPr>
            <w:r w:rsidRPr="001C7F69">
              <w:t>Discretionary grant to defence companies</w:t>
            </w:r>
          </w:p>
        </w:tc>
        <w:tc>
          <w:tcPr>
            <w:tcW w:w="783" w:type="pct"/>
            <w:tcBorders>
              <w:top w:val="single" w:sz="4" w:space="0" w:color="auto"/>
              <w:bottom w:val="single" w:sz="4" w:space="0" w:color="auto"/>
            </w:tcBorders>
          </w:tcPr>
          <w:p w:rsidR="005A55A2" w:rsidRPr="001C7F69" w:rsidRDefault="005A55A2" w:rsidP="005A55A2">
            <w:pPr>
              <w:pStyle w:val="TableBodyText"/>
              <w:jc w:val="left"/>
            </w:pPr>
            <w:r w:rsidRPr="001C7F69">
              <w:t xml:space="preserve">Intended </w:t>
            </w:r>
          </w:p>
          <w:p w:rsidR="005A55A2" w:rsidRPr="001C7F69" w:rsidRDefault="005A55A2" w:rsidP="005A55A2">
            <w:pPr>
              <w:pStyle w:val="TableBodyText"/>
              <w:jc w:val="left"/>
            </w:pPr>
            <w:r w:rsidRPr="001C7F69">
              <w:t xml:space="preserve">$8.2 million </w:t>
            </w:r>
          </w:p>
          <w:p w:rsidR="005A55A2" w:rsidRPr="001C7F69" w:rsidRDefault="005A55A2" w:rsidP="005A55A2">
            <w:pPr>
              <w:pStyle w:val="TableBodyText"/>
              <w:jc w:val="left"/>
            </w:pPr>
            <w:r w:rsidRPr="001C7F69">
              <w:t>2011</w:t>
            </w:r>
            <w:r w:rsidR="00C76639" w:rsidRPr="001C7F69">
              <w:t>-12 to 2013-</w:t>
            </w:r>
            <w:r w:rsidRPr="001C7F69">
              <w:t>14</w:t>
            </w:r>
          </w:p>
        </w:tc>
        <w:tc>
          <w:tcPr>
            <w:tcW w:w="466" w:type="pct"/>
            <w:tcBorders>
              <w:top w:val="single" w:sz="4" w:space="0" w:color="auto"/>
              <w:bottom w:val="single" w:sz="4" w:space="0" w:color="auto"/>
            </w:tcBorders>
          </w:tcPr>
          <w:p w:rsidR="005A55A2" w:rsidRPr="001C7F69" w:rsidRDefault="005A55A2" w:rsidP="00D3332C">
            <w:pPr>
              <w:pStyle w:val="TableBodyText"/>
              <w:ind w:right="28"/>
              <w:jc w:val="left"/>
            </w:pPr>
            <w:r w:rsidRPr="001C7F69">
              <w:t>Recipients and amounts identifiable</w:t>
            </w:r>
          </w:p>
        </w:tc>
      </w:tr>
    </w:tbl>
    <w:p w:rsidR="005A55A2" w:rsidRPr="00214142" w:rsidRDefault="006161BB" w:rsidP="00A6566D">
      <w:pPr>
        <w:pStyle w:val="Continued"/>
        <w:rPr>
          <w:b/>
          <w:i/>
        </w:rPr>
      </w:pPr>
      <w:r w:rsidRPr="002B4BE5">
        <w:t>(continued next page)</w:t>
      </w:r>
    </w:p>
    <w:p w:rsidR="00FF061A" w:rsidRDefault="00FF061A" w:rsidP="00233A95">
      <w:pPr>
        <w:pStyle w:val="BodyText"/>
      </w:pPr>
    </w:p>
    <w:p w:rsidR="00FF061A" w:rsidRPr="001718CE" w:rsidRDefault="00FF061A" w:rsidP="00FF061A">
      <w:pPr>
        <w:pStyle w:val="TableTitle"/>
        <w:rPr>
          <w:rFonts w:ascii="Times New Roman" w:hAnsi="Times New Roman"/>
          <w:sz w:val="26"/>
        </w:rPr>
      </w:pPr>
      <w:r w:rsidRPr="00686322">
        <w:rPr>
          <w:b w:val="0"/>
        </w:rPr>
        <w:lastRenderedPageBreak/>
        <w:t xml:space="preserve">Table </w:t>
      </w:r>
      <w:proofErr w:type="spellStart"/>
      <w:r w:rsidRPr="00686322">
        <w:rPr>
          <w:b w:val="0"/>
        </w:rPr>
        <w:t>B.</w:t>
      </w:r>
      <w:r w:rsidRPr="00686322">
        <w:rPr>
          <w:b w:val="0"/>
          <w:noProof/>
        </w:rPr>
        <w:t>1</w:t>
      </w:r>
      <w:proofErr w:type="spellEnd"/>
      <w:r>
        <w:tab/>
      </w:r>
      <w:r w:rsidRPr="00686322">
        <w:rPr>
          <w:sz w:val="20"/>
        </w:rPr>
        <w:t>(continued)</w:t>
      </w:r>
    </w:p>
    <w:tbl>
      <w:tblPr>
        <w:tblW w:w="5064" w:type="pct"/>
        <w:tblLayout w:type="fixed"/>
        <w:tblCellMar>
          <w:left w:w="0" w:type="dxa"/>
          <w:right w:w="0" w:type="dxa"/>
        </w:tblCellMar>
        <w:tblLook w:val="0000" w:firstRow="0" w:lastRow="0" w:firstColumn="0" w:lastColumn="0" w:noHBand="0" w:noVBand="0"/>
      </w:tblPr>
      <w:tblGrid>
        <w:gridCol w:w="2101"/>
        <w:gridCol w:w="5980"/>
        <w:gridCol w:w="2270"/>
        <w:gridCol w:w="1981"/>
        <w:gridCol w:w="1277"/>
      </w:tblGrid>
      <w:tr w:rsidR="00FF061A" w:rsidRPr="0099051E" w:rsidTr="0060747E">
        <w:trPr>
          <w:trHeight w:val="340"/>
        </w:trPr>
        <w:tc>
          <w:tcPr>
            <w:tcW w:w="772" w:type="pct"/>
            <w:tcBorders>
              <w:top w:val="single" w:sz="6" w:space="0" w:color="auto"/>
              <w:bottom w:val="single" w:sz="4" w:space="0" w:color="auto"/>
            </w:tcBorders>
            <w:shd w:val="clear" w:color="auto" w:fill="auto"/>
            <w:vAlign w:val="bottom"/>
          </w:tcPr>
          <w:p w:rsidR="00FF061A" w:rsidRPr="00646795" w:rsidRDefault="00FF061A" w:rsidP="00102686">
            <w:pPr>
              <w:pStyle w:val="TableColumnHeading"/>
              <w:spacing w:before="0" w:after="40"/>
              <w:jc w:val="left"/>
            </w:pPr>
            <w:r w:rsidRPr="00646795">
              <w:t>Program</w:t>
            </w:r>
          </w:p>
        </w:tc>
        <w:tc>
          <w:tcPr>
            <w:tcW w:w="2197" w:type="pct"/>
            <w:tcBorders>
              <w:top w:val="single" w:sz="6" w:space="0" w:color="auto"/>
              <w:bottom w:val="single" w:sz="4" w:space="0" w:color="auto"/>
            </w:tcBorders>
            <w:vAlign w:val="bottom"/>
          </w:tcPr>
          <w:p w:rsidR="00FF061A" w:rsidRPr="00646795" w:rsidRDefault="00FF061A" w:rsidP="00102686">
            <w:pPr>
              <w:pStyle w:val="TableColumnHeading"/>
              <w:spacing w:before="0" w:after="40"/>
              <w:jc w:val="center"/>
            </w:pPr>
            <w:r w:rsidRPr="00646795">
              <w:t>Description</w:t>
            </w:r>
          </w:p>
        </w:tc>
        <w:tc>
          <w:tcPr>
            <w:tcW w:w="834" w:type="pct"/>
            <w:tcBorders>
              <w:top w:val="single" w:sz="6" w:space="0" w:color="auto"/>
              <w:bottom w:val="single" w:sz="4" w:space="0" w:color="auto"/>
            </w:tcBorders>
            <w:vAlign w:val="bottom"/>
          </w:tcPr>
          <w:p w:rsidR="00FF061A" w:rsidRPr="00646795" w:rsidRDefault="00FF061A" w:rsidP="00102686">
            <w:pPr>
              <w:pStyle w:val="TableColumnHeading"/>
              <w:spacing w:before="0" w:after="40"/>
              <w:jc w:val="left"/>
            </w:pPr>
            <w:r w:rsidRPr="00646795">
              <w:t>Type of support</w:t>
            </w:r>
          </w:p>
        </w:tc>
        <w:tc>
          <w:tcPr>
            <w:tcW w:w="728" w:type="pct"/>
            <w:tcBorders>
              <w:top w:val="single" w:sz="6" w:space="0" w:color="auto"/>
              <w:bottom w:val="single" w:sz="4" w:space="0" w:color="auto"/>
            </w:tcBorders>
            <w:shd w:val="clear" w:color="auto" w:fill="auto"/>
            <w:vAlign w:val="bottom"/>
          </w:tcPr>
          <w:p w:rsidR="00FF061A" w:rsidRPr="00646795" w:rsidRDefault="00FF061A" w:rsidP="00102686">
            <w:pPr>
              <w:pStyle w:val="TableColumnHeading"/>
              <w:spacing w:before="0" w:after="40"/>
              <w:jc w:val="left"/>
            </w:pPr>
            <w:r w:rsidRPr="00646795">
              <w:t>Funding and timing</w:t>
            </w:r>
          </w:p>
        </w:tc>
        <w:tc>
          <w:tcPr>
            <w:tcW w:w="469" w:type="pct"/>
            <w:tcBorders>
              <w:top w:val="single" w:sz="6" w:space="0" w:color="auto"/>
              <w:bottom w:val="single" w:sz="4" w:space="0" w:color="auto"/>
            </w:tcBorders>
            <w:shd w:val="clear" w:color="auto" w:fill="auto"/>
            <w:vAlign w:val="bottom"/>
          </w:tcPr>
          <w:p w:rsidR="00FF061A" w:rsidRPr="00646795" w:rsidRDefault="00FF061A" w:rsidP="00102686">
            <w:pPr>
              <w:pStyle w:val="TableColumnHeading"/>
              <w:spacing w:before="0" w:after="40"/>
              <w:jc w:val="left"/>
            </w:pPr>
            <w:r w:rsidRPr="00646795">
              <w:t>Recipients information</w:t>
            </w:r>
          </w:p>
        </w:tc>
      </w:tr>
      <w:tr w:rsidR="00FF061A" w:rsidRPr="0099051E" w:rsidTr="0060747E">
        <w:trPr>
          <w:trHeight w:val="1846"/>
        </w:trPr>
        <w:tc>
          <w:tcPr>
            <w:tcW w:w="772" w:type="pct"/>
            <w:tcBorders>
              <w:top w:val="single" w:sz="4" w:space="0" w:color="auto"/>
              <w:bottom w:val="single" w:sz="4" w:space="0" w:color="auto"/>
            </w:tcBorders>
          </w:tcPr>
          <w:p w:rsidR="00FF061A" w:rsidRPr="001C7F69" w:rsidRDefault="0008020C" w:rsidP="00D3332C">
            <w:pPr>
              <w:pStyle w:val="TableBodyText"/>
              <w:jc w:val="left"/>
            </w:pPr>
            <w:r w:rsidRPr="001C7F69">
              <w:t xml:space="preserve">Defence Science and </w:t>
            </w:r>
            <w:r w:rsidR="00FF061A" w:rsidRPr="001C7F69">
              <w:t>Technology Organisation (</w:t>
            </w:r>
            <w:proofErr w:type="spellStart"/>
            <w:r w:rsidR="00FF061A" w:rsidRPr="001C7F69">
              <w:t>DSTO</w:t>
            </w:r>
            <w:proofErr w:type="spellEnd"/>
            <w:r w:rsidR="00FF061A" w:rsidRPr="001C7F69">
              <w:t>)</w:t>
            </w:r>
          </w:p>
        </w:tc>
        <w:tc>
          <w:tcPr>
            <w:tcW w:w="2197" w:type="pct"/>
            <w:tcBorders>
              <w:top w:val="single" w:sz="4" w:space="0" w:color="auto"/>
              <w:bottom w:val="single" w:sz="4" w:space="0" w:color="auto"/>
            </w:tcBorders>
          </w:tcPr>
          <w:p w:rsidR="00FF061A" w:rsidRPr="001C7F69" w:rsidRDefault="0008020C" w:rsidP="00D3332C">
            <w:pPr>
              <w:pStyle w:val="TableBodyText"/>
              <w:jc w:val="left"/>
            </w:pPr>
            <w:r w:rsidRPr="001C7F69">
              <w:t>The Defence Science and Technology Organisation (</w:t>
            </w:r>
            <w:proofErr w:type="spellStart"/>
            <w:r w:rsidRPr="001C7F69">
              <w:t>DSTO</w:t>
            </w:r>
            <w:proofErr w:type="spellEnd"/>
            <w:r w:rsidRPr="001C7F69">
              <w:t xml:space="preserve">) is </w:t>
            </w:r>
            <w:r w:rsidR="00FF061A" w:rsidRPr="001C7F69">
              <w:t xml:space="preserve">charged with applying science and technology to protect and defend Australia and its national interests. </w:t>
            </w:r>
            <w:proofErr w:type="spellStart"/>
            <w:r w:rsidR="00FF061A" w:rsidRPr="001C7F69">
              <w:t>DSTO</w:t>
            </w:r>
            <w:proofErr w:type="spellEnd"/>
            <w:r w:rsidR="00FF061A" w:rsidRPr="001C7F69">
              <w:t xml:space="preserve"> engagement with industry occurs through a range of commercial and collaborative arrangements that build strong working relationships, provide industry access to </w:t>
            </w:r>
            <w:proofErr w:type="spellStart"/>
            <w:r w:rsidR="00FF061A" w:rsidRPr="001C7F69">
              <w:t>DSTO</w:t>
            </w:r>
            <w:proofErr w:type="spellEnd"/>
            <w:r w:rsidR="00FF061A" w:rsidRPr="001C7F69">
              <w:t xml:space="preserve"> research, facilities and expertise, and allow the transfer to industry of </w:t>
            </w:r>
            <w:proofErr w:type="spellStart"/>
            <w:r w:rsidR="00FF061A" w:rsidRPr="001C7F69">
              <w:t>DSTO</w:t>
            </w:r>
            <w:proofErr w:type="spellEnd"/>
            <w:r w:rsidR="00FF061A" w:rsidRPr="001C7F69">
              <w:t xml:space="preserve"> intellectual property for commercialisation.</w:t>
            </w:r>
          </w:p>
        </w:tc>
        <w:tc>
          <w:tcPr>
            <w:tcW w:w="834" w:type="pct"/>
            <w:tcBorders>
              <w:top w:val="single" w:sz="4" w:space="0" w:color="auto"/>
              <w:bottom w:val="single" w:sz="4" w:space="0" w:color="auto"/>
            </w:tcBorders>
          </w:tcPr>
          <w:p w:rsidR="00FF061A" w:rsidRPr="001C7F69" w:rsidRDefault="0008020C" w:rsidP="00FF061A">
            <w:pPr>
              <w:pStyle w:val="TableBodyText"/>
              <w:jc w:val="left"/>
            </w:pPr>
            <w:r w:rsidRPr="001C7F69">
              <w:t xml:space="preserve">Budgetary outlay </w:t>
            </w:r>
            <w:r w:rsidR="00FF061A" w:rsidRPr="001C7F69">
              <w:t>(</w:t>
            </w:r>
            <w:proofErr w:type="spellStart"/>
            <w:r w:rsidR="00FF061A" w:rsidRPr="001C7F69">
              <w:t>DSTO</w:t>
            </w:r>
            <w:proofErr w:type="spellEnd"/>
            <w:r w:rsidR="00FF061A" w:rsidRPr="001C7F69">
              <w:t xml:space="preserve"> appropriation)</w:t>
            </w:r>
          </w:p>
          <w:p w:rsidR="00FF061A" w:rsidRPr="001C7F69" w:rsidRDefault="00FF061A" w:rsidP="00FF061A">
            <w:pPr>
              <w:pStyle w:val="TableBodyText"/>
              <w:jc w:val="left"/>
            </w:pPr>
          </w:p>
          <w:p w:rsidR="00FF061A" w:rsidRPr="001C7F69" w:rsidRDefault="00FF061A" w:rsidP="00FF061A">
            <w:pPr>
              <w:pStyle w:val="TableBodyText"/>
              <w:jc w:val="left"/>
            </w:pPr>
            <w:r w:rsidRPr="001C7F69">
              <w:t>Third party research</w:t>
            </w:r>
          </w:p>
        </w:tc>
        <w:tc>
          <w:tcPr>
            <w:tcW w:w="728" w:type="pct"/>
            <w:tcBorders>
              <w:top w:val="single" w:sz="4" w:space="0" w:color="auto"/>
              <w:bottom w:val="single" w:sz="4" w:space="0" w:color="auto"/>
            </w:tcBorders>
          </w:tcPr>
          <w:p w:rsidR="00FF061A" w:rsidRPr="001C7F69" w:rsidRDefault="0008020C" w:rsidP="00D3332C">
            <w:pPr>
              <w:pStyle w:val="TableBodyText"/>
              <w:jc w:val="left"/>
            </w:pPr>
            <w:r w:rsidRPr="001C7F69">
              <w:t xml:space="preserve">$434.1 million </w:t>
            </w:r>
            <w:r w:rsidR="00FF061A" w:rsidRPr="001C7F69">
              <w:t>Established 1974 from predecessors</w:t>
            </w:r>
          </w:p>
        </w:tc>
        <w:tc>
          <w:tcPr>
            <w:tcW w:w="469" w:type="pct"/>
            <w:tcBorders>
              <w:top w:val="single" w:sz="4" w:space="0" w:color="auto"/>
              <w:bottom w:val="single" w:sz="4" w:space="0" w:color="auto"/>
            </w:tcBorders>
          </w:tcPr>
          <w:p w:rsidR="00FF061A" w:rsidRPr="001C7F69" w:rsidRDefault="00FF061A" w:rsidP="00D3332C">
            <w:pPr>
              <w:pStyle w:val="TableBodyText"/>
              <w:jc w:val="left"/>
            </w:pPr>
          </w:p>
        </w:tc>
      </w:tr>
      <w:tr w:rsidR="00FF061A" w:rsidRPr="0099051E" w:rsidTr="0060747E">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Science Access Network (</w:t>
            </w:r>
            <w:proofErr w:type="spellStart"/>
            <w:r w:rsidRPr="001C7F69">
              <w:t>DSAN</w:t>
            </w:r>
            <w:proofErr w:type="spellEnd"/>
            <w:r w:rsidRPr="001C7F69">
              <w:t>)</w:t>
            </w:r>
          </w:p>
        </w:tc>
        <w:tc>
          <w:tcPr>
            <w:tcW w:w="2197" w:type="pct"/>
            <w:tcBorders>
              <w:top w:val="single" w:sz="4" w:space="0" w:color="auto"/>
              <w:bottom w:val="single" w:sz="4" w:space="0" w:color="auto"/>
            </w:tcBorders>
          </w:tcPr>
          <w:p w:rsidR="00FF061A" w:rsidRPr="001C7F69" w:rsidRDefault="00FF061A" w:rsidP="00D3332C">
            <w:pPr>
              <w:pStyle w:val="TableBodyText"/>
              <w:jc w:val="left"/>
            </w:pPr>
            <w:r w:rsidRPr="001C7F69">
              <w:t>The network is intended to encourage more collaboration between industry, particularly small and medium-sized enterprises (</w:t>
            </w:r>
            <w:proofErr w:type="spellStart"/>
            <w:r w:rsidRPr="001C7F69">
              <w:t>SMEs</w:t>
            </w:r>
            <w:proofErr w:type="spellEnd"/>
            <w:r w:rsidRPr="001C7F69">
              <w:t xml:space="preserve">) and </w:t>
            </w:r>
            <w:proofErr w:type="spellStart"/>
            <w:r w:rsidRPr="001C7F69">
              <w:t>DSTO</w:t>
            </w:r>
            <w:proofErr w:type="spellEnd"/>
            <w:r w:rsidRPr="001C7F69">
              <w:t>.</w:t>
            </w:r>
          </w:p>
        </w:tc>
        <w:tc>
          <w:tcPr>
            <w:tcW w:w="834" w:type="pct"/>
            <w:tcBorders>
              <w:top w:val="single" w:sz="4" w:space="0" w:color="auto"/>
              <w:bottom w:val="single" w:sz="4" w:space="0" w:color="auto"/>
            </w:tcBorders>
          </w:tcPr>
          <w:p w:rsidR="00FF061A" w:rsidRPr="001C7F69" w:rsidRDefault="00FF061A" w:rsidP="00D3332C">
            <w:pPr>
              <w:pStyle w:val="TableBodyText"/>
              <w:jc w:val="left"/>
            </w:pPr>
            <w:r w:rsidRPr="001C7F69">
              <w:t>Budgetary outlay (</w:t>
            </w:r>
            <w:proofErr w:type="spellStart"/>
            <w:r w:rsidRPr="001C7F69">
              <w:t>DMO</w:t>
            </w:r>
            <w:proofErr w:type="spellEnd"/>
            <w:r w:rsidRPr="001C7F69">
              <w:t xml:space="preserve"> expenditure)</w:t>
            </w:r>
          </w:p>
        </w:tc>
        <w:tc>
          <w:tcPr>
            <w:tcW w:w="728" w:type="pct"/>
            <w:tcBorders>
              <w:top w:val="single" w:sz="4" w:space="0" w:color="auto"/>
              <w:bottom w:val="single" w:sz="4" w:space="0" w:color="auto"/>
            </w:tcBorders>
          </w:tcPr>
          <w:p w:rsidR="00FF061A" w:rsidRPr="001C7F69" w:rsidRDefault="00FF061A" w:rsidP="00D3332C">
            <w:pPr>
              <w:pStyle w:val="TableBodyText"/>
              <w:jc w:val="left"/>
            </w:pPr>
            <w:r w:rsidRPr="001C7F69">
              <w:t>Amount unknown</w:t>
            </w:r>
          </w:p>
        </w:tc>
        <w:tc>
          <w:tcPr>
            <w:tcW w:w="469" w:type="pct"/>
            <w:tcBorders>
              <w:top w:val="single" w:sz="4" w:space="0" w:color="auto"/>
              <w:bottom w:val="single" w:sz="4" w:space="0" w:color="auto"/>
            </w:tcBorders>
          </w:tcPr>
          <w:p w:rsidR="00FF061A" w:rsidRPr="001C7F69" w:rsidRDefault="00FF061A" w:rsidP="00D3332C">
            <w:pPr>
              <w:pStyle w:val="TableBodyText"/>
              <w:jc w:val="left"/>
            </w:pPr>
            <w:r w:rsidRPr="001C7F69">
              <w:t>Participants unknown</w:t>
            </w:r>
          </w:p>
        </w:tc>
      </w:tr>
      <w:tr w:rsidR="00FF061A" w:rsidRPr="0099051E" w:rsidTr="0060747E">
        <w:trPr>
          <w:trHeight w:val="1508"/>
        </w:trPr>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Industry Study Course (</w:t>
            </w:r>
            <w:proofErr w:type="spellStart"/>
            <w:r w:rsidRPr="001C7F69">
              <w:t>DISC</w:t>
            </w:r>
            <w:proofErr w:type="spellEnd"/>
            <w:r w:rsidRPr="001C7F69">
              <w:t>)</w:t>
            </w:r>
          </w:p>
        </w:tc>
        <w:tc>
          <w:tcPr>
            <w:tcW w:w="2197" w:type="pct"/>
            <w:tcBorders>
              <w:top w:val="single" w:sz="4" w:space="0" w:color="auto"/>
              <w:bottom w:val="single" w:sz="4" w:space="0" w:color="auto"/>
            </w:tcBorders>
          </w:tcPr>
          <w:p w:rsidR="00FF061A" w:rsidRPr="001C7F69" w:rsidRDefault="00FF061A" w:rsidP="00D3332C">
            <w:pPr>
              <w:pStyle w:val="TableBodyText"/>
              <w:jc w:val="left"/>
            </w:pPr>
            <w:r w:rsidRPr="001C7F69">
              <w:t>The Defence Industry Study Course (</w:t>
            </w:r>
            <w:proofErr w:type="spellStart"/>
            <w:r w:rsidRPr="001C7F69">
              <w:t>DISC</w:t>
            </w:r>
            <w:proofErr w:type="spellEnd"/>
            <w:r w:rsidRPr="001C7F69">
              <w:t>) is a Defence-run program of seminars and visits designed for future leaders in industry, Defence and other government agencies. It began in 1953 as the Industrial Mobilisation Course (MIC).</w:t>
            </w:r>
            <w:r w:rsidRPr="001C7F69">
              <w:br/>
              <w:t xml:space="preserve">Education and training services that are not fully cost recovered from recipients can be construed as assistance. The </w:t>
            </w:r>
            <w:proofErr w:type="spellStart"/>
            <w:r w:rsidRPr="001C7F69">
              <w:t>DMO</w:t>
            </w:r>
            <w:proofErr w:type="spellEnd"/>
            <w:r w:rsidRPr="001C7F69">
              <w:t xml:space="preserve"> Institute (</w:t>
            </w:r>
            <w:proofErr w:type="spellStart"/>
            <w:r w:rsidRPr="001C7F69">
              <w:t>DMOI</w:t>
            </w:r>
            <w:proofErr w:type="spellEnd"/>
            <w:r w:rsidRPr="001C7F69">
              <w:t xml:space="preserve">) had previously provided training courses only for </w:t>
            </w:r>
            <w:proofErr w:type="spellStart"/>
            <w:r w:rsidRPr="001C7F69">
              <w:t>DMO</w:t>
            </w:r>
            <w:proofErr w:type="spellEnd"/>
            <w:r w:rsidRPr="001C7F69">
              <w:t xml:space="preserve"> staff but has recently been opened to participation by industry.</w:t>
            </w:r>
            <w:r w:rsidRPr="001C7F69">
              <w:br/>
              <w:t>.</w:t>
            </w:r>
          </w:p>
        </w:tc>
        <w:tc>
          <w:tcPr>
            <w:tcW w:w="834" w:type="pct"/>
            <w:tcBorders>
              <w:top w:val="single" w:sz="4" w:space="0" w:color="auto"/>
              <w:bottom w:val="single" w:sz="4" w:space="0" w:color="auto"/>
            </w:tcBorders>
          </w:tcPr>
          <w:p w:rsidR="00FF061A" w:rsidRPr="001C7F69" w:rsidRDefault="00FF061A" w:rsidP="00D3332C">
            <w:pPr>
              <w:pStyle w:val="TableBodyText"/>
              <w:jc w:val="left"/>
            </w:pPr>
            <w:r w:rsidRPr="001C7F69">
              <w:t>Budgetary outlay</w:t>
            </w:r>
            <w:r w:rsidRPr="001C7F69">
              <w:br/>
            </w:r>
            <w:r w:rsidRPr="001C7F69">
              <w:br/>
              <w:t>Education service</w:t>
            </w:r>
            <w:r w:rsidRPr="001C7F69">
              <w:br/>
            </w:r>
            <w:r w:rsidRPr="001C7F69">
              <w:br/>
              <w:t>Course fees charged</w:t>
            </w:r>
            <w:r w:rsidRPr="001C7F69">
              <w:br/>
            </w:r>
          </w:p>
        </w:tc>
        <w:tc>
          <w:tcPr>
            <w:tcW w:w="728" w:type="pct"/>
            <w:tcBorders>
              <w:top w:val="single" w:sz="4" w:space="0" w:color="auto"/>
              <w:bottom w:val="single" w:sz="4" w:space="0" w:color="auto"/>
            </w:tcBorders>
          </w:tcPr>
          <w:p w:rsidR="00FF061A" w:rsidRPr="001C7F69" w:rsidRDefault="00FF061A" w:rsidP="00D3332C">
            <w:pPr>
              <w:pStyle w:val="TableBodyText"/>
              <w:jc w:val="left"/>
            </w:pPr>
            <w:r w:rsidRPr="001C7F69">
              <w:t>Amount unknown</w:t>
            </w:r>
            <w:r w:rsidRPr="001C7F69">
              <w:br/>
            </w:r>
            <w:r w:rsidRPr="001C7F69">
              <w:br/>
              <w:t>Commenced 1953</w:t>
            </w:r>
          </w:p>
        </w:tc>
        <w:tc>
          <w:tcPr>
            <w:tcW w:w="469" w:type="pct"/>
            <w:tcBorders>
              <w:top w:val="single" w:sz="4" w:space="0" w:color="auto"/>
              <w:bottom w:val="single" w:sz="4" w:space="0" w:color="auto"/>
            </w:tcBorders>
          </w:tcPr>
          <w:p w:rsidR="00FF061A" w:rsidRPr="001C7F69" w:rsidRDefault="00FF061A" w:rsidP="00D3332C">
            <w:pPr>
              <w:pStyle w:val="TableBodyText"/>
              <w:ind w:right="28"/>
              <w:jc w:val="left"/>
            </w:pPr>
            <w:r w:rsidRPr="001C7F69">
              <w:t>Participants unknown</w:t>
            </w:r>
          </w:p>
        </w:tc>
      </w:tr>
      <w:tr w:rsidR="00FF061A" w:rsidRPr="0099051E" w:rsidTr="0060747E">
        <w:trPr>
          <w:trHeight w:val="442"/>
        </w:trPr>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Materiel Organisation Institute (</w:t>
            </w:r>
            <w:proofErr w:type="spellStart"/>
            <w:r w:rsidRPr="001C7F69">
              <w:t>DMOI</w:t>
            </w:r>
            <w:proofErr w:type="spellEnd"/>
            <w:r w:rsidRPr="001C7F69">
              <w:t xml:space="preserve">) and </w:t>
            </w:r>
            <w:proofErr w:type="spellStart"/>
            <w:r w:rsidRPr="001C7F69">
              <w:t>DMOI</w:t>
            </w:r>
            <w:proofErr w:type="spellEnd"/>
            <w:r w:rsidRPr="001C7F69">
              <w:t xml:space="preserve"> Expansion Program.</w:t>
            </w:r>
          </w:p>
        </w:tc>
        <w:tc>
          <w:tcPr>
            <w:tcW w:w="2197" w:type="pct"/>
            <w:tcBorders>
              <w:top w:val="single" w:sz="4" w:space="0" w:color="auto"/>
              <w:bottom w:val="single" w:sz="4" w:space="0" w:color="auto"/>
            </w:tcBorders>
          </w:tcPr>
          <w:p w:rsidR="00FF061A" w:rsidRPr="001C7F69" w:rsidRDefault="00FF061A" w:rsidP="00910FE5">
            <w:pPr>
              <w:pStyle w:val="TableBodyText"/>
              <w:jc w:val="left"/>
            </w:pPr>
            <w:r w:rsidRPr="001C7F69">
              <w:t xml:space="preserve">The </w:t>
            </w:r>
            <w:proofErr w:type="spellStart"/>
            <w:r w:rsidRPr="001C7F69">
              <w:t>DMOI</w:t>
            </w:r>
            <w:proofErr w:type="spellEnd"/>
            <w:r w:rsidRPr="001C7F69">
              <w:t xml:space="preserve"> was established in 2005 with the primary responsibility for the delivery of non-systems based training courses for the </w:t>
            </w:r>
            <w:proofErr w:type="spellStart"/>
            <w:r w:rsidRPr="001C7F69">
              <w:t>DMO</w:t>
            </w:r>
            <w:proofErr w:type="spellEnd"/>
            <w:r w:rsidRPr="001C7F69">
              <w:t xml:space="preserve"> workforce. The </w:t>
            </w:r>
            <w:proofErr w:type="spellStart"/>
            <w:r w:rsidRPr="001C7F69">
              <w:t>DMO</w:t>
            </w:r>
            <w:proofErr w:type="spellEnd"/>
            <w:r w:rsidRPr="001C7F69">
              <w:t xml:space="preserve"> Institute Expansion Program is one element of the Industry Skilling Program Enhancement (</w:t>
            </w:r>
            <w:proofErr w:type="spellStart"/>
            <w:r w:rsidRPr="001C7F69">
              <w:t>ISPE</w:t>
            </w:r>
            <w:proofErr w:type="spellEnd"/>
            <w:r w:rsidRPr="001C7F69">
              <w:t>) package announced in 2008.</w:t>
            </w:r>
            <w:r w:rsidRPr="001C7F69">
              <w:br/>
              <w:t xml:space="preserve">The </w:t>
            </w:r>
            <w:proofErr w:type="spellStart"/>
            <w:r w:rsidRPr="001C7F69">
              <w:t>DMOI</w:t>
            </w:r>
            <w:proofErr w:type="spellEnd"/>
            <w:r w:rsidRPr="001C7F69">
              <w:t xml:space="preserve"> had previously provided training courses only for </w:t>
            </w:r>
            <w:proofErr w:type="spellStart"/>
            <w:r w:rsidRPr="001C7F69">
              <w:t>DMO</w:t>
            </w:r>
            <w:proofErr w:type="spellEnd"/>
            <w:r w:rsidRPr="001C7F69">
              <w:t xml:space="preserve"> staff but has recently been opened to participation by industry. Education and training services that are not fully cost recovered from recipients can be construed as assistance.</w:t>
            </w:r>
          </w:p>
        </w:tc>
        <w:tc>
          <w:tcPr>
            <w:tcW w:w="834" w:type="pct"/>
            <w:tcBorders>
              <w:top w:val="single" w:sz="4" w:space="0" w:color="auto"/>
              <w:bottom w:val="single" w:sz="4" w:space="0" w:color="auto"/>
            </w:tcBorders>
          </w:tcPr>
          <w:p w:rsidR="00FF061A" w:rsidRPr="001C7F69" w:rsidRDefault="00FF061A" w:rsidP="00D3332C">
            <w:pPr>
              <w:pStyle w:val="TableBodyText"/>
              <w:jc w:val="left"/>
            </w:pPr>
            <w:r w:rsidRPr="001C7F69">
              <w:t>Budgetary outlay (</w:t>
            </w:r>
            <w:proofErr w:type="spellStart"/>
            <w:r w:rsidRPr="001C7F69">
              <w:t>DMO</w:t>
            </w:r>
            <w:proofErr w:type="spellEnd"/>
            <w:r w:rsidRPr="001C7F69">
              <w:t xml:space="preserve"> expenditure)</w:t>
            </w:r>
          </w:p>
        </w:tc>
        <w:tc>
          <w:tcPr>
            <w:tcW w:w="728" w:type="pct"/>
            <w:tcBorders>
              <w:top w:val="single" w:sz="4" w:space="0" w:color="auto"/>
              <w:bottom w:val="single" w:sz="4" w:space="0" w:color="auto"/>
            </w:tcBorders>
          </w:tcPr>
          <w:p w:rsidR="00FF061A" w:rsidRPr="001C7F69" w:rsidRDefault="00FF061A" w:rsidP="00D3332C">
            <w:pPr>
              <w:pStyle w:val="TableBodyText"/>
              <w:jc w:val="left"/>
            </w:pPr>
            <w:r w:rsidRPr="001C7F69">
              <w:t>Amount unknown</w:t>
            </w:r>
            <w:r w:rsidRPr="001C7F69">
              <w:br/>
            </w:r>
            <w:r w:rsidRPr="001C7F69">
              <w:br/>
              <w:t>Commenced 2005 and 2008, respectively</w:t>
            </w:r>
          </w:p>
        </w:tc>
        <w:tc>
          <w:tcPr>
            <w:tcW w:w="469" w:type="pct"/>
            <w:tcBorders>
              <w:top w:val="single" w:sz="4" w:space="0" w:color="auto"/>
              <w:bottom w:val="single" w:sz="4" w:space="0" w:color="auto"/>
            </w:tcBorders>
          </w:tcPr>
          <w:p w:rsidR="00FF061A" w:rsidRPr="001C7F69" w:rsidRDefault="00FF061A" w:rsidP="00D3332C">
            <w:pPr>
              <w:pStyle w:val="TableBodyText"/>
              <w:ind w:right="28"/>
              <w:jc w:val="left"/>
            </w:pPr>
            <w:r w:rsidRPr="001C7F69">
              <w:t>Participants unknown</w:t>
            </w:r>
          </w:p>
        </w:tc>
      </w:tr>
    </w:tbl>
    <w:p w:rsidR="00FF061A" w:rsidRPr="001718CE" w:rsidRDefault="00FF061A" w:rsidP="00FF061A">
      <w:pPr>
        <w:pStyle w:val="TableTitle"/>
        <w:rPr>
          <w:rFonts w:ascii="Times New Roman" w:hAnsi="Times New Roman"/>
          <w:sz w:val="26"/>
        </w:rPr>
      </w:pPr>
    </w:p>
    <w:tbl>
      <w:tblPr>
        <w:tblW w:w="5064" w:type="pct"/>
        <w:tblLayout w:type="fixed"/>
        <w:tblCellMar>
          <w:left w:w="0" w:type="dxa"/>
          <w:right w:w="0" w:type="dxa"/>
        </w:tblCellMar>
        <w:tblLook w:val="0000" w:firstRow="0" w:lastRow="0" w:firstColumn="0" w:lastColumn="0" w:noHBand="0" w:noVBand="0"/>
      </w:tblPr>
      <w:tblGrid>
        <w:gridCol w:w="2101"/>
        <w:gridCol w:w="5836"/>
        <w:gridCol w:w="2273"/>
        <w:gridCol w:w="2131"/>
        <w:gridCol w:w="1268"/>
      </w:tblGrid>
      <w:tr w:rsidR="00404CAC" w:rsidRPr="00FD02A4" w:rsidTr="001B1D22">
        <w:trPr>
          <w:trHeight w:val="340"/>
        </w:trPr>
        <w:tc>
          <w:tcPr>
            <w:tcW w:w="772" w:type="pct"/>
            <w:tcBorders>
              <w:top w:val="single" w:sz="6" w:space="0" w:color="auto"/>
              <w:bottom w:val="single" w:sz="4" w:space="0" w:color="auto"/>
            </w:tcBorders>
            <w:shd w:val="clear" w:color="auto" w:fill="auto"/>
            <w:vAlign w:val="bottom"/>
          </w:tcPr>
          <w:p w:rsidR="00FF061A" w:rsidRPr="00FD02A4" w:rsidRDefault="00FF061A" w:rsidP="00102686">
            <w:pPr>
              <w:pStyle w:val="TableColumnHeading"/>
              <w:spacing w:before="0" w:after="40"/>
              <w:jc w:val="left"/>
            </w:pPr>
            <w:r w:rsidRPr="00FD02A4">
              <w:lastRenderedPageBreak/>
              <w:t>Program</w:t>
            </w:r>
          </w:p>
        </w:tc>
        <w:tc>
          <w:tcPr>
            <w:tcW w:w="2144" w:type="pct"/>
            <w:tcBorders>
              <w:top w:val="single" w:sz="6" w:space="0" w:color="auto"/>
              <w:bottom w:val="single" w:sz="4" w:space="0" w:color="auto"/>
            </w:tcBorders>
            <w:vAlign w:val="bottom"/>
          </w:tcPr>
          <w:p w:rsidR="00FF061A" w:rsidRPr="00FD02A4" w:rsidRDefault="00FF061A" w:rsidP="00102686">
            <w:pPr>
              <w:pStyle w:val="TableColumnHeading"/>
              <w:spacing w:before="0" w:after="40"/>
              <w:jc w:val="center"/>
            </w:pPr>
            <w:r w:rsidRPr="00FD02A4">
              <w:t>Description</w:t>
            </w:r>
          </w:p>
        </w:tc>
        <w:tc>
          <w:tcPr>
            <w:tcW w:w="835" w:type="pct"/>
            <w:tcBorders>
              <w:top w:val="single" w:sz="6" w:space="0" w:color="auto"/>
              <w:bottom w:val="single" w:sz="4" w:space="0" w:color="auto"/>
            </w:tcBorders>
            <w:vAlign w:val="bottom"/>
          </w:tcPr>
          <w:p w:rsidR="00FF061A" w:rsidRPr="00FD02A4" w:rsidRDefault="00FF061A" w:rsidP="00102686">
            <w:pPr>
              <w:pStyle w:val="TableColumnHeading"/>
              <w:spacing w:before="0" w:after="40"/>
              <w:jc w:val="left"/>
            </w:pPr>
            <w:r w:rsidRPr="00FD02A4">
              <w:t>Type of support</w:t>
            </w:r>
          </w:p>
        </w:tc>
        <w:tc>
          <w:tcPr>
            <w:tcW w:w="783" w:type="pct"/>
            <w:tcBorders>
              <w:top w:val="single" w:sz="6" w:space="0" w:color="auto"/>
              <w:bottom w:val="single" w:sz="4" w:space="0" w:color="auto"/>
            </w:tcBorders>
            <w:shd w:val="clear" w:color="auto" w:fill="auto"/>
            <w:vAlign w:val="bottom"/>
          </w:tcPr>
          <w:p w:rsidR="00FF061A" w:rsidRPr="00FD02A4" w:rsidRDefault="00FF061A" w:rsidP="00102686">
            <w:pPr>
              <w:pStyle w:val="TableColumnHeading"/>
              <w:spacing w:before="0" w:after="40"/>
              <w:jc w:val="left"/>
            </w:pPr>
            <w:r w:rsidRPr="00FD02A4">
              <w:t>Funding and timing</w:t>
            </w:r>
          </w:p>
        </w:tc>
        <w:tc>
          <w:tcPr>
            <w:tcW w:w="467" w:type="pct"/>
            <w:tcBorders>
              <w:top w:val="single" w:sz="6" w:space="0" w:color="auto"/>
              <w:bottom w:val="single" w:sz="4" w:space="0" w:color="auto"/>
            </w:tcBorders>
            <w:shd w:val="clear" w:color="auto" w:fill="auto"/>
            <w:vAlign w:val="bottom"/>
          </w:tcPr>
          <w:p w:rsidR="00FF061A" w:rsidRPr="00FD02A4" w:rsidRDefault="00FF061A" w:rsidP="00102686">
            <w:pPr>
              <w:pStyle w:val="TableColumnHeading"/>
              <w:spacing w:before="0" w:after="40"/>
              <w:jc w:val="left"/>
            </w:pPr>
            <w:r w:rsidRPr="00FD02A4">
              <w:t>Recipients information</w:t>
            </w:r>
          </w:p>
        </w:tc>
      </w:tr>
      <w:tr w:rsidR="00404CAC" w:rsidRPr="00FD02A4" w:rsidTr="001B1D22">
        <w:trPr>
          <w:trHeight w:val="1846"/>
        </w:trPr>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Letter of Recognised Supply (</w:t>
            </w:r>
            <w:proofErr w:type="spellStart"/>
            <w:r w:rsidRPr="001C7F69">
              <w:t>LoRS</w:t>
            </w:r>
            <w:proofErr w:type="spellEnd"/>
            <w:r w:rsidRPr="001C7F69">
              <w:t>)</w:t>
            </w:r>
          </w:p>
        </w:tc>
        <w:tc>
          <w:tcPr>
            <w:tcW w:w="2144" w:type="pct"/>
            <w:tcBorders>
              <w:top w:val="single" w:sz="4" w:space="0" w:color="auto"/>
              <w:bottom w:val="single" w:sz="4" w:space="0" w:color="auto"/>
            </w:tcBorders>
          </w:tcPr>
          <w:p w:rsidR="00FF061A" w:rsidRPr="001C7F69" w:rsidRDefault="00FF061A" w:rsidP="00D3332C">
            <w:pPr>
              <w:pStyle w:val="TableBodyText"/>
              <w:jc w:val="left"/>
            </w:pPr>
            <w:r w:rsidRPr="001C7F69">
              <w:t>The Letter of Recognised Supply provides companies with evidence of their supply to the Australian Defence Organisation, to assist in bidding for new work or marketing their capabilities to non-defence customers. To receive the Letter of Recognised Supply a company needs to meet the standards of supply demanded by the Australian Defence Organisation. Products and services need to be supplied on time, on budget and to specification.</w:t>
            </w:r>
          </w:p>
        </w:tc>
        <w:tc>
          <w:tcPr>
            <w:tcW w:w="835" w:type="pct"/>
            <w:tcBorders>
              <w:top w:val="single" w:sz="4" w:space="0" w:color="auto"/>
              <w:bottom w:val="single" w:sz="4" w:space="0" w:color="auto"/>
            </w:tcBorders>
          </w:tcPr>
          <w:p w:rsidR="00FF061A" w:rsidRPr="001C7F69" w:rsidRDefault="00FF061A" w:rsidP="00D3332C">
            <w:pPr>
              <w:pStyle w:val="TableBodyText"/>
              <w:jc w:val="left"/>
            </w:pPr>
            <w:r w:rsidRPr="001C7F69">
              <w:t>Performance certification</w:t>
            </w:r>
          </w:p>
        </w:tc>
        <w:tc>
          <w:tcPr>
            <w:tcW w:w="783" w:type="pct"/>
            <w:tcBorders>
              <w:top w:val="single" w:sz="4" w:space="0" w:color="auto"/>
              <w:bottom w:val="single" w:sz="4" w:space="0" w:color="auto"/>
            </w:tcBorders>
          </w:tcPr>
          <w:p w:rsidR="00FF061A" w:rsidRPr="001C7F69" w:rsidRDefault="00FF061A" w:rsidP="00D3332C">
            <w:pPr>
              <w:pStyle w:val="TableBodyText"/>
              <w:jc w:val="left"/>
            </w:pPr>
            <w:r w:rsidRPr="001C7F69">
              <w:t>Not applicable</w:t>
            </w:r>
          </w:p>
        </w:tc>
        <w:tc>
          <w:tcPr>
            <w:tcW w:w="467" w:type="pct"/>
            <w:tcBorders>
              <w:top w:val="single" w:sz="4" w:space="0" w:color="auto"/>
              <w:bottom w:val="single" w:sz="4" w:space="0" w:color="auto"/>
            </w:tcBorders>
          </w:tcPr>
          <w:p w:rsidR="00FF061A" w:rsidRPr="001C7F69" w:rsidRDefault="00FF061A" w:rsidP="00D3332C">
            <w:pPr>
              <w:pStyle w:val="TableBodyText"/>
              <w:jc w:val="left"/>
            </w:pPr>
            <w:r w:rsidRPr="001C7F69">
              <w:t>Recipients unknown</w:t>
            </w:r>
          </w:p>
        </w:tc>
      </w:tr>
      <w:tr w:rsidR="00404CAC" w:rsidRPr="00FD02A4" w:rsidTr="001B1D22">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Export Unit (</w:t>
            </w:r>
            <w:proofErr w:type="spellStart"/>
            <w:r w:rsidRPr="001C7F69">
              <w:t>DEU</w:t>
            </w:r>
            <w:proofErr w:type="spellEnd"/>
            <w:r w:rsidRPr="001C7F69">
              <w:t>)</w:t>
            </w:r>
            <w:r w:rsidRPr="001C7F69">
              <w:br/>
            </w:r>
            <w:r w:rsidRPr="001C7F69">
              <w:br/>
              <w:t>(Incorporated in 2012 into the Australian Military Sales Office – see below)</w:t>
            </w:r>
            <w:r w:rsidRPr="001C7F69">
              <w:br/>
            </w:r>
          </w:p>
        </w:tc>
        <w:tc>
          <w:tcPr>
            <w:tcW w:w="2144" w:type="pct"/>
            <w:tcBorders>
              <w:top w:val="single" w:sz="4" w:space="0" w:color="auto"/>
              <w:bottom w:val="single" w:sz="4" w:space="0" w:color="auto"/>
            </w:tcBorders>
          </w:tcPr>
          <w:p w:rsidR="00FF061A" w:rsidRPr="001C7F69" w:rsidRDefault="00FF061A" w:rsidP="00D3332C">
            <w:pPr>
              <w:pStyle w:val="TableBodyText"/>
              <w:jc w:val="left"/>
            </w:pPr>
            <w:r w:rsidRPr="001C7F69">
              <w:rPr>
                <w:lang w:val="en"/>
              </w:rPr>
              <w:t xml:space="preserve">The </w:t>
            </w:r>
            <w:proofErr w:type="spellStart"/>
            <w:r w:rsidRPr="001C7F69">
              <w:rPr>
                <w:lang w:val="en"/>
              </w:rPr>
              <w:t>DEU</w:t>
            </w:r>
            <w:proofErr w:type="spellEnd"/>
            <w:r w:rsidRPr="001C7F69">
              <w:rPr>
                <w:lang w:val="en"/>
              </w:rPr>
              <w:t xml:space="preserve"> aims to assist Australian </w:t>
            </w:r>
            <w:proofErr w:type="spellStart"/>
            <w:r w:rsidRPr="001C7F69">
              <w:rPr>
                <w:lang w:val="en"/>
              </w:rPr>
              <w:t>defence</w:t>
            </w:r>
            <w:proofErr w:type="spellEnd"/>
            <w:r w:rsidRPr="001C7F69">
              <w:rPr>
                <w:lang w:val="en"/>
              </w:rPr>
              <w:t xml:space="preserve"> companies to access export markets and global supply chains through marketing and promotion services, much like </w:t>
            </w:r>
            <w:proofErr w:type="spellStart"/>
            <w:r w:rsidRPr="001C7F69">
              <w:rPr>
                <w:lang w:val="en"/>
              </w:rPr>
              <w:t>Austrade</w:t>
            </w:r>
            <w:proofErr w:type="spellEnd"/>
            <w:r w:rsidRPr="001C7F69">
              <w:rPr>
                <w:lang w:val="en"/>
              </w:rPr>
              <w:t xml:space="preserve">. The </w:t>
            </w:r>
            <w:proofErr w:type="spellStart"/>
            <w:r w:rsidRPr="001C7F69">
              <w:rPr>
                <w:lang w:val="en"/>
              </w:rPr>
              <w:t>DEU</w:t>
            </w:r>
            <w:proofErr w:type="spellEnd"/>
            <w:r w:rsidRPr="001C7F69">
              <w:rPr>
                <w:lang w:val="en"/>
              </w:rPr>
              <w:t xml:space="preserve"> promotes the collective Australian </w:t>
            </w:r>
            <w:proofErr w:type="spellStart"/>
            <w:r w:rsidRPr="001C7F69">
              <w:rPr>
                <w:lang w:val="en"/>
              </w:rPr>
              <w:t>defence</w:t>
            </w:r>
            <w:proofErr w:type="spellEnd"/>
            <w:r w:rsidRPr="001C7F69">
              <w:rPr>
                <w:lang w:val="en"/>
              </w:rPr>
              <w:t xml:space="preserve"> industry sector overseas under the banner </w:t>
            </w:r>
            <w:r w:rsidRPr="001C7F69">
              <w:t>of ‘</w:t>
            </w:r>
            <w:hyperlink r:id="rId14" w:tgtFrame="_self" w:history="1">
              <w:r w:rsidRPr="001C7F69">
                <w:t>Team Australia</w:t>
              </w:r>
            </w:hyperlink>
            <w:r w:rsidRPr="001C7F69">
              <w:t>’</w:t>
            </w:r>
            <w:r w:rsidRPr="001C7F69">
              <w:rPr>
                <w:lang w:val="en"/>
              </w:rPr>
              <w:t>.</w:t>
            </w:r>
            <w:r w:rsidRPr="001C7F69">
              <w:rPr>
                <w:lang w:val="en"/>
              </w:rPr>
              <w:br/>
            </w:r>
          </w:p>
        </w:tc>
        <w:tc>
          <w:tcPr>
            <w:tcW w:w="835" w:type="pct"/>
            <w:tcBorders>
              <w:top w:val="single" w:sz="4" w:space="0" w:color="auto"/>
              <w:bottom w:val="single" w:sz="4" w:space="0" w:color="auto"/>
            </w:tcBorders>
          </w:tcPr>
          <w:p w:rsidR="00FF061A" w:rsidRPr="001C7F69" w:rsidRDefault="00FF061A" w:rsidP="00D3332C">
            <w:pPr>
              <w:pStyle w:val="TableBodyText"/>
              <w:jc w:val="left"/>
            </w:pPr>
            <w:r w:rsidRPr="001C7F69">
              <w:t>Budgetary outlay (</w:t>
            </w:r>
            <w:proofErr w:type="spellStart"/>
            <w:r w:rsidRPr="001C7F69">
              <w:t>DMO</w:t>
            </w:r>
            <w:proofErr w:type="spellEnd"/>
            <w:r w:rsidRPr="001C7F69">
              <w:t xml:space="preserve"> expenditure)</w:t>
            </w:r>
          </w:p>
        </w:tc>
        <w:tc>
          <w:tcPr>
            <w:tcW w:w="783" w:type="pct"/>
            <w:tcBorders>
              <w:top w:val="single" w:sz="4" w:space="0" w:color="auto"/>
              <w:bottom w:val="single" w:sz="4" w:space="0" w:color="auto"/>
            </w:tcBorders>
          </w:tcPr>
          <w:p w:rsidR="00FF061A" w:rsidRPr="001C7F69" w:rsidRDefault="00FF061A" w:rsidP="00D3332C">
            <w:pPr>
              <w:pStyle w:val="TableBodyText"/>
              <w:jc w:val="left"/>
            </w:pPr>
            <w:r w:rsidRPr="001C7F69">
              <w:t>Annual expenditure not known</w:t>
            </w:r>
            <w:r w:rsidRPr="001C7F69">
              <w:br/>
            </w:r>
            <w:r w:rsidRPr="001C7F69">
              <w:br/>
              <w:t xml:space="preserve">Intended </w:t>
            </w:r>
            <w:r w:rsidRPr="001C7F69">
              <w:br/>
              <w:t>$34 million</w:t>
            </w:r>
            <w:r w:rsidRPr="001C7F69">
              <w:br/>
              <w:t>2007 to 2017</w:t>
            </w:r>
            <w:r w:rsidRPr="001C7F69">
              <w:br/>
            </w:r>
          </w:p>
        </w:tc>
        <w:tc>
          <w:tcPr>
            <w:tcW w:w="467" w:type="pct"/>
            <w:tcBorders>
              <w:top w:val="single" w:sz="4" w:space="0" w:color="auto"/>
              <w:bottom w:val="single" w:sz="4" w:space="0" w:color="auto"/>
            </w:tcBorders>
          </w:tcPr>
          <w:p w:rsidR="00FF061A" w:rsidRPr="001C7F69" w:rsidRDefault="00FF061A" w:rsidP="00D3332C">
            <w:pPr>
              <w:pStyle w:val="TableBodyText"/>
              <w:ind w:right="28"/>
              <w:jc w:val="left"/>
            </w:pPr>
            <w:r w:rsidRPr="001C7F69">
              <w:t>Recipients unknown</w:t>
            </w:r>
          </w:p>
        </w:tc>
      </w:tr>
      <w:tr w:rsidR="00404CAC" w:rsidRPr="00FD02A4" w:rsidTr="001B1D22">
        <w:trPr>
          <w:trHeight w:val="1508"/>
        </w:trPr>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Australian Military Sales Office (</w:t>
            </w:r>
            <w:proofErr w:type="spellStart"/>
            <w:r w:rsidRPr="001C7F69">
              <w:t>AMSO</w:t>
            </w:r>
            <w:proofErr w:type="spellEnd"/>
            <w:r w:rsidRPr="001C7F69">
              <w:t>)</w:t>
            </w:r>
          </w:p>
        </w:tc>
        <w:tc>
          <w:tcPr>
            <w:tcW w:w="2144" w:type="pct"/>
            <w:tcBorders>
              <w:top w:val="single" w:sz="4" w:space="0" w:color="auto"/>
              <w:bottom w:val="single" w:sz="4" w:space="0" w:color="auto"/>
            </w:tcBorders>
          </w:tcPr>
          <w:p w:rsidR="00FF061A" w:rsidRPr="001C7F69" w:rsidRDefault="00FF061A" w:rsidP="00D3332C">
            <w:pPr>
              <w:pStyle w:val="TableBodyText"/>
              <w:jc w:val="left"/>
            </w:pPr>
            <w:r w:rsidRPr="001C7F69">
              <w:t xml:space="preserve">The purpose of the </w:t>
            </w:r>
            <w:proofErr w:type="spellStart"/>
            <w:r w:rsidRPr="001C7F69">
              <w:t>AMSO</w:t>
            </w:r>
            <w:proofErr w:type="spellEnd"/>
            <w:r w:rsidRPr="001C7F69">
              <w:t xml:space="preserve"> is to make it easier for Australian defence manufacturers to promote and export their products and making it easier for other governments to buy them. </w:t>
            </w:r>
            <w:proofErr w:type="spellStart"/>
            <w:r w:rsidRPr="001C7F69">
              <w:t>AMSO</w:t>
            </w:r>
            <w:proofErr w:type="spellEnd"/>
            <w:r w:rsidRPr="001C7F69">
              <w:t xml:space="preserve"> is intended to be a one-stop-shop for Australian defence manufacturers seeking to export their products. It is also intended to help Australian exporters showcase their products and capabilities at international defence exhibitions under the ‘Team Australia’ branding.</w:t>
            </w:r>
          </w:p>
        </w:tc>
        <w:tc>
          <w:tcPr>
            <w:tcW w:w="835" w:type="pct"/>
            <w:tcBorders>
              <w:top w:val="single" w:sz="4" w:space="0" w:color="auto"/>
              <w:bottom w:val="single" w:sz="4" w:space="0" w:color="auto"/>
            </w:tcBorders>
          </w:tcPr>
          <w:p w:rsidR="00FF061A" w:rsidRPr="001C7F69" w:rsidRDefault="00FF061A" w:rsidP="00D3332C">
            <w:pPr>
              <w:pStyle w:val="TableBodyText"/>
              <w:jc w:val="left"/>
            </w:pPr>
            <w:r w:rsidRPr="001C7F69">
              <w:t>Budgetary outlay (</w:t>
            </w:r>
            <w:proofErr w:type="spellStart"/>
            <w:r w:rsidRPr="001C7F69">
              <w:t>DMO</w:t>
            </w:r>
            <w:proofErr w:type="spellEnd"/>
            <w:r w:rsidRPr="001C7F69">
              <w:t xml:space="preserve"> expenditure)</w:t>
            </w:r>
          </w:p>
        </w:tc>
        <w:tc>
          <w:tcPr>
            <w:tcW w:w="783" w:type="pct"/>
            <w:tcBorders>
              <w:top w:val="single" w:sz="4" w:space="0" w:color="auto"/>
              <w:bottom w:val="single" w:sz="4" w:space="0" w:color="auto"/>
            </w:tcBorders>
          </w:tcPr>
          <w:p w:rsidR="00FF061A" w:rsidRPr="001C7F69" w:rsidRDefault="00FF061A" w:rsidP="00FF061A">
            <w:pPr>
              <w:pStyle w:val="TableBodyText"/>
              <w:jc w:val="left"/>
            </w:pPr>
            <w:r w:rsidRPr="001C7F69">
              <w:t>Amount not known</w:t>
            </w:r>
          </w:p>
          <w:p w:rsidR="00FF061A" w:rsidRPr="001C7F69" w:rsidRDefault="00FF061A" w:rsidP="00FF061A">
            <w:pPr>
              <w:pStyle w:val="TableBodyText"/>
              <w:jc w:val="left"/>
            </w:pPr>
          </w:p>
          <w:p w:rsidR="00FF061A" w:rsidRPr="001C7F69" w:rsidRDefault="00FF061A" w:rsidP="00FF061A">
            <w:pPr>
              <w:pStyle w:val="TableBodyText"/>
              <w:jc w:val="left"/>
            </w:pPr>
            <w:r w:rsidRPr="001C7F69">
              <w:t>Commenced 2012</w:t>
            </w:r>
          </w:p>
        </w:tc>
        <w:tc>
          <w:tcPr>
            <w:tcW w:w="467" w:type="pct"/>
            <w:tcBorders>
              <w:top w:val="single" w:sz="4" w:space="0" w:color="auto"/>
              <w:bottom w:val="single" w:sz="4" w:space="0" w:color="auto"/>
            </w:tcBorders>
          </w:tcPr>
          <w:p w:rsidR="00FF061A" w:rsidRPr="001C7F69" w:rsidRDefault="00FF061A" w:rsidP="00D3332C">
            <w:pPr>
              <w:pStyle w:val="TableBodyText"/>
              <w:ind w:right="28"/>
              <w:jc w:val="left"/>
            </w:pPr>
            <w:r w:rsidRPr="001C7F69">
              <w:t>Recipients unknown</w:t>
            </w:r>
          </w:p>
        </w:tc>
      </w:tr>
      <w:tr w:rsidR="00404CAC" w:rsidRPr="00FD02A4" w:rsidTr="001B1D22">
        <w:trPr>
          <w:trHeight w:val="442"/>
        </w:trPr>
        <w:tc>
          <w:tcPr>
            <w:tcW w:w="772" w:type="pct"/>
            <w:tcBorders>
              <w:top w:val="single" w:sz="4" w:space="0" w:color="auto"/>
              <w:bottom w:val="single" w:sz="4" w:space="0" w:color="auto"/>
            </w:tcBorders>
          </w:tcPr>
          <w:p w:rsidR="00FF061A" w:rsidRPr="001C7F69" w:rsidRDefault="00FF061A" w:rsidP="00D3332C">
            <w:pPr>
              <w:pStyle w:val="TableBodyText"/>
              <w:jc w:val="left"/>
            </w:pPr>
            <w:r w:rsidRPr="001C7F69">
              <w:t>Defence Export Control Office (DECO)</w:t>
            </w:r>
          </w:p>
        </w:tc>
        <w:tc>
          <w:tcPr>
            <w:tcW w:w="2144" w:type="pct"/>
            <w:tcBorders>
              <w:top w:val="single" w:sz="4" w:space="0" w:color="auto"/>
              <w:bottom w:val="single" w:sz="4" w:space="0" w:color="auto"/>
            </w:tcBorders>
          </w:tcPr>
          <w:p w:rsidR="00FF061A" w:rsidRPr="001C7F69" w:rsidRDefault="00FF061A" w:rsidP="00D3332C">
            <w:pPr>
              <w:pStyle w:val="TableBodyText"/>
              <w:jc w:val="left"/>
            </w:pPr>
            <w:r w:rsidRPr="001C7F69">
              <w:t>The DECO is responsible to the Minister for Defence for regulating the export of defence and dual-use goods as part of Australia’s system of export controls. DECO provides a range of services and information to assist exporters understand and comply with Australia’s export control requirements.</w:t>
            </w:r>
          </w:p>
        </w:tc>
        <w:tc>
          <w:tcPr>
            <w:tcW w:w="835" w:type="pct"/>
            <w:tcBorders>
              <w:top w:val="single" w:sz="4" w:space="0" w:color="auto"/>
              <w:bottom w:val="single" w:sz="4" w:space="0" w:color="auto"/>
            </w:tcBorders>
          </w:tcPr>
          <w:p w:rsidR="00FF061A" w:rsidRPr="001C7F69" w:rsidRDefault="00FF061A" w:rsidP="00AF5D63">
            <w:pPr>
              <w:pStyle w:val="TableBodyText"/>
              <w:jc w:val="left"/>
            </w:pPr>
            <w:r w:rsidRPr="001C7F69">
              <w:t>Budgetary outlay (</w:t>
            </w:r>
            <w:proofErr w:type="spellStart"/>
            <w:r w:rsidRPr="001C7F69">
              <w:t>DMO</w:t>
            </w:r>
            <w:proofErr w:type="spellEnd"/>
            <w:r w:rsidRPr="001C7F69">
              <w:t xml:space="preserve"> expenditure)</w:t>
            </w:r>
          </w:p>
          <w:p w:rsidR="00FF061A" w:rsidRPr="001C7F69" w:rsidRDefault="00FF061A" w:rsidP="00AF5D63">
            <w:pPr>
              <w:pStyle w:val="TableBodyText"/>
              <w:jc w:val="left"/>
            </w:pPr>
          </w:p>
          <w:p w:rsidR="00FF061A" w:rsidRPr="001C7F69" w:rsidRDefault="00FF061A" w:rsidP="00AF5D63">
            <w:pPr>
              <w:pStyle w:val="TableBodyText"/>
              <w:jc w:val="left"/>
            </w:pPr>
            <w:r w:rsidRPr="001C7F69">
              <w:t>Export control and advice</w:t>
            </w:r>
          </w:p>
        </w:tc>
        <w:tc>
          <w:tcPr>
            <w:tcW w:w="783" w:type="pct"/>
            <w:tcBorders>
              <w:top w:val="single" w:sz="4" w:space="0" w:color="auto"/>
              <w:bottom w:val="single" w:sz="4" w:space="0" w:color="auto"/>
            </w:tcBorders>
          </w:tcPr>
          <w:p w:rsidR="00FF061A" w:rsidRPr="001C7F69" w:rsidRDefault="00AF5D63" w:rsidP="00D3332C">
            <w:pPr>
              <w:pStyle w:val="TableBodyText"/>
              <w:jc w:val="left"/>
            </w:pPr>
            <w:r w:rsidRPr="001C7F69">
              <w:t>Amount not known</w:t>
            </w:r>
          </w:p>
        </w:tc>
        <w:tc>
          <w:tcPr>
            <w:tcW w:w="467" w:type="pct"/>
            <w:tcBorders>
              <w:top w:val="single" w:sz="4" w:space="0" w:color="auto"/>
              <w:bottom w:val="single" w:sz="4" w:space="0" w:color="auto"/>
            </w:tcBorders>
          </w:tcPr>
          <w:p w:rsidR="00FF061A" w:rsidRPr="001C7F69" w:rsidRDefault="00FF061A" w:rsidP="00D3332C">
            <w:pPr>
              <w:pStyle w:val="TableBodyText"/>
              <w:ind w:right="28"/>
              <w:jc w:val="left"/>
            </w:pPr>
          </w:p>
        </w:tc>
      </w:tr>
    </w:tbl>
    <w:p w:rsidR="00FF061A" w:rsidRDefault="00FF061A" w:rsidP="00233A95">
      <w:pPr>
        <w:pStyle w:val="BodyText"/>
      </w:pPr>
    </w:p>
    <w:sectPr w:rsidR="00FF061A" w:rsidSect="00233A95">
      <w:headerReference w:type="even" r:id="rId15"/>
      <w:headerReference w:type="default" r:id="rId16"/>
      <w:footerReference w:type="even" r:id="rId17"/>
      <w:footerReference w:type="default" r:id="rId18"/>
      <w:headerReference w:type="first" r:id="rId19"/>
      <w:footerReference w:type="first" r:id="rId20"/>
      <w:pgSz w:w="16840" w:h="11907" w:orient="landscape" w:code="9"/>
      <w:pgMar w:top="1758" w:right="1985" w:bottom="1304" w:left="1418"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C00" w:rsidRDefault="00612C00">
      <w:r>
        <w:separator/>
      </w:r>
    </w:p>
  </w:endnote>
  <w:endnote w:type="continuationSeparator" w:id="0">
    <w:p w:rsidR="00612C00" w:rsidRDefault="0061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E77FF">
      <w:trPr>
        <w:trHeight w:hRule="exact" w:val="740"/>
      </w:trPr>
      <w:tc>
        <w:tcPr>
          <w:tcW w:w="510" w:type="dxa"/>
          <w:tcBorders>
            <w:top w:val="single" w:sz="6" w:space="0" w:color="auto"/>
          </w:tcBorders>
        </w:tcPr>
        <w:p w:rsidR="00DE77FF" w:rsidRDefault="00DE77FF">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tc>
      <w:tc>
        <w:tcPr>
          <w:tcW w:w="1644" w:type="dxa"/>
          <w:tcBorders>
            <w:top w:val="single" w:sz="6" w:space="0" w:color="auto"/>
          </w:tcBorders>
        </w:tcPr>
        <w:p w:rsidR="00DE77FF" w:rsidRDefault="00E149FE">
          <w:pPr>
            <w:pStyle w:val="Footer"/>
          </w:pPr>
          <w:fldSimple w:instr=" SUBJECT  \* MERGEFORMAT ">
            <w:r w:rsidR="003A2F36">
              <w:t>trade &amp; assistance review 2012-13</w:t>
            </w:r>
          </w:fldSimple>
        </w:p>
      </w:tc>
      <w:tc>
        <w:tcPr>
          <w:tcW w:w="6634" w:type="dxa"/>
        </w:tcPr>
        <w:p w:rsidR="00DE77FF" w:rsidRDefault="00DE77FF">
          <w:pPr>
            <w:pStyle w:val="Footer"/>
          </w:pPr>
        </w:p>
      </w:tc>
    </w:tr>
  </w:tbl>
  <w:p w:rsidR="00DE77FF" w:rsidRDefault="00DE77F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E77FF">
      <w:trPr>
        <w:trHeight w:hRule="exact" w:val="740"/>
      </w:trPr>
      <w:tc>
        <w:tcPr>
          <w:tcW w:w="6634" w:type="dxa"/>
        </w:tcPr>
        <w:p w:rsidR="00DE77FF" w:rsidRDefault="00DE77FF">
          <w:pPr>
            <w:pStyle w:val="Footer"/>
            <w:ind w:right="360" w:firstLine="360"/>
          </w:pPr>
        </w:p>
      </w:tc>
      <w:tc>
        <w:tcPr>
          <w:tcW w:w="1644" w:type="dxa"/>
          <w:tcBorders>
            <w:top w:val="single" w:sz="6" w:space="0" w:color="auto"/>
          </w:tcBorders>
        </w:tcPr>
        <w:p w:rsidR="00DE77FF" w:rsidRDefault="00E149FE">
          <w:pPr>
            <w:pStyle w:val="Footer"/>
          </w:pPr>
          <w:fldSimple w:instr=" TITLE  \* MERGEFORMAT ">
            <w:r w:rsidR="003A2F36">
              <w:t>Defence industry engagement programs</w:t>
            </w:r>
          </w:fldSimple>
        </w:p>
      </w:tc>
      <w:tc>
        <w:tcPr>
          <w:tcW w:w="510" w:type="dxa"/>
          <w:tcBorders>
            <w:top w:val="single" w:sz="6" w:space="0" w:color="auto"/>
          </w:tcBorders>
        </w:tcPr>
        <w:p w:rsidR="00DE77FF" w:rsidRDefault="00DE77FF">
          <w:pPr>
            <w:pStyle w:val="Footer"/>
            <w:jc w:val="right"/>
          </w:pPr>
          <w:r>
            <w:rPr>
              <w:rStyle w:val="PageNumber"/>
            </w:rPr>
            <w:fldChar w:fldCharType="begin"/>
          </w:r>
          <w:r>
            <w:rPr>
              <w:rStyle w:val="PageNumber"/>
            </w:rPr>
            <w:instrText xml:space="preserve">PAGE  </w:instrText>
          </w:r>
          <w:r>
            <w:rPr>
              <w:rStyle w:val="PageNumber"/>
            </w:rPr>
            <w:fldChar w:fldCharType="separate"/>
          </w:r>
          <w:r w:rsidR="00EF6B36">
            <w:rPr>
              <w:rStyle w:val="PageNumber"/>
              <w:noProof/>
            </w:rPr>
            <w:t>181</w:t>
          </w:r>
          <w:r>
            <w:rPr>
              <w:rStyle w:val="PageNumber"/>
            </w:rPr>
            <w:fldChar w:fldCharType="end"/>
          </w:r>
        </w:p>
      </w:tc>
    </w:tr>
  </w:tbl>
  <w:p w:rsidR="00DE77FF" w:rsidRDefault="00DE77F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Default="00DE77FF" w:rsidP="0019293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Pr="009B3C5D" w:rsidRDefault="00DE77FF" w:rsidP="009B3C5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Default="00DE7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C00" w:rsidRDefault="00612C00">
      <w:r>
        <w:separator/>
      </w:r>
    </w:p>
  </w:footnote>
  <w:footnote w:type="continuationSeparator" w:id="0">
    <w:p w:rsidR="00612C00" w:rsidRDefault="00612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E77FF">
      <w:tc>
        <w:tcPr>
          <w:tcW w:w="2155" w:type="dxa"/>
          <w:tcBorders>
            <w:top w:val="single" w:sz="24" w:space="0" w:color="auto"/>
          </w:tcBorders>
        </w:tcPr>
        <w:p w:rsidR="00DE77FF" w:rsidRDefault="00DE77FF">
          <w:pPr>
            <w:pStyle w:val="HeaderEven"/>
          </w:pPr>
        </w:p>
      </w:tc>
      <w:tc>
        <w:tcPr>
          <w:tcW w:w="6634" w:type="dxa"/>
          <w:tcBorders>
            <w:top w:val="single" w:sz="6" w:space="0" w:color="auto"/>
          </w:tcBorders>
        </w:tcPr>
        <w:p w:rsidR="00DE77FF" w:rsidRDefault="00DE77FF">
          <w:pPr>
            <w:pStyle w:val="HeaderEven"/>
          </w:pPr>
        </w:p>
      </w:tc>
    </w:tr>
  </w:tbl>
  <w:p w:rsidR="00DE77FF" w:rsidRDefault="00DE77F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E77FF">
      <w:tc>
        <w:tcPr>
          <w:tcW w:w="6634" w:type="dxa"/>
          <w:tcBorders>
            <w:top w:val="single" w:sz="6" w:space="0" w:color="auto"/>
          </w:tcBorders>
        </w:tcPr>
        <w:p w:rsidR="00DE77FF" w:rsidRDefault="00DE77FF" w:rsidP="00577F36">
          <w:pPr>
            <w:pStyle w:val="HeaderOdd"/>
          </w:pPr>
        </w:p>
      </w:tc>
      <w:tc>
        <w:tcPr>
          <w:tcW w:w="2155" w:type="dxa"/>
          <w:tcBorders>
            <w:top w:val="single" w:sz="24" w:space="0" w:color="auto"/>
          </w:tcBorders>
        </w:tcPr>
        <w:p w:rsidR="00DE77FF" w:rsidRDefault="00DE77FF">
          <w:pPr>
            <w:pStyle w:val="HeaderOdd"/>
          </w:pPr>
        </w:p>
      </w:tc>
    </w:tr>
  </w:tbl>
  <w:p w:rsidR="00DE77FF" w:rsidRDefault="00DE77F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Default="00DE77FF" w:rsidP="0019293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Default="00DE77FF" w:rsidP="00E669E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7FF" w:rsidRDefault="00DE77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4F511540"/>
    <w:multiLevelType w:val="hybridMultilevel"/>
    <w:tmpl w:val="E2A09E64"/>
    <w:lvl w:ilvl="0" w:tplc="1914600A">
      <w:start w:val="2"/>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1954A40"/>
    <w:multiLevelType w:val="hybridMultilevel"/>
    <w:tmpl w:val="A574F240"/>
    <w:lvl w:ilvl="0" w:tplc="D32CD90E">
      <w:start w:val="2"/>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4"/>
  </w:num>
  <w:num w:numId="4">
    <w:abstractNumId w:val="7"/>
  </w:num>
  <w:num w:numId="5">
    <w:abstractNumId w:val="5"/>
  </w:num>
  <w:num w:numId="6">
    <w:abstractNumId w:val="26"/>
  </w:num>
  <w:num w:numId="7">
    <w:abstractNumId w:val="3"/>
  </w:num>
  <w:num w:numId="8">
    <w:abstractNumId w:val="9"/>
  </w:num>
  <w:num w:numId="9">
    <w:abstractNumId w:val="2"/>
  </w:num>
  <w:num w:numId="10">
    <w:abstractNumId w:val="39"/>
  </w:num>
  <w:num w:numId="11">
    <w:abstractNumId w:val="4"/>
  </w:num>
  <w:num w:numId="12">
    <w:abstractNumId w:val="1"/>
  </w:num>
  <w:num w:numId="13">
    <w:abstractNumId w:val="0"/>
  </w:num>
  <w:num w:numId="14">
    <w:abstractNumId w:val="29"/>
  </w:num>
  <w:num w:numId="15">
    <w:abstractNumId w:val="45"/>
  </w:num>
  <w:num w:numId="16">
    <w:abstractNumId w:val="17"/>
  </w:num>
  <w:num w:numId="17">
    <w:abstractNumId w:val="16"/>
  </w:num>
  <w:num w:numId="18">
    <w:abstractNumId w:val="27"/>
  </w:num>
  <w:num w:numId="19">
    <w:abstractNumId w:val="12"/>
  </w:num>
  <w:num w:numId="20">
    <w:abstractNumId w:val="35"/>
  </w:num>
  <w:num w:numId="21">
    <w:abstractNumId w:val="38"/>
  </w:num>
  <w:num w:numId="22">
    <w:abstractNumId w:val="25"/>
  </w:num>
  <w:num w:numId="23">
    <w:abstractNumId w:val="28"/>
  </w:num>
  <w:num w:numId="24">
    <w:abstractNumId w:val="30"/>
  </w:num>
  <w:num w:numId="25">
    <w:abstractNumId w:val="43"/>
  </w:num>
  <w:num w:numId="26">
    <w:abstractNumId w:val="34"/>
  </w:num>
  <w:num w:numId="27">
    <w:abstractNumId w:val="40"/>
  </w:num>
  <w:num w:numId="28">
    <w:abstractNumId w:val="41"/>
  </w:num>
  <w:num w:numId="29">
    <w:abstractNumId w:val="32"/>
  </w:num>
  <w:num w:numId="30">
    <w:abstractNumId w:val="21"/>
  </w:num>
  <w:num w:numId="31">
    <w:abstractNumId w:val="46"/>
  </w:num>
  <w:num w:numId="32">
    <w:abstractNumId w:val="15"/>
  </w:num>
  <w:num w:numId="33">
    <w:abstractNumId w:val="8"/>
  </w:num>
  <w:num w:numId="34">
    <w:abstractNumId w:val="18"/>
  </w:num>
  <w:num w:numId="35">
    <w:abstractNumId w:val="42"/>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1"/>
  </w:num>
  <w:num w:numId="49">
    <w:abstractNumId w:val="24"/>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Defence industry engagement programs"/>
    <w:docVar w:name="ShortReportTitle" w:val="trade &amp; assistance review 2012-13"/>
  </w:docVars>
  <w:rsids>
    <w:rsidRoot w:val="00695383"/>
    <w:rsid w:val="00012EF3"/>
    <w:rsid w:val="000227D5"/>
    <w:rsid w:val="000245AA"/>
    <w:rsid w:val="00024BD9"/>
    <w:rsid w:val="00026448"/>
    <w:rsid w:val="0003664B"/>
    <w:rsid w:val="0004111F"/>
    <w:rsid w:val="00042ACA"/>
    <w:rsid w:val="000458E4"/>
    <w:rsid w:val="000565B3"/>
    <w:rsid w:val="0006284D"/>
    <w:rsid w:val="00066D02"/>
    <w:rsid w:val="0007150B"/>
    <w:rsid w:val="00072E4D"/>
    <w:rsid w:val="0008020C"/>
    <w:rsid w:val="00086EF4"/>
    <w:rsid w:val="000938F5"/>
    <w:rsid w:val="00096E55"/>
    <w:rsid w:val="000B601B"/>
    <w:rsid w:val="000C207E"/>
    <w:rsid w:val="000E326F"/>
    <w:rsid w:val="000F0035"/>
    <w:rsid w:val="000F420B"/>
    <w:rsid w:val="000F6D07"/>
    <w:rsid w:val="00102686"/>
    <w:rsid w:val="00110116"/>
    <w:rsid w:val="00120072"/>
    <w:rsid w:val="00126EB8"/>
    <w:rsid w:val="001274D4"/>
    <w:rsid w:val="001363AA"/>
    <w:rsid w:val="00145B3C"/>
    <w:rsid w:val="001718CE"/>
    <w:rsid w:val="00181568"/>
    <w:rsid w:val="00183E82"/>
    <w:rsid w:val="001878BB"/>
    <w:rsid w:val="00191AE0"/>
    <w:rsid w:val="0019293B"/>
    <w:rsid w:val="001A0E4C"/>
    <w:rsid w:val="001A2FBD"/>
    <w:rsid w:val="001A45B5"/>
    <w:rsid w:val="001B1D22"/>
    <w:rsid w:val="001C0865"/>
    <w:rsid w:val="001C3ABA"/>
    <w:rsid w:val="001C7F69"/>
    <w:rsid w:val="001E7BE8"/>
    <w:rsid w:val="001F0248"/>
    <w:rsid w:val="001F3EB3"/>
    <w:rsid w:val="001F4F86"/>
    <w:rsid w:val="00202C2C"/>
    <w:rsid w:val="00213006"/>
    <w:rsid w:val="002135AB"/>
    <w:rsid w:val="00214142"/>
    <w:rsid w:val="002144BE"/>
    <w:rsid w:val="00233A95"/>
    <w:rsid w:val="00242279"/>
    <w:rsid w:val="00245C82"/>
    <w:rsid w:val="002602CF"/>
    <w:rsid w:val="00284CA3"/>
    <w:rsid w:val="00291B40"/>
    <w:rsid w:val="002B4008"/>
    <w:rsid w:val="002B4BE5"/>
    <w:rsid w:val="002C26BD"/>
    <w:rsid w:val="002D0E8E"/>
    <w:rsid w:val="002E2A60"/>
    <w:rsid w:val="00301189"/>
    <w:rsid w:val="00315141"/>
    <w:rsid w:val="00323E09"/>
    <w:rsid w:val="00325B8D"/>
    <w:rsid w:val="00330AB3"/>
    <w:rsid w:val="00333932"/>
    <w:rsid w:val="00340073"/>
    <w:rsid w:val="003518AA"/>
    <w:rsid w:val="00352165"/>
    <w:rsid w:val="00353182"/>
    <w:rsid w:val="003565D9"/>
    <w:rsid w:val="003602E1"/>
    <w:rsid w:val="003640F5"/>
    <w:rsid w:val="0037026F"/>
    <w:rsid w:val="00371240"/>
    <w:rsid w:val="00374731"/>
    <w:rsid w:val="00376E59"/>
    <w:rsid w:val="003919F9"/>
    <w:rsid w:val="00396E63"/>
    <w:rsid w:val="003A2F36"/>
    <w:rsid w:val="003C38B5"/>
    <w:rsid w:val="003C5D99"/>
    <w:rsid w:val="003D60FF"/>
    <w:rsid w:val="003E2F59"/>
    <w:rsid w:val="003F0789"/>
    <w:rsid w:val="00401882"/>
    <w:rsid w:val="00404CAC"/>
    <w:rsid w:val="004100C8"/>
    <w:rsid w:val="00411DBD"/>
    <w:rsid w:val="00412ACE"/>
    <w:rsid w:val="00431249"/>
    <w:rsid w:val="00434C19"/>
    <w:rsid w:val="00450810"/>
    <w:rsid w:val="004545B5"/>
    <w:rsid w:val="004571BA"/>
    <w:rsid w:val="00477144"/>
    <w:rsid w:val="00481802"/>
    <w:rsid w:val="00491380"/>
    <w:rsid w:val="0049459F"/>
    <w:rsid w:val="004A38DD"/>
    <w:rsid w:val="004B43AE"/>
    <w:rsid w:val="004C30ED"/>
    <w:rsid w:val="004D2010"/>
    <w:rsid w:val="004D5675"/>
    <w:rsid w:val="004D6160"/>
    <w:rsid w:val="004D7737"/>
    <w:rsid w:val="004F5E33"/>
    <w:rsid w:val="00523639"/>
    <w:rsid w:val="00531FE5"/>
    <w:rsid w:val="00533847"/>
    <w:rsid w:val="005402FA"/>
    <w:rsid w:val="00557F1F"/>
    <w:rsid w:val="00577F36"/>
    <w:rsid w:val="00583C39"/>
    <w:rsid w:val="00587F28"/>
    <w:rsid w:val="005909CF"/>
    <w:rsid w:val="00591E71"/>
    <w:rsid w:val="005A0D41"/>
    <w:rsid w:val="005A55A2"/>
    <w:rsid w:val="0060747E"/>
    <w:rsid w:val="00607BF1"/>
    <w:rsid w:val="00612C00"/>
    <w:rsid w:val="006161BB"/>
    <w:rsid w:val="00621D7C"/>
    <w:rsid w:val="00630388"/>
    <w:rsid w:val="00630D4D"/>
    <w:rsid w:val="00632A74"/>
    <w:rsid w:val="00646795"/>
    <w:rsid w:val="00654047"/>
    <w:rsid w:val="00685AD3"/>
    <w:rsid w:val="00686322"/>
    <w:rsid w:val="00694E92"/>
    <w:rsid w:val="00695383"/>
    <w:rsid w:val="006A4655"/>
    <w:rsid w:val="006B1085"/>
    <w:rsid w:val="006B2B3C"/>
    <w:rsid w:val="006C1D81"/>
    <w:rsid w:val="006C4FA7"/>
    <w:rsid w:val="006C7038"/>
    <w:rsid w:val="006D2390"/>
    <w:rsid w:val="006E73EF"/>
    <w:rsid w:val="00714D4D"/>
    <w:rsid w:val="007434EC"/>
    <w:rsid w:val="007479C4"/>
    <w:rsid w:val="007604BB"/>
    <w:rsid w:val="00785232"/>
    <w:rsid w:val="007A21EB"/>
    <w:rsid w:val="007B1A93"/>
    <w:rsid w:val="007C36C9"/>
    <w:rsid w:val="007C4208"/>
    <w:rsid w:val="007C54D1"/>
    <w:rsid w:val="007D6401"/>
    <w:rsid w:val="007E01E4"/>
    <w:rsid w:val="007F7107"/>
    <w:rsid w:val="00800D4C"/>
    <w:rsid w:val="0081030F"/>
    <w:rsid w:val="0082087D"/>
    <w:rsid w:val="00835771"/>
    <w:rsid w:val="00837BE6"/>
    <w:rsid w:val="00842933"/>
    <w:rsid w:val="00857E75"/>
    <w:rsid w:val="0086082C"/>
    <w:rsid w:val="00864ADC"/>
    <w:rsid w:val="00880153"/>
    <w:rsid w:val="00880F97"/>
    <w:rsid w:val="0088133A"/>
    <w:rsid w:val="008924E4"/>
    <w:rsid w:val="0089285E"/>
    <w:rsid w:val="0089436C"/>
    <w:rsid w:val="008A3518"/>
    <w:rsid w:val="008C416D"/>
    <w:rsid w:val="008D365C"/>
    <w:rsid w:val="008E1A61"/>
    <w:rsid w:val="009030BF"/>
    <w:rsid w:val="0091032F"/>
    <w:rsid w:val="00910FE5"/>
    <w:rsid w:val="00914368"/>
    <w:rsid w:val="00931076"/>
    <w:rsid w:val="00933E76"/>
    <w:rsid w:val="009345D9"/>
    <w:rsid w:val="00934B15"/>
    <w:rsid w:val="00940C87"/>
    <w:rsid w:val="00942B62"/>
    <w:rsid w:val="009452CF"/>
    <w:rsid w:val="00945BED"/>
    <w:rsid w:val="0095323B"/>
    <w:rsid w:val="00954A18"/>
    <w:rsid w:val="009550E5"/>
    <w:rsid w:val="00956A0C"/>
    <w:rsid w:val="00956BD9"/>
    <w:rsid w:val="009577C6"/>
    <w:rsid w:val="00962489"/>
    <w:rsid w:val="00982DE8"/>
    <w:rsid w:val="0099051E"/>
    <w:rsid w:val="00990C2C"/>
    <w:rsid w:val="009A37F3"/>
    <w:rsid w:val="009B3C5D"/>
    <w:rsid w:val="009C0538"/>
    <w:rsid w:val="009E1844"/>
    <w:rsid w:val="009F0D1B"/>
    <w:rsid w:val="009F3915"/>
    <w:rsid w:val="009F696D"/>
    <w:rsid w:val="009F6BC6"/>
    <w:rsid w:val="00A17328"/>
    <w:rsid w:val="00A22B35"/>
    <w:rsid w:val="00A23A20"/>
    <w:rsid w:val="00A24558"/>
    <w:rsid w:val="00A268B9"/>
    <w:rsid w:val="00A2703A"/>
    <w:rsid w:val="00A33DFF"/>
    <w:rsid w:val="00A35115"/>
    <w:rsid w:val="00A36D9A"/>
    <w:rsid w:val="00A5090A"/>
    <w:rsid w:val="00A515C2"/>
    <w:rsid w:val="00A554AB"/>
    <w:rsid w:val="00A57062"/>
    <w:rsid w:val="00A6566D"/>
    <w:rsid w:val="00A92B53"/>
    <w:rsid w:val="00A94FA6"/>
    <w:rsid w:val="00AA49A0"/>
    <w:rsid w:val="00AA6710"/>
    <w:rsid w:val="00AB0681"/>
    <w:rsid w:val="00AD520B"/>
    <w:rsid w:val="00AF5D63"/>
    <w:rsid w:val="00AF61F6"/>
    <w:rsid w:val="00B21C02"/>
    <w:rsid w:val="00B425C3"/>
    <w:rsid w:val="00B440AD"/>
    <w:rsid w:val="00B53E7E"/>
    <w:rsid w:val="00B6342E"/>
    <w:rsid w:val="00B7113F"/>
    <w:rsid w:val="00B71BA7"/>
    <w:rsid w:val="00B7686B"/>
    <w:rsid w:val="00B8385B"/>
    <w:rsid w:val="00B92B32"/>
    <w:rsid w:val="00BA73AF"/>
    <w:rsid w:val="00BA73B6"/>
    <w:rsid w:val="00BA7E27"/>
    <w:rsid w:val="00BB2603"/>
    <w:rsid w:val="00BB4FCD"/>
    <w:rsid w:val="00BC04E9"/>
    <w:rsid w:val="00BC11D4"/>
    <w:rsid w:val="00BD13EA"/>
    <w:rsid w:val="00BE3808"/>
    <w:rsid w:val="00C062E9"/>
    <w:rsid w:val="00C07B64"/>
    <w:rsid w:val="00C13721"/>
    <w:rsid w:val="00C14FE4"/>
    <w:rsid w:val="00C3066D"/>
    <w:rsid w:val="00C401F9"/>
    <w:rsid w:val="00C42762"/>
    <w:rsid w:val="00C46EA1"/>
    <w:rsid w:val="00C52416"/>
    <w:rsid w:val="00C543F4"/>
    <w:rsid w:val="00C55B71"/>
    <w:rsid w:val="00C6291C"/>
    <w:rsid w:val="00C633CB"/>
    <w:rsid w:val="00C70208"/>
    <w:rsid w:val="00C736B7"/>
    <w:rsid w:val="00C76639"/>
    <w:rsid w:val="00C81D4A"/>
    <w:rsid w:val="00C8762C"/>
    <w:rsid w:val="00CA00F9"/>
    <w:rsid w:val="00CA2961"/>
    <w:rsid w:val="00CA3EB0"/>
    <w:rsid w:val="00CA70D1"/>
    <w:rsid w:val="00CA730F"/>
    <w:rsid w:val="00CB50D7"/>
    <w:rsid w:val="00CB7177"/>
    <w:rsid w:val="00CC1998"/>
    <w:rsid w:val="00CC4946"/>
    <w:rsid w:val="00CD2DC2"/>
    <w:rsid w:val="00CF597F"/>
    <w:rsid w:val="00D270A4"/>
    <w:rsid w:val="00D31FE9"/>
    <w:rsid w:val="00D34E1B"/>
    <w:rsid w:val="00D376BA"/>
    <w:rsid w:val="00D45634"/>
    <w:rsid w:val="00D4672B"/>
    <w:rsid w:val="00D54D2F"/>
    <w:rsid w:val="00D5568A"/>
    <w:rsid w:val="00D63D73"/>
    <w:rsid w:val="00D64452"/>
    <w:rsid w:val="00D66E1E"/>
    <w:rsid w:val="00D75722"/>
    <w:rsid w:val="00D80CF5"/>
    <w:rsid w:val="00D93C05"/>
    <w:rsid w:val="00DA5BBA"/>
    <w:rsid w:val="00DB26D2"/>
    <w:rsid w:val="00DB67C9"/>
    <w:rsid w:val="00DC0C95"/>
    <w:rsid w:val="00DD068D"/>
    <w:rsid w:val="00DD6580"/>
    <w:rsid w:val="00DE77FF"/>
    <w:rsid w:val="00E149FE"/>
    <w:rsid w:val="00E17C72"/>
    <w:rsid w:val="00E21FC6"/>
    <w:rsid w:val="00E356BA"/>
    <w:rsid w:val="00E40FB9"/>
    <w:rsid w:val="00E431A9"/>
    <w:rsid w:val="00E669E2"/>
    <w:rsid w:val="00E76135"/>
    <w:rsid w:val="00E82F4F"/>
    <w:rsid w:val="00EC2844"/>
    <w:rsid w:val="00EC5500"/>
    <w:rsid w:val="00EE7271"/>
    <w:rsid w:val="00EF6B36"/>
    <w:rsid w:val="00EF6C6C"/>
    <w:rsid w:val="00F056FC"/>
    <w:rsid w:val="00F10476"/>
    <w:rsid w:val="00F135D8"/>
    <w:rsid w:val="00F20E1B"/>
    <w:rsid w:val="00F31299"/>
    <w:rsid w:val="00F34D0F"/>
    <w:rsid w:val="00F3534A"/>
    <w:rsid w:val="00F51609"/>
    <w:rsid w:val="00F53AF5"/>
    <w:rsid w:val="00F75D71"/>
    <w:rsid w:val="00F81006"/>
    <w:rsid w:val="00F85325"/>
    <w:rsid w:val="00FB1932"/>
    <w:rsid w:val="00FD02A4"/>
    <w:rsid w:val="00FD22B1"/>
    <w:rsid w:val="00FE5397"/>
    <w:rsid w:val="00FF061A"/>
    <w:rsid w:val="00FF5A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061A"/>
    <w:rPr>
      <w:sz w:val="26"/>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1718CE"/>
    <w:rPr>
      <w:sz w:val="26"/>
    </w:rPr>
  </w:style>
  <w:style w:type="character" w:customStyle="1" w:styleId="FooterChar">
    <w:name w:val="Footer Char"/>
    <w:basedOn w:val="DefaultParagraphFont"/>
    <w:link w:val="Footer"/>
    <w:rsid w:val="001718CE"/>
    <w:rPr>
      <w:caps/>
      <w:spacing w:val="-4"/>
      <w:sz w:val="16"/>
    </w:rPr>
  </w:style>
  <w:style w:type="paragraph" w:styleId="CommentSubject">
    <w:name w:val="annotation subject"/>
    <w:basedOn w:val="CommentText"/>
    <w:next w:val="CommentText"/>
    <w:link w:val="CommentSubjectChar"/>
    <w:rsid w:val="004545B5"/>
    <w:pPr>
      <w:spacing w:before="0" w:line="240" w:lineRule="auto"/>
      <w:ind w:left="0" w:firstLine="0"/>
    </w:pPr>
    <w:rPr>
      <w:b/>
      <w:bCs/>
    </w:rPr>
  </w:style>
  <w:style w:type="character" w:customStyle="1" w:styleId="CommentTextChar">
    <w:name w:val="Comment Text Char"/>
    <w:basedOn w:val="DefaultParagraphFont"/>
    <w:link w:val="CommentText"/>
    <w:semiHidden/>
    <w:rsid w:val="004545B5"/>
  </w:style>
  <w:style w:type="character" w:customStyle="1" w:styleId="CommentSubjectChar">
    <w:name w:val="Comment Subject Char"/>
    <w:basedOn w:val="CommentTextChar"/>
    <w:link w:val="CommentSubject"/>
    <w:rsid w:val="004545B5"/>
    <w:rPr>
      <w:b/>
      <w:bCs/>
    </w:rPr>
  </w:style>
  <w:style w:type="character" w:styleId="Hyperlink">
    <w:name w:val="Hyperlink"/>
    <w:basedOn w:val="DefaultParagraphFont"/>
    <w:uiPriority w:val="99"/>
    <w:unhideWhenUsed/>
    <w:rsid w:val="002602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F061A"/>
    <w:rPr>
      <w:sz w:val="26"/>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link w:val="BodyText"/>
    <w:locked/>
    <w:rsid w:val="001718CE"/>
    <w:rPr>
      <w:sz w:val="26"/>
    </w:rPr>
  </w:style>
  <w:style w:type="character" w:customStyle="1" w:styleId="FooterChar">
    <w:name w:val="Footer Char"/>
    <w:basedOn w:val="DefaultParagraphFont"/>
    <w:link w:val="Footer"/>
    <w:rsid w:val="001718CE"/>
    <w:rPr>
      <w:caps/>
      <w:spacing w:val="-4"/>
      <w:sz w:val="16"/>
    </w:rPr>
  </w:style>
  <w:style w:type="paragraph" w:styleId="CommentSubject">
    <w:name w:val="annotation subject"/>
    <w:basedOn w:val="CommentText"/>
    <w:next w:val="CommentText"/>
    <w:link w:val="CommentSubjectChar"/>
    <w:rsid w:val="004545B5"/>
    <w:pPr>
      <w:spacing w:before="0" w:line="240" w:lineRule="auto"/>
      <w:ind w:left="0" w:firstLine="0"/>
    </w:pPr>
    <w:rPr>
      <w:b/>
      <w:bCs/>
    </w:rPr>
  </w:style>
  <w:style w:type="character" w:customStyle="1" w:styleId="CommentTextChar">
    <w:name w:val="Comment Text Char"/>
    <w:basedOn w:val="DefaultParagraphFont"/>
    <w:link w:val="CommentText"/>
    <w:semiHidden/>
    <w:rsid w:val="004545B5"/>
  </w:style>
  <w:style w:type="character" w:customStyle="1" w:styleId="CommentSubjectChar">
    <w:name w:val="Comment Subject Char"/>
    <w:basedOn w:val="CommentTextChar"/>
    <w:link w:val="CommentSubject"/>
    <w:rsid w:val="004545B5"/>
    <w:rPr>
      <w:b/>
      <w:bCs/>
    </w:rPr>
  </w:style>
  <w:style w:type="character" w:styleId="Hyperlink">
    <w:name w:val="Hyperlink"/>
    <w:basedOn w:val="DefaultParagraphFont"/>
    <w:uiPriority w:val="99"/>
    <w:unhideWhenUsed/>
    <w:rsid w:val="002602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fence.gov.au/dmo/id/pic/index.cf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defence.gov.au/teamaustralia"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95A2-622A-4C08-B9C6-7184E6864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40</TotalTime>
  <Pages>7</Pages>
  <Words>1902</Words>
  <Characters>11839</Characters>
  <Application>Microsoft Office Word</Application>
  <DocSecurity>0</DocSecurity>
  <Lines>508</Lines>
  <Paragraphs>154</Paragraphs>
  <ScaleCrop>false</ScaleCrop>
  <HeadingPairs>
    <vt:vector size="2" baseType="variant">
      <vt:variant>
        <vt:lpstr>Title</vt:lpstr>
      </vt:variant>
      <vt:variant>
        <vt:i4>1</vt:i4>
      </vt:variant>
    </vt:vector>
  </HeadingPairs>
  <TitlesOfParts>
    <vt:vector size="1" baseType="lpstr">
      <vt:lpstr>Defence industry engagement programs</vt:lpstr>
    </vt:vector>
  </TitlesOfParts>
  <Company>Productivity Commission</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Defence industry engagement programs</dc:title>
  <dc:subject>trade &amp; assistance review 2012-13</dc:subject>
  <dc:creator>Productivity Commission</dc:creator>
  <dc:description>B.</dc:description>
  <cp:lastModifiedBy>Productivity Commission</cp:lastModifiedBy>
  <cp:revision>17</cp:revision>
  <cp:lastPrinted>2014-06-23T00:26:00Z</cp:lastPrinted>
  <dcterms:created xsi:type="dcterms:W3CDTF">2014-06-22T23:43:00Z</dcterms:created>
  <dcterms:modified xsi:type="dcterms:W3CDTF">2014-06-24T05:28:00Z</dcterms:modified>
</cp:coreProperties>
</file>