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473" w:rsidRDefault="00CD1473">
      <w:pPr>
        <w:pStyle w:val="PartNumber"/>
      </w:pPr>
      <w:bookmarkStart w:id="0" w:name="_Overview"/>
      <w:bookmarkStart w:id="1" w:name="ChapterNumber"/>
      <w:bookmarkStart w:id="2" w:name="_GoBack"/>
      <w:bookmarkEnd w:id="0"/>
      <w:bookmarkEnd w:id="2"/>
    </w:p>
    <w:tbl>
      <w:tblPr>
        <w:tblW w:w="0" w:type="auto"/>
        <w:tblLayout w:type="fixed"/>
        <w:tblCellMar>
          <w:left w:w="0" w:type="dxa"/>
          <w:right w:w="0" w:type="dxa"/>
        </w:tblCellMar>
        <w:tblLook w:val="0000" w:firstRow="0" w:lastRow="0" w:firstColumn="0" w:lastColumn="0" w:noHBand="0" w:noVBand="0"/>
      </w:tblPr>
      <w:tblGrid>
        <w:gridCol w:w="6634"/>
        <w:gridCol w:w="2155"/>
      </w:tblGrid>
      <w:tr w:rsidR="00CD1473" w:rsidTr="00CD1473">
        <w:trPr>
          <w:trHeight w:val="20"/>
        </w:trPr>
        <w:tc>
          <w:tcPr>
            <w:tcW w:w="6634" w:type="dxa"/>
            <w:tcBorders>
              <w:top w:val="single" w:sz="6" w:space="0" w:color="auto"/>
            </w:tcBorders>
          </w:tcPr>
          <w:p w:rsidR="00CD1473" w:rsidRDefault="00CD1473">
            <w:pPr>
              <w:pStyle w:val="PartDivider"/>
            </w:pPr>
          </w:p>
        </w:tc>
        <w:tc>
          <w:tcPr>
            <w:tcW w:w="2155" w:type="dxa"/>
            <w:tcBorders>
              <w:top w:val="single" w:sz="24" w:space="0" w:color="auto"/>
            </w:tcBorders>
          </w:tcPr>
          <w:p w:rsidR="00CD1473" w:rsidRDefault="00CD1473">
            <w:pPr>
              <w:pStyle w:val="PartDivider"/>
            </w:pPr>
          </w:p>
        </w:tc>
      </w:tr>
    </w:tbl>
    <w:p w:rsidR="00CD1473" w:rsidRDefault="00CD1473">
      <w:pPr>
        <w:pStyle w:val="PartDivider"/>
      </w:pPr>
    </w:p>
    <w:p w:rsidR="00CD1473" w:rsidRDefault="00CD1473">
      <w:pPr>
        <w:pStyle w:val="PartTitle"/>
      </w:pPr>
      <w:r>
        <w:t>Overview</w:t>
      </w:r>
    </w:p>
    <w:p w:rsidR="00CD1473" w:rsidRDefault="00CD1473">
      <w:pPr>
        <w:rPr>
          <w:sz w:val="52"/>
          <w:szCs w:val="20"/>
        </w:rPr>
      </w:pPr>
      <w:r>
        <w:br w:type="page"/>
      </w:r>
    </w:p>
    <w:p w:rsidR="00CD1473" w:rsidRPr="00DD6F81" w:rsidRDefault="00CD1473">
      <w:pPr>
        <w:rPr>
          <w:vanish/>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CD1473">
        <w:tc>
          <w:tcPr>
            <w:tcW w:w="8789" w:type="dxa"/>
            <w:tcBorders>
              <w:bottom w:val="nil"/>
            </w:tcBorders>
          </w:tcPr>
          <w:p w:rsidR="00CD1473" w:rsidRDefault="00CD1473">
            <w:pPr>
              <w:pStyle w:val="BoxTitle"/>
            </w:pPr>
            <w:r>
              <w:t>Key points</w:t>
            </w:r>
          </w:p>
        </w:tc>
      </w:tr>
      <w:tr w:rsidR="00CD1473">
        <w:tc>
          <w:tcPr>
            <w:tcW w:w="8789" w:type="dxa"/>
            <w:tcBorders>
              <w:top w:val="nil"/>
              <w:left w:val="single" w:sz="4" w:space="0" w:color="auto"/>
              <w:bottom w:val="nil"/>
              <w:right w:val="single" w:sz="4" w:space="0" w:color="auto"/>
            </w:tcBorders>
          </w:tcPr>
          <w:p w:rsidR="001B1744" w:rsidRPr="0004019F" w:rsidRDefault="001B1744" w:rsidP="005439D8">
            <w:pPr>
              <w:pStyle w:val="BoxListBullet"/>
            </w:pPr>
            <w:r w:rsidRPr="0004019F">
              <w:t xml:space="preserve">Government assistance to industry is provided </w:t>
            </w:r>
            <w:r>
              <w:t>through</w:t>
            </w:r>
            <w:r w:rsidRPr="0004019F">
              <w:t xml:space="preserve"> </w:t>
            </w:r>
            <w:r w:rsidR="00015A2F">
              <w:t xml:space="preserve">an array of measures including </w:t>
            </w:r>
            <w:r w:rsidRPr="0004019F">
              <w:t xml:space="preserve">tariffs, budgetary outlays, tax concessions, </w:t>
            </w:r>
            <w:r w:rsidR="00015A2F">
              <w:t>and</w:t>
            </w:r>
            <w:r w:rsidR="001D5381">
              <w:t xml:space="preserve"> </w:t>
            </w:r>
            <w:r w:rsidRPr="0004019F">
              <w:t>restrictions on competition</w:t>
            </w:r>
            <w:r w:rsidR="00015A2F">
              <w:t>.</w:t>
            </w:r>
            <w:r w:rsidRPr="0004019F">
              <w:t xml:space="preserve"> </w:t>
            </w:r>
          </w:p>
          <w:p w:rsidR="001B1744" w:rsidRDefault="00FA022F" w:rsidP="00473D8D">
            <w:pPr>
              <w:pStyle w:val="BoxListBullet2"/>
              <w:numPr>
                <w:ilvl w:val="0"/>
                <w:numId w:val="2"/>
              </w:numPr>
              <w:tabs>
                <w:tab w:val="left" w:pos="284"/>
                <w:tab w:val="left" w:pos="8244"/>
              </w:tabs>
            </w:pPr>
            <w:r>
              <w:t xml:space="preserve">This </w:t>
            </w:r>
            <w:r w:rsidR="001B1744" w:rsidRPr="0004019F">
              <w:t>benefits the industry receiving it</w:t>
            </w:r>
            <w:r w:rsidR="00D21B75">
              <w:t>,</w:t>
            </w:r>
            <w:r w:rsidR="001B1744">
              <w:t xml:space="preserve"> </w:t>
            </w:r>
            <w:r w:rsidR="00F86B9E">
              <w:t>but comes at a cost to other industries</w:t>
            </w:r>
            <w:r w:rsidR="00827ABF">
              <w:t>, taxpayers</w:t>
            </w:r>
            <w:r w:rsidR="00F86B9E">
              <w:t xml:space="preserve"> or consumers. A critical issue is whether the benefits </w:t>
            </w:r>
            <w:r w:rsidR="00C533E1">
              <w:t xml:space="preserve">accruing to industry </w:t>
            </w:r>
            <w:r w:rsidR="00F86B9E">
              <w:t>outweigh the costs</w:t>
            </w:r>
            <w:r w:rsidR="001B1744" w:rsidRPr="0004019F">
              <w:t>.</w:t>
            </w:r>
          </w:p>
          <w:p w:rsidR="00676FC8" w:rsidRDefault="008F72F0" w:rsidP="005439D8">
            <w:pPr>
              <w:pStyle w:val="BoxListBullet"/>
              <w:tabs>
                <w:tab w:val="left" w:pos="8244"/>
              </w:tabs>
            </w:pPr>
            <w:r>
              <w:t xml:space="preserve">Estimated </w:t>
            </w:r>
            <w:r w:rsidR="00D469BD">
              <w:t>tariff assistance to industry was $7.</w:t>
            </w:r>
            <w:r w:rsidR="000A6C1B">
              <w:t>8</w:t>
            </w:r>
            <w:r w:rsidR="00D469BD">
              <w:t xml:space="preserve"> billion in </w:t>
            </w:r>
            <w:r w:rsidR="00053D72">
              <w:t>201</w:t>
            </w:r>
            <w:r>
              <w:t>2</w:t>
            </w:r>
            <w:r w:rsidR="00053D72">
              <w:noBreakHyphen/>
              <w:t>1</w:t>
            </w:r>
            <w:r>
              <w:t>3</w:t>
            </w:r>
            <w:r w:rsidR="00053D72">
              <w:t xml:space="preserve"> in </w:t>
            </w:r>
            <w:r w:rsidR="00D469BD">
              <w:t xml:space="preserve">gross </w:t>
            </w:r>
            <w:r w:rsidR="00E12684">
              <w:t>terms</w:t>
            </w:r>
            <w:r w:rsidR="00676FC8">
              <w:t>, accruing overwhelmingly to manufacturing.</w:t>
            </w:r>
            <w:r w:rsidR="00A2187C">
              <w:t xml:space="preserve"> Budget and tax related support was worth a further $7.8 billion, thus total gross assistance was $15.6 billion. </w:t>
            </w:r>
          </w:p>
          <w:p w:rsidR="00676FC8" w:rsidRPr="00473D8D" w:rsidRDefault="00A2187C" w:rsidP="005439D8">
            <w:pPr>
              <w:pStyle w:val="BoxListBullet"/>
              <w:tabs>
                <w:tab w:val="left" w:pos="8244"/>
              </w:tabs>
            </w:pPr>
            <w:r>
              <w:t>After deducting t</w:t>
            </w:r>
            <w:r w:rsidR="00676FC8">
              <w:t>he cost penalty of t</w:t>
            </w:r>
            <w:r w:rsidR="00ED6A1A">
              <w:t>ariffs</w:t>
            </w:r>
            <w:r w:rsidR="00676FC8">
              <w:t xml:space="preserve"> </w:t>
            </w:r>
            <w:r w:rsidR="001D5381">
              <w:t xml:space="preserve">on imported inputs </w:t>
            </w:r>
            <w:r>
              <w:t>(</w:t>
            </w:r>
            <w:r w:rsidR="00676FC8">
              <w:t>$7.1 billion</w:t>
            </w:r>
            <w:r>
              <w:t xml:space="preserve">, </w:t>
            </w:r>
            <w:r w:rsidR="00D27EC7">
              <w:t>two thirds</w:t>
            </w:r>
            <w:r w:rsidR="00ED6A1A">
              <w:t xml:space="preserve"> incurred by services </w:t>
            </w:r>
            <w:r w:rsidR="003E0703">
              <w:t>industries</w:t>
            </w:r>
            <w:r>
              <w:t>) net assistance to industry was $8.5 billion</w:t>
            </w:r>
            <w:r w:rsidR="00676FC8">
              <w:t>.</w:t>
            </w:r>
          </w:p>
          <w:p w:rsidR="00D27EC7" w:rsidRPr="00473D8D" w:rsidRDefault="00A87FB9" w:rsidP="008A0ED1">
            <w:pPr>
              <w:pStyle w:val="BoxListBullet"/>
            </w:pPr>
            <w:r>
              <w:t>Budgetary assistance in 2012</w:t>
            </w:r>
            <w:r w:rsidR="00F25D69">
              <w:noBreakHyphen/>
            </w:r>
            <w:r>
              <w:t>13 was about $2.2 billion less than in 2011</w:t>
            </w:r>
            <w:r>
              <w:noBreakHyphen/>
              <w:t xml:space="preserve">12. </w:t>
            </w:r>
            <w:r w:rsidR="00D27EC7">
              <w:t>The largest reduction</w:t>
            </w:r>
            <w:r w:rsidR="003E0703">
              <w:t>s</w:t>
            </w:r>
            <w:r w:rsidR="00D27EC7">
              <w:t xml:space="preserve"> w</w:t>
            </w:r>
            <w:r w:rsidR="003E0703">
              <w:t>ere</w:t>
            </w:r>
            <w:r w:rsidR="00D27EC7">
              <w:t xml:space="preserve"> </w:t>
            </w:r>
            <w:r w:rsidR="003E0703">
              <w:t xml:space="preserve">from </w:t>
            </w:r>
            <w:r w:rsidR="00D27EC7">
              <w:t xml:space="preserve">the </w:t>
            </w:r>
            <w:r w:rsidR="00905B4C">
              <w:t xml:space="preserve">winding down </w:t>
            </w:r>
            <w:r w:rsidR="00D27EC7">
              <w:t xml:space="preserve">of transitional assistance afforded by the Energy Security Fund ($1 billion), </w:t>
            </w:r>
            <w:r w:rsidR="003E0703">
              <w:t xml:space="preserve">the </w:t>
            </w:r>
            <w:r w:rsidR="00D27EC7">
              <w:t>Coal Sector Jobs Package (</w:t>
            </w:r>
            <w:r w:rsidR="00A16A0E">
              <w:t>$</w:t>
            </w:r>
            <w:r w:rsidR="00D27EC7">
              <w:t>21</w:t>
            </w:r>
            <w:r w:rsidR="00B221A7">
              <w:t>9</w:t>
            </w:r>
            <w:r w:rsidR="00D27EC7">
              <w:t xml:space="preserve"> million) and </w:t>
            </w:r>
            <w:r w:rsidR="003E0703">
              <w:t xml:space="preserve">the </w:t>
            </w:r>
            <w:r w:rsidR="00D27EC7">
              <w:t xml:space="preserve">Steel Transformation Plan ($164 million). </w:t>
            </w:r>
          </w:p>
          <w:p w:rsidR="003E0703" w:rsidRDefault="00EC192E" w:rsidP="00AD3E7B">
            <w:pPr>
              <w:pStyle w:val="BoxListBullet"/>
            </w:pPr>
            <w:r>
              <w:t xml:space="preserve">Since </w:t>
            </w:r>
            <w:r w:rsidR="00D21B75">
              <w:t>November </w:t>
            </w:r>
            <w:r>
              <w:t>201</w:t>
            </w:r>
            <w:r w:rsidR="00D344BA">
              <w:t>3</w:t>
            </w:r>
            <w:r>
              <w:t xml:space="preserve">, </w:t>
            </w:r>
            <w:r w:rsidR="00FC4891">
              <w:t xml:space="preserve">the current </w:t>
            </w:r>
            <w:r w:rsidR="009F0D72">
              <w:t xml:space="preserve">Government </w:t>
            </w:r>
            <w:r w:rsidR="00FC4891">
              <w:t xml:space="preserve">has announced, </w:t>
            </w:r>
            <w:r w:rsidR="004A5913">
              <w:t>amongst other things, that</w:t>
            </w:r>
            <w:r w:rsidR="009F0D72">
              <w:t xml:space="preserve"> it would</w:t>
            </w:r>
            <w:r w:rsidR="003E0703">
              <w:t xml:space="preserve">: </w:t>
            </w:r>
          </w:p>
          <w:p w:rsidR="00EC192E" w:rsidRDefault="009F0D72" w:rsidP="005D706B">
            <w:pPr>
              <w:pStyle w:val="BoxListBullet"/>
              <w:ind w:left="568"/>
              <w:rPr>
                <w:szCs w:val="24"/>
              </w:rPr>
            </w:pPr>
            <w:r>
              <w:t xml:space="preserve">reduce </w:t>
            </w:r>
            <w:r w:rsidR="00F310E9" w:rsidRPr="00C533E1">
              <w:t>funding to motor vehicle manufacturing between 2015</w:t>
            </w:r>
            <w:r w:rsidR="00F25D69">
              <w:t>–</w:t>
            </w:r>
            <w:r w:rsidR="00F310E9" w:rsidRPr="00C533E1">
              <w:t>2017 by $</w:t>
            </w:r>
            <w:r w:rsidR="00F86B9E" w:rsidRPr="00C533E1">
              <w:t>500 </w:t>
            </w:r>
            <w:r w:rsidR="00F310E9" w:rsidRPr="00C533E1">
              <w:t>million</w:t>
            </w:r>
            <w:r w:rsidR="00827ABF" w:rsidRPr="00C533E1">
              <w:t xml:space="preserve">, </w:t>
            </w:r>
            <w:r w:rsidR="006B11DB">
              <w:t xml:space="preserve">not provide a debt guarantee or line of credit </w:t>
            </w:r>
            <w:r w:rsidR="00827ABF">
              <w:t>to</w:t>
            </w:r>
            <w:r w:rsidR="006B11DB">
              <w:t xml:space="preserve"> Qantas, nor </w:t>
            </w:r>
            <w:r w:rsidR="00546EEC">
              <w:t xml:space="preserve">provide </w:t>
            </w:r>
            <w:r w:rsidR="00CB2B68">
              <w:t>assistance requested by processing company SPC</w:t>
            </w:r>
            <w:r w:rsidR="00292B54">
              <w:t> </w:t>
            </w:r>
            <w:r w:rsidR="00CB2B68">
              <w:t>Ardmona</w:t>
            </w:r>
            <w:r w:rsidR="006B11DB">
              <w:t xml:space="preserve">, but </w:t>
            </w:r>
            <w:r>
              <w:t>would</w:t>
            </w:r>
            <w:r w:rsidR="006B11DB">
              <w:t xml:space="preserve"> proceed with support to Cadbury for a tourist facility</w:t>
            </w:r>
            <w:r w:rsidR="008E7B4D">
              <w:rPr>
                <w:lang w:val="en"/>
              </w:rPr>
              <w:t>.</w:t>
            </w:r>
          </w:p>
          <w:p w:rsidR="00BA7EF0" w:rsidRPr="00473D8D" w:rsidRDefault="00BA7EF0" w:rsidP="00BA7EF0">
            <w:pPr>
              <w:pStyle w:val="BoxListBullet"/>
            </w:pPr>
            <w:r>
              <w:t>Australia recently agreed to bilateral trade agreements with Korea and Japan.</w:t>
            </w:r>
            <w:r w:rsidR="00FA022F">
              <w:t xml:space="preserve"> Trade agreements can distort comparative advantage between nations and consequently reduce efficient resource allocation</w:t>
            </w:r>
            <w:r w:rsidR="00B419C2">
              <w:t xml:space="preserve">. </w:t>
            </w:r>
          </w:p>
          <w:p w:rsidR="00BA7EF0" w:rsidRPr="00BA7EF0" w:rsidRDefault="00BA7EF0" w:rsidP="00C533E1">
            <w:pPr>
              <w:pStyle w:val="BoxListBullet2"/>
              <w:rPr>
                <w:szCs w:val="24"/>
              </w:rPr>
            </w:pPr>
            <w:r>
              <w:t>The rules of origin in Australia’s nine bilateral agreements differ widely</w:t>
            </w:r>
            <w:r w:rsidR="00B419C2">
              <w:t>,</w:t>
            </w:r>
            <w:r>
              <w:t xml:space="preserve"> </w:t>
            </w:r>
            <w:r w:rsidR="00FA022F">
              <w:t xml:space="preserve">are likely to impede competition </w:t>
            </w:r>
            <w:r w:rsidR="00B419C2">
              <w:t>and add to the compliance costs of firms engaging in trade.</w:t>
            </w:r>
          </w:p>
          <w:p w:rsidR="00714723" w:rsidRPr="00714723" w:rsidRDefault="00473D8D" w:rsidP="00BA7EF0">
            <w:pPr>
              <w:pStyle w:val="BoxListBullet"/>
              <w:rPr>
                <w:szCs w:val="24"/>
              </w:rPr>
            </w:pPr>
            <w:r w:rsidRPr="00473D8D">
              <w:t xml:space="preserve">Government outlays on defence capability represent one of the largest discretionary items in the Commonwealth’s budget. </w:t>
            </w:r>
          </w:p>
          <w:p w:rsidR="00473D8D" w:rsidRPr="00AD3E7B" w:rsidRDefault="00714723" w:rsidP="005439D8">
            <w:pPr>
              <w:pStyle w:val="BoxListBullet2"/>
              <w:rPr>
                <w:szCs w:val="24"/>
              </w:rPr>
            </w:pPr>
            <w:r>
              <w:t xml:space="preserve">Defence industry assistance </w:t>
            </w:r>
            <w:r w:rsidR="00D27748">
              <w:t>includ</w:t>
            </w:r>
            <w:r w:rsidR="00FA022F">
              <w:t>es</w:t>
            </w:r>
            <w:r>
              <w:t xml:space="preserve"> </w:t>
            </w:r>
            <w:r w:rsidR="001D5381">
              <w:t xml:space="preserve">cost premiums for </w:t>
            </w:r>
            <w:r>
              <w:t>local purchasing preferences</w:t>
            </w:r>
            <w:r w:rsidR="00E80663">
              <w:t xml:space="preserve"> </w:t>
            </w:r>
            <w:r w:rsidR="00FA022F">
              <w:t xml:space="preserve">and </w:t>
            </w:r>
            <w:r>
              <w:t>budgetary support for skilling, research and exporting</w:t>
            </w:r>
            <w:r w:rsidR="00FA022F">
              <w:t xml:space="preserve"> (</w:t>
            </w:r>
            <w:r w:rsidR="00F2089D">
              <w:t xml:space="preserve">with expenditures </w:t>
            </w:r>
            <w:r w:rsidR="00FA022F">
              <w:t>up to $500</w:t>
            </w:r>
            <w:r w:rsidR="00F2089D">
              <w:t> </w:t>
            </w:r>
            <w:r w:rsidR="00FA022F">
              <w:t>m</w:t>
            </w:r>
            <w:r w:rsidR="00F2089D">
              <w:t>illion directly and indirectly benefiting industry</w:t>
            </w:r>
            <w:r w:rsidR="00FA022F">
              <w:t>)</w:t>
            </w:r>
            <w:r>
              <w:t xml:space="preserve">. </w:t>
            </w:r>
          </w:p>
          <w:p w:rsidR="00AD3E7B" w:rsidRDefault="001D5381" w:rsidP="005439D8">
            <w:pPr>
              <w:pStyle w:val="BoxListBullet2"/>
            </w:pPr>
            <w:r>
              <w:t>Significant c</w:t>
            </w:r>
            <w:r w:rsidR="00AD3E7B">
              <w:t xml:space="preserve">ost premiums can </w:t>
            </w:r>
            <w:r w:rsidR="00D27748">
              <w:t xml:space="preserve">also </w:t>
            </w:r>
            <w:r w:rsidR="00AD3E7B">
              <w:t xml:space="preserve">be incurred </w:t>
            </w:r>
            <w:r>
              <w:t>by cho</w:t>
            </w:r>
            <w:r w:rsidR="00E60C15">
              <w:t>o</w:t>
            </w:r>
            <w:r>
              <w:t xml:space="preserve">sing to modify off-the-shelf </w:t>
            </w:r>
            <w:r w:rsidR="00E60C15">
              <w:t>equipment or pursuing bespoke designs.</w:t>
            </w:r>
            <w:r w:rsidR="00F25D69">
              <w:t xml:space="preserve"> </w:t>
            </w:r>
          </w:p>
          <w:p w:rsidR="000E47A6" w:rsidRPr="00CC7CE8" w:rsidRDefault="00D27748" w:rsidP="008A0ED1">
            <w:pPr>
              <w:pStyle w:val="BoxListBullet"/>
            </w:pPr>
            <w:r w:rsidRPr="00CC7CE8">
              <w:t xml:space="preserve">To be justified, cost premiums and defence industry assistance need to be commensurate with any additional security and operational benefits. </w:t>
            </w:r>
            <w:r w:rsidR="005D706B" w:rsidRPr="00CC7CE8">
              <w:t>Publishing these additional costs and benefits would assist understanding of apparently huge cost differentials.</w:t>
            </w:r>
          </w:p>
          <w:p w:rsidR="00232C38" w:rsidRDefault="00D13D51" w:rsidP="00FA022F">
            <w:pPr>
              <w:pStyle w:val="BoxListBullet"/>
            </w:pPr>
            <w:r>
              <w:t>The</w:t>
            </w:r>
            <w:r w:rsidR="00AD3E7B">
              <w:t xml:space="preserve"> efficiency and effectiveness of </w:t>
            </w:r>
            <w:r w:rsidR="00FA022F">
              <w:t>direct</w:t>
            </w:r>
            <w:r w:rsidR="00AD3E7B">
              <w:t xml:space="preserve"> defence industry assistance programs</w:t>
            </w:r>
            <w:r w:rsidR="006B11DB">
              <w:t xml:space="preserve"> </w:t>
            </w:r>
            <w:r w:rsidR="00967F0C">
              <w:t xml:space="preserve">could </w:t>
            </w:r>
            <w:r w:rsidR="00FA022F">
              <w:t>benefit from independent scrutiny.</w:t>
            </w:r>
          </w:p>
          <w:p w:rsidR="005D706B" w:rsidRPr="00473D8D" w:rsidRDefault="00546EEC" w:rsidP="0007684A">
            <w:pPr>
              <w:pStyle w:val="BoxListBullet"/>
            </w:pPr>
            <w:r>
              <w:t>Three</w:t>
            </w:r>
            <w:r w:rsidR="005D706B">
              <w:t xml:space="preserve"> short reviews also comment on topical areas of public interest: </w:t>
            </w:r>
            <w:r w:rsidR="0007684A">
              <w:t>R&amp;D; Foreign Investment Rules; and Special E</w:t>
            </w:r>
            <w:r w:rsidR="005D706B">
              <w:t xml:space="preserve">conomic </w:t>
            </w:r>
            <w:r w:rsidR="0007684A">
              <w:t>Z</w:t>
            </w:r>
            <w:r w:rsidR="005D706B">
              <w:t>ones</w:t>
            </w:r>
            <w:r w:rsidR="0007684A">
              <w:t>.</w:t>
            </w:r>
          </w:p>
        </w:tc>
      </w:tr>
      <w:tr w:rsidR="00CD1473">
        <w:tc>
          <w:tcPr>
            <w:tcW w:w="8789" w:type="dxa"/>
            <w:tcBorders>
              <w:top w:val="nil"/>
              <w:bottom w:val="single" w:sz="4" w:space="0" w:color="auto"/>
            </w:tcBorders>
          </w:tcPr>
          <w:p w:rsidR="00CD1473" w:rsidRDefault="00CD1473">
            <w:pPr>
              <w:pStyle w:val="Box"/>
              <w:spacing w:before="0" w:line="120" w:lineRule="exact"/>
            </w:pPr>
          </w:p>
        </w:tc>
      </w:tr>
      <w:tr w:rsidR="00CD1473">
        <w:tc>
          <w:tcPr>
            <w:tcW w:w="8789" w:type="dxa"/>
            <w:tcBorders>
              <w:top w:val="nil"/>
              <w:left w:val="nil"/>
              <w:bottom w:val="nil"/>
              <w:right w:val="nil"/>
            </w:tcBorders>
          </w:tcPr>
          <w:p w:rsidR="00CD1473" w:rsidRDefault="00CD1473">
            <w:pPr>
              <w:pStyle w:val="Box"/>
              <w:keepNext w:val="0"/>
              <w:spacing w:before="60" w:after="60" w:line="80" w:lineRule="exact"/>
            </w:pPr>
          </w:p>
        </w:tc>
      </w:tr>
    </w:tbl>
    <w:p w:rsidR="001B1744" w:rsidRDefault="00DC45DB" w:rsidP="001B1744">
      <w:pPr>
        <w:pStyle w:val="Heading1"/>
        <w:spacing w:before="0" w:line="300" w:lineRule="atLeast"/>
      </w:pPr>
      <w:bookmarkStart w:id="3" w:name="begin"/>
      <w:bookmarkStart w:id="4" w:name="ChapterTitle"/>
      <w:bookmarkEnd w:id="1"/>
      <w:bookmarkEnd w:id="3"/>
      <w:r>
        <w:lastRenderedPageBreak/>
        <w:t>Overview</w:t>
      </w:r>
      <w:bookmarkEnd w:id="4"/>
    </w:p>
    <w:p w:rsidR="0064018A" w:rsidRDefault="001B1744" w:rsidP="001B1744">
      <w:pPr>
        <w:pStyle w:val="BodyText"/>
      </w:pPr>
      <w:r>
        <w:t>The Australian Government assists industries through an array of measures, including import tariffs, budgetary outlays, taxation concessions, regulatory restrictions on competition</w:t>
      </w:r>
      <w:r w:rsidR="008F72F0">
        <w:t>,</w:t>
      </w:r>
      <w:r w:rsidR="00EC2815">
        <w:t xml:space="preserve"> </w:t>
      </w:r>
      <w:r w:rsidR="00EE6F81">
        <w:t xml:space="preserve">and </w:t>
      </w:r>
      <w:r w:rsidR="00EC2815">
        <w:t>government purchasing arrangements</w:t>
      </w:r>
      <w:r>
        <w:t>. Although assistance generally benefits the receiving industry and businesses, it penalise</w:t>
      </w:r>
      <w:r w:rsidR="00827ABF">
        <w:t>s</w:t>
      </w:r>
      <w:r>
        <w:t xml:space="preserve"> other industries, taxpayers </w:t>
      </w:r>
      <w:r w:rsidR="00827ABF">
        <w:t xml:space="preserve">or </w:t>
      </w:r>
      <w:r>
        <w:t>consumers</w:t>
      </w:r>
      <w:r w:rsidR="00226198">
        <w:t>.</w:t>
      </w:r>
      <w:r>
        <w:t xml:space="preserve"> </w:t>
      </w:r>
      <w:r w:rsidR="00226198">
        <w:t>T</w:t>
      </w:r>
      <w:r>
        <w:t xml:space="preserve">ransparency about assistance arrangements </w:t>
      </w:r>
      <w:r w:rsidR="00BB67FF">
        <w:t xml:space="preserve">is </w:t>
      </w:r>
      <w:r w:rsidR="00226198">
        <w:t xml:space="preserve">therefore </w:t>
      </w:r>
      <w:r>
        <w:t xml:space="preserve">important. </w:t>
      </w:r>
    </w:p>
    <w:p w:rsidR="00EE6F81" w:rsidRDefault="009F17C3" w:rsidP="00C32639">
      <w:pPr>
        <w:pStyle w:val="BodyText"/>
      </w:pPr>
      <w:r>
        <w:t xml:space="preserve">This </w:t>
      </w:r>
      <w:r w:rsidR="00C32639" w:rsidRPr="00C32639">
        <w:rPr>
          <w:i/>
        </w:rPr>
        <w:t>Review</w:t>
      </w:r>
      <w:r w:rsidR="00C32639">
        <w:t xml:space="preserve"> reports </w:t>
      </w:r>
      <w:r w:rsidR="00EE6F81">
        <w:t>the Commission’s latest estimates of assistance to industry</w:t>
      </w:r>
      <w:r>
        <w:t xml:space="preserve">, up to 30 June 2013. </w:t>
      </w:r>
      <w:r w:rsidR="002F750C">
        <w:t>More r</w:t>
      </w:r>
      <w:r>
        <w:t xml:space="preserve">ecent announcements </w:t>
      </w:r>
      <w:r w:rsidR="006525F9">
        <w:t xml:space="preserve">relating to </w:t>
      </w:r>
      <w:r>
        <w:t>industry assistance</w:t>
      </w:r>
      <w:r w:rsidR="006525F9">
        <w:t>, including trade policy developments</w:t>
      </w:r>
      <w:r w:rsidR="00EA0CDD">
        <w:t>, have also been reported</w:t>
      </w:r>
      <w:r w:rsidR="006525F9">
        <w:t xml:space="preserve">. The Commission has also included </w:t>
      </w:r>
      <w:r w:rsidR="00EA0CDD">
        <w:t xml:space="preserve">a chapter about assistance </w:t>
      </w:r>
      <w:r w:rsidR="00546EEC">
        <w:t>to the</w:t>
      </w:r>
      <w:r w:rsidR="00EA0CDD">
        <w:t xml:space="preserve"> defence </w:t>
      </w:r>
      <w:r w:rsidR="00546EEC">
        <w:t xml:space="preserve">industry </w:t>
      </w:r>
      <w:r w:rsidR="00EA0CDD">
        <w:t xml:space="preserve">and shorter discussions </w:t>
      </w:r>
      <w:r w:rsidR="00546EEC">
        <w:t xml:space="preserve">on </w:t>
      </w:r>
      <w:r w:rsidR="00EA0CDD">
        <w:t>government support for business R&amp;D, foreign investment rules and special economic zones.</w:t>
      </w:r>
    </w:p>
    <w:p w:rsidR="002F750C" w:rsidRDefault="002F750C" w:rsidP="00C32639">
      <w:pPr>
        <w:pStyle w:val="BodyText"/>
      </w:pPr>
      <w:r>
        <w:t xml:space="preserve">Assessing whether the benefits of any particular support program exceed the costs requires detailed consideration — a task </w:t>
      </w:r>
      <w:r w:rsidR="00015A2F">
        <w:t xml:space="preserve">which is not the focus </w:t>
      </w:r>
      <w:r>
        <w:t xml:space="preserve">of this </w:t>
      </w:r>
      <w:r w:rsidRPr="00FA0B1C">
        <w:rPr>
          <w:i/>
        </w:rPr>
        <w:t>Review</w:t>
      </w:r>
      <w:r>
        <w:t>.</w:t>
      </w:r>
    </w:p>
    <w:p w:rsidR="001B1744" w:rsidRDefault="001B1744" w:rsidP="001B1744">
      <w:pPr>
        <w:pStyle w:val="Heading3"/>
      </w:pPr>
      <w:r>
        <w:t>Estimates of assistance to industry</w:t>
      </w:r>
    </w:p>
    <w:p w:rsidR="002D15EA" w:rsidRDefault="002D15EA" w:rsidP="002D15EA">
      <w:pPr>
        <w:pStyle w:val="BodyText"/>
      </w:pPr>
      <w:r w:rsidRPr="0004019F">
        <w:t xml:space="preserve">Australian Government </w:t>
      </w:r>
      <w:r w:rsidR="005A25B6">
        <w:t xml:space="preserve">assistance to industry </w:t>
      </w:r>
      <w:r>
        <w:t xml:space="preserve">amounted to over </w:t>
      </w:r>
      <w:r w:rsidRPr="0004019F">
        <w:t>$1</w:t>
      </w:r>
      <w:r w:rsidR="000A6C1B">
        <w:t>5</w:t>
      </w:r>
      <w:r>
        <w:t>.</w:t>
      </w:r>
      <w:r w:rsidR="000A6C1B">
        <w:t>6</w:t>
      </w:r>
      <w:r w:rsidRPr="0004019F">
        <w:t> billion in gross terms</w:t>
      </w:r>
      <w:r>
        <w:t xml:space="preserve"> in 2012</w:t>
      </w:r>
      <w:r>
        <w:noBreakHyphen/>
        <w:t>13</w:t>
      </w:r>
      <w:r w:rsidRPr="0004019F">
        <w:t xml:space="preserve"> — comprising $</w:t>
      </w:r>
      <w:r>
        <w:t>7.</w:t>
      </w:r>
      <w:r w:rsidR="000A6C1B">
        <w:t>8</w:t>
      </w:r>
      <w:r w:rsidRPr="0004019F">
        <w:t xml:space="preserve"> billion in </w:t>
      </w:r>
      <w:r>
        <w:t xml:space="preserve">gross </w:t>
      </w:r>
      <w:r w:rsidRPr="0004019F">
        <w:t>tariff assistance, $</w:t>
      </w:r>
      <w:r w:rsidR="00223100">
        <w:t>4.4</w:t>
      </w:r>
      <w:r w:rsidRPr="0004019F">
        <w:t> billion of budgetary outlays and $</w:t>
      </w:r>
      <w:r w:rsidR="00223100">
        <w:t>3.4</w:t>
      </w:r>
      <w:r w:rsidRPr="0004019F">
        <w:t xml:space="preserve"> billion in tax concessions. </w:t>
      </w:r>
    </w:p>
    <w:p w:rsidR="002D15EA" w:rsidRPr="0004019F" w:rsidRDefault="002D15EA" w:rsidP="002D15EA">
      <w:pPr>
        <w:pStyle w:val="BodyText"/>
      </w:pPr>
      <w:r w:rsidRPr="0004019F">
        <w:t>After allowing for the cost to business of tariffs on imported inputs ($</w:t>
      </w:r>
      <w:r w:rsidR="00223100">
        <w:t>7.1</w:t>
      </w:r>
      <w:r w:rsidRPr="0004019F">
        <w:t xml:space="preserve"> billion), estimated net assistance </w:t>
      </w:r>
      <w:r w:rsidR="00FA022F">
        <w:t xml:space="preserve">across all sectors </w:t>
      </w:r>
      <w:r w:rsidR="00D03EE1" w:rsidRPr="0004019F">
        <w:t xml:space="preserve">was </w:t>
      </w:r>
      <w:r w:rsidRPr="0004019F">
        <w:t>$</w:t>
      </w:r>
      <w:r w:rsidR="00223100">
        <w:t>8</w:t>
      </w:r>
      <w:r>
        <w:t>.</w:t>
      </w:r>
      <w:r w:rsidR="00B0386C">
        <w:t>5</w:t>
      </w:r>
      <w:r w:rsidRPr="0004019F">
        <w:t> billion</w:t>
      </w:r>
      <w:r>
        <w:t xml:space="preserve"> in 2012</w:t>
      </w:r>
      <w:r>
        <w:noBreakHyphen/>
        <w:t>13</w:t>
      </w:r>
      <w:r w:rsidRPr="0004019F">
        <w:t xml:space="preserve">. </w:t>
      </w:r>
    </w:p>
    <w:p w:rsidR="006D2260" w:rsidRDefault="00742DBD" w:rsidP="006D2260">
      <w:pPr>
        <w:pStyle w:val="BodyText"/>
      </w:pPr>
      <w:r>
        <w:t>The sectoral incidence of tariff assistance, budgetary support and the input penalty of tariffs is markedly different (figure 1). Most notably, the manufacturing sector receives the highest level of net assistance — mainly because of tariff assistance on its outputs</w:t>
      </w:r>
      <w:r w:rsidR="00FA022F">
        <w:t>. In contrast,</w:t>
      </w:r>
      <w:r>
        <w:t xml:space="preserve"> the service sector incurs around </w:t>
      </w:r>
      <w:r w:rsidR="00D96B56">
        <w:t xml:space="preserve">two thirds </w:t>
      </w:r>
      <w:r w:rsidR="009D0876">
        <w:t xml:space="preserve">of </w:t>
      </w:r>
      <w:r w:rsidR="006D2260">
        <w:t>the tariff penalty on inputs</w:t>
      </w:r>
      <w:r>
        <w:t xml:space="preserve"> and negative net assistance overall.</w:t>
      </w:r>
    </w:p>
    <w:p w:rsidR="00742DBD" w:rsidRDefault="00742DBD">
      <w:pPr>
        <w:pStyle w:val="FigureTitle"/>
      </w:pPr>
      <w:r>
        <w:rPr>
          <w:b w:val="0"/>
        </w:rPr>
        <w:lastRenderedPageBreak/>
        <w:t>Figure 1</w:t>
      </w:r>
      <w:r>
        <w:tab/>
      </w:r>
      <w:r w:rsidR="00191A9E">
        <w:t xml:space="preserve">The incidence of assistance </w:t>
      </w:r>
      <w:r w:rsidR="00C64125">
        <w:t xml:space="preserve">varies </w:t>
      </w:r>
      <w:r w:rsidR="00191A9E">
        <w:t xml:space="preserve">widely </w:t>
      </w:r>
      <w:r w:rsidR="00C64125">
        <w:t>between industries, 2012</w:t>
      </w:r>
      <w:r w:rsidR="00C64125">
        <w:noBreakHyphen/>
        <w:t>13</w:t>
      </w:r>
    </w:p>
    <w:p w:rsidR="00C64125" w:rsidRPr="00C64125" w:rsidRDefault="00C64125" w:rsidP="00C533E1">
      <w:pPr>
        <w:pStyle w:val="Subtitle"/>
      </w:pPr>
      <w:r>
        <w:t>$ billion (nominal)</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42DBD" w:rsidTr="00277F5F">
        <w:tc>
          <w:tcPr>
            <w:tcW w:w="8777" w:type="dxa"/>
          </w:tcPr>
          <w:p w:rsidR="00742DBD" w:rsidRDefault="00277F5F" w:rsidP="00A9368D">
            <w:pPr>
              <w:pStyle w:val="Figure"/>
            </w:pPr>
            <w:r>
              <w:rPr>
                <w:noProof/>
              </w:rPr>
              <w:drawing>
                <wp:inline distT="0" distB="0" distL="0" distR="0" wp14:anchorId="648F4CE1" wp14:editId="68853C7C">
                  <wp:extent cx="5419725" cy="3705225"/>
                  <wp:effectExtent l="0" t="0" r="0" b="0"/>
                  <wp:docPr id="1" name="Chart 1" descr="Figure 1. The incidence of assistance varies widely between industries 2012-13. This figure shows the incidence of budgetary assistance, output tariff assistance and the input tariff penalty by industry sector. This figure is described in the surrounding text. "/>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19152F" w:rsidRDefault="006D2260" w:rsidP="006D2260">
      <w:pPr>
        <w:pStyle w:val="BodyText"/>
      </w:pPr>
      <w:r>
        <w:t>The estimated value of budgetary assistance amounted to $</w:t>
      </w:r>
      <w:r w:rsidR="00D96B56">
        <w:t>7.8</w:t>
      </w:r>
      <w:r>
        <w:t xml:space="preserve"> billion </w:t>
      </w:r>
      <w:r w:rsidR="004E0470">
        <w:t>(outlays plus tax</w:t>
      </w:r>
      <w:r w:rsidR="00756292">
        <w:t xml:space="preserve"> concessions</w:t>
      </w:r>
      <w:r w:rsidR="004E0470">
        <w:t xml:space="preserve">) </w:t>
      </w:r>
      <w:r>
        <w:t>in 201</w:t>
      </w:r>
      <w:r w:rsidR="00A347E0">
        <w:t>2</w:t>
      </w:r>
      <w:r>
        <w:noBreakHyphen/>
        <w:t>1</w:t>
      </w:r>
      <w:r w:rsidR="00A347E0">
        <w:t>3</w:t>
      </w:r>
      <w:r w:rsidR="00546EEC">
        <w:t>,</w:t>
      </w:r>
      <w:r>
        <w:t xml:space="preserve"> down from </w:t>
      </w:r>
      <w:r w:rsidR="00D96B56">
        <w:t xml:space="preserve">around </w:t>
      </w:r>
      <w:r>
        <w:t>$</w:t>
      </w:r>
      <w:r w:rsidR="00D96B56">
        <w:t>10</w:t>
      </w:r>
      <w:r>
        <w:t> billion the previous year</w:t>
      </w:r>
      <w:r w:rsidR="0095189C">
        <w:t xml:space="preserve"> (figure 2)</w:t>
      </w:r>
      <w:r>
        <w:t xml:space="preserve">. The largest </w:t>
      </w:r>
      <w:r w:rsidR="00434C62">
        <w:t>reduction</w:t>
      </w:r>
      <w:r w:rsidR="00607C3F">
        <w:t>s</w:t>
      </w:r>
      <w:r w:rsidR="00434C62">
        <w:t xml:space="preserve"> w</w:t>
      </w:r>
      <w:r w:rsidR="00607C3F">
        <w:t>ere</w:t>
      </w:r>
      <w:r w:rsidR="00434C62">
        <w:t xml:space="preserve"> </w:t>
      </w:r>
      <w:r w:rsidR="00607C3F">
        <w:t xml:space="preserve">from </w:t>
      </w:r>
      <w:r w:rsidR="00434C62">
        <w:t xml:space="preserve">the winding down of transitional assistance afforded by the </w:t>
      </w:r>
      <w:r w:rsidR="00930868">
        <w:t>Energy Security Fund ($1 billion)</w:t>
      </w:r>
      <w:r w:rsidR="00434C62">
        <w:t>, Coal Sector Jobs Package (</w:t>
      </w:r>
      <w:r w:rsidR="00607C3F">
        <w:t>$</w:t>
      </w:r>
      <w:r w:rsidR="00434C62">
        <w:t>21</w:t>
      </w:r>
      <w:r w:rsidR="00B221A7">
        <w:t>9</w:t>
      </w:r>
      <w:r w:rsidR="00434C62">
        <w:t> million) and Steel Transformation Plan ($164 million)</w:t>
      </w:r>
      <w:r w:rsidR="00D03EE1">
        <w:t xml:space="preserve"> — </w:t>
      </w:r>
      <w:r w:rsidR="00434C62">
        <w:t>all introduced to assist with the transformational implications of the carbon pricing mechanism</w:t>
      </w:r>
      <w:r w:rsidR="004E0F3E">
        <w:t xml:space="preserve">. </w:t>
      </w:r>
      <w:r w:rsidRPr="0004019F">
        <w:t xml:space="preserve">The level of </w:t>
      </w:r>
      <w:r>
        <w:t xml:space="preserve">budgetary </w:t>
      </w:r>
      <w:r w:rsidRPr="0004019F">
        <w:t xml:space="preserve">support to </w:t>
      </w:r>
      <w:r>
        <w:t>rural</w:t>
      </w:r>
      <w:r w:rsidRPr="0004019F">
        <w:t xml:space="preserve"> </w:t>
      </w:r>
      <w:r>
        <w:t>industries</w:t>
      </w:r>
      <w:r w:rsidRPr="0004019F">
        <w:t xml:space="preserve"> in 201</w:t>
      </w:r>
      <w:r>
        <w:t>2</w:t>
      </w:r>
      <w:r w:rsidRPr="0004019F">
        <w:noBreakHyphen/>
        <w:t>1</w:t>
      </w:r>
      <w:r>
        <w:t>3</w:t>
      </w:r>
      <w:r w:rsidRPr="0004019F">
        <w:t xml:space="preserve"> declined from </w:t>
      </w:r>
      <w:r>
        <w:t xml:space="preserve">earlier </w:t>
      </w:r>
      <w:r w:rsidRPr="0004019F">
        <w:t>year</w:t>
      </w:r>
      <w:r>
        <w:t>s</w:t>
      </w:r>
      <w:r w:rsidRPr="0004019F">
        <w:t xml:space="preserve"> </w:t>
      </w:r>
      <w:r>
        <w:t xml:space="preserve">mainly because of </w:t>
      </w:r>
      <w:r w:rsidR="00642FBA">
        <w:t xml:space="preserve">lower </w:t>
      </w:r>
      <w:r w:rsidR="00281E9E">
        <w:t xml:space="preserve">taxation concessions </w:t>
      </w:r>
      <w:r w:rsidR="00642FBA">
        <w:t>under the Farm Management Deposits Scheme</w:t>
      </w:r>
      <w:r w:rsidR="009A4DA9">
        <w:t xml:space="preserve"> ($80 million)</w:t>
      </w:r>
      <w:r w:rsidR="00642FBA">
        <w:t xml:space="preserve"> </w:t>
      </w:r>
      <w:r w:rsidR="009A4DA9">
        <w:t xml:space="preserve">and </w:t>
      </w:r>
      <w:r>
        <w:t>lower Exceptional Circumstances (</w:t>
      </w:r>
      <w:r w:rsidR="00186091">
        <w:t>interest rate</w:t>
      </w:r>
      <w:r>
        <w:t>) payments</w:t>
      </w:r>
      <w:r w:rsidR="009A4DA9">
        <w:t xml:space="preserve"> ($32 million)</w:t>
      </w:r>
      <w:r>
        <w:t xml:space="preserve">. </w:t>
      </w:r>
    </w:p>
    <w:p w:rsidR="00380A53" w:rsidRDefault="00380A53" w:rsidP="00380A53">
      <w:pPr>
        <w:pStyle w:val="FigureTitle"/>
      </w:pPr>
      <w:r>
        <w:rPr>
          <w:b w:val="0"/>
        </w:rPr>
        <w:lastRenderedPageBreak/>
        <w:t>Figure 2</w:t>
      </w:r>
      <w:r>
        <w:tab/>
        <w:t>Budgetary assistance to industry</w:t>
      </w:r>
      <w:r w:rsidR="005D6932">
        <w:t xml:space="preserve"> </w:t>
      </w:r>
      <w:r w:rsidR="0030083A">
        <w:t>declined</w:t>
      </w:r>
      <w:r w:rsidR="005D6932">
        <w:t xml:space="preserve"> in</w:t>
      </w:r>
      <w:r>
        <w:t xml:space="preserve"> 2012</w:t>
      </w:r>
      <w:r>
        <w:noBreakHyphen/>
        <w:t>13</w:t>
      </w:r>
    </w:p>
    <w:p w:rsidR="00380A53" w:rsidRDefault="00380A53" w:rsidP="00380A53">
      <w:pPr>
        <w:pStyle w:val="Subtitle"/>
      </w:pPr>
      <w:r>
        <w:t xml:space="preserve">$ </w:t>
      </w:r>
      <w:r w:rsidR="00C64125">
        <w:t>b</w:t>
      </w:r>
      <w:r>
        <w:t>illion (nominal)</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80A53" w:rsidTr="00277F5F">
        <w:tc>
          <w:tcPr>
            <w:tcW w:w="8777" w:type="dxa"/>
          </w:tcPr>
          <w:p w:rsidR="00380A53" w:rsidRDefault="00277F5F" w:rsidP="00D15D63">
            <w:pPr>
              <w:pStyle w:val="Figure"/>
            </w:pPr>
            <w:r>
              <w:rPr>
                <w:noProof/>
              </w:rPr>
              <w:drawing>
                <wp:inline distT="0" distB="0" distL="0" distR="0" wp14:anchorId="5A6E5EB3" wp14:editId="5733EA51">
                  <wp:extent cx="5410200" cy="3762375"/>
                  <wp:effectExtent l="0" t="0" r="0" b="0"/>
                  <wp:docPr id="2" name="Chart 2" descr="Figure 2. Budgetary assistance to industry declined in 2012-13. This figure presents budgetary assistance split into outlays and tax concessions. The proportions are roughly equal each year. This figure is described in the surrounding text."/>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95189C" w:rsidRDefault="00536AD3" w:rsidP="00536AD3">
      <w:pPr>
        <w:pStyle w:val="BodyText"/>
      </w:pPr>
      <w:r>
        <w:t xml:space="preserve">The effective rate of assistance — net assistance per unit of value added — was around </w:t>
      </w:r>
      <w:r w:rsidR="00E12DEC">
        <w:t>4 </w:t>
      </w:r>
      <w:r>
        <w:t xml:space="preserve">per cent for the manufacturing sector, </w:t>
      </w:r>
      <w:r w:rsidR="0063053F">
        <w:t xml:space="preserve">over </w:t>
      </w:r>
      <w:r w:rsidR="00E12DEC">
        <w:t>2 </w:t>
      </w:r>
      <w:r>
        <w:t>per cent for the primary production sector</w:t>
      </w:r>
      <w:r w:rsidR="00050284">
        <w:t xml:space="preserve"> and less than </w:t>
      </w:r>
      <w:r w:rsidR="00E12DEC">
        <w:t>1 </w:t>
      </w:r>
      <w:r>
        <w:t>per cent for mining</w:t>
      </w:r>
      <w:r w:rsidR="00695409">
        <w:t xml:space="preserve">. </w:t>
      </w:r>
      <w:r w:rsidR="00050284">
        <w:t xml:space="preserve">At the industry group level, the highest measured effective rates of assistance continued to be for the motor vehicles </w:t>
      </w:r>
      <w:r w:rsidR="00832583">
        <w:t xml:space="preserve">and </w:t>
      </w:r>
      <w:r w:rsidR="00E12DEC">
        <w:t xml:space="preserve">textiles, clothing and footwear </w:t>
      </w:r>
      <w:r w:rsidR="00050284">
        <w:t xml:space="preserve">industries. With the scheduled reduction in tariffs on selected </w:t>
      </w:r>
      <w:r w:rsidR="00E12DEC">
        <w:t xml:space="preserve">textile and </w:t>
      </w:r>
      <w:r w:rsidR="00050284">
        <w:t>clothing</w:t>
      </w:r>
      <w:r w:rsidR="00E12DEC">
        <w:t xml:space="preserve"> </w:t>
      </w:r>
      <w:r w:rsidR="00050284">
        <w:t xml:space="preserve">items </w:t>
      </w:r>
      <w:r w:rsidR="001419D1">
        <w:t xml:space="preserve">on </w:t>
      </w:r>
      <w:r w:rsidR="00832583" w:rsidRPr="00832583">
        <w:t>1</w:t>
      </w:r>
      <w:r w:rsidR="00832583">
        <w:t> </w:t>
      </w:r>
      <w:r w:rsidR="00E12DEC">
        <w:t>January </w:t>
      </w:r>
      <w:r w:rsidR="00832583">
        <w:t>2015,</w:t>
      </w:r>
      <w:r w:rsidR="001419D1">
        <w:t xml:space="preserve"> net assistance to these activities will decline</w:t>
      </w:r>
      <w:r w:rsidR="002B7A95">
        <w:t xml:space="preserve"> further</w:t>
      </w:r>
      <w:r w:rsidR="001419D1">
        <w:t>. Net assistance to the automotive industry will also decline with scheduled reductions in industry-specific budgetary support, although with the tariffs remaining in place</w:t>
      </w:r>
      <w:r w:rsidR="00326810">
        <w:t>,</w:t>
      </w:r>
      <w:r w:rsidR="001419D1">
        <w:t xml:space="preserve"> under current setting</w:t>
      </w:r>
      <w:r w:rsidR="00326810">
        <w:t>s,</w:t>
      </w:r>
      <w:r w:rsidR="001419D1">
        <w:t xml:space="preserve"> the tariff penalty on imported vehicles will remain. </w:t>
      </w:r>
    </w:p>
    <w:p w:rsidR="00050284" w:rsidRDefault="00050284" w:rsidP="00536AD3">
      <w:pPr>
        <w:pStyle w:val="BodyText"/>
      </w:pPr>
      <w:r>
        <w:t xml:space="preserve">In dollar terms, the highest </w:t>
      </w:r>
      <w:r w:rsidR="001419D1">
        <w:t xml:space="preserve">net </w:t>
      </w:r>
      <w:r>
        <w:t xml:space="preserve">assistance was afforded to the metal products </w:t>
      </w:r>
      <w:r w:rsidR="00221954">
        <w:t xml:space="preserve">and food processing </w:t>
      </w:r>
      <w:r>
        <w:t xml:space="preserve">industries — mainly on account of </w:t>
      </w:r>
      <w:r w:rsidR="001419D1">
        <w:t xml:space="preserve">the </w:t>
      </w:r>
      <w:r w:rsidR="00E12DEC">
        <w:t>5 per </w:t>
      </w:r>
      <w:r w:rsidR="001419D1">
        <w:t xml:space="preserve">cent general </w:t>
      </w:r>
      <w:r>
        <w:t>tariff</w:t>
      </w:r>
      <w:r w:rsidR="001419D1">
        <w:t xml:space="preserve"> </w:t>
      </w:r>
      <w:r>
        <w:t>on a range of products manufactured by these industries</w:t>
      </w:r>
      <w:r w:rsidR="00685B7F">
        <w:t xml:space="preserve"> (figure 3)</w:t>
      </w:r>
      <w:r>
        <w:t xml:space="preserve">. </w:t>
      </w:r>
    </w:p>
    <w:p w:rsidR="00685B7F" w:rsidRDefault="00685B7F">
      <w:pPr>
        <w:pStyle w:val="FigureTitle"/>
      </w:pPr>
      <w:r>
        <w:rPr>
          <w:b w:val="0"/>
        </w:rPr>
        <w:lastRenderedPageBreak/>
        <w:t>Figure 3</w:t>
      </w:r>
      <w:r>
        <w:tab/>
      </w:r>
      <w:r w:rsidR="0030083A">
        <w:t xml:space="preserve">The level of assistance afforded </w:t>
      </w:r>
      <w:r w:rsidR="00546EEC">
        <w:t xml:space="preserve">to </w:t>
      </w:r>
      <w:r>
        <w:t xml:space="preserve">manufacturing </w:t>
      </w:r>
      <w:r w:rsidR="00CE6720">
        <w:t>industries</w:t>
      </w:r>
      <w:r w:rsidR="0030083A">
        <w:t xml:space="preserve"> varies</w:t>
      </w:r>
      <w:r>
        <w:t>, 2012</w:t>
      </w:r>
      <w:r>
        <w:noBreakHyphen/>
        <w:t>13</w:t>
      </w:r>
    </w:p>
    <w:p w:rsidR="00685B7F" w:rsidRDefault="00685B7F">
      <w:pPr>
        <w:pStyle w:val="Subtitle"/>
      </w:pPr>
      <w:r>
        <w:t>$ billion (nominal)</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85B7F" w:rsidTr="000D0840">
        <w:tc>
          <w:tcPr>
            <w:tcW w:w="8777" w:type="dxa"/>
          </w:tcPr>
          <w:p w:rsidR="00685B7F" w:rsidRDefault="000D0840">
            <w:pPr>
              <w:pStyle w:val="Figure"/>
            </w:pPr>
            <w:r>
              <w:rPr>
                <w:noProof/>
              </w:rPr>
              <w:drawing>
                <wp:inline distT="0" distB="0" distL="0" distR="0" wp14:anchorId="7DB117D6" wp14:editId="0DEC7AF6">
                  <wp:extent cx="5486401" cy="3762375"/>
                  <wp:effectExtent l="0" t="0" r="0" b="0"/>
                  <wp:docPr id="3" name="Chart 3" descr="Figure 3. The level of assistance afforded to manufacturing industries varies 2012-13. This figure shows the value of total combined assistance received by different manufacturing industries in 2012-13. This figure is described in the surrounding text. "/>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050284" w:rsidRDefault="00050284" w:rsidP="00050284">
      <w:pPr>
        <w:pStyle w:val="BodyText"/>
      </w:pPr>
      <w:r>
        <w:t xml:space="preserve">While effective rates of assistance </w:t>
      </w:r>
      <w:r w:rsidR="009E0BC9">
        <w:t xml:space="preserve">have </w:t>
      </w:r>
      <w:r>
        <w:t xml:space="preserve">not been estimated for the service industries, net assistance </w:t>
      </w:r>
      <w:r w:rsidR="001419D1">
        <w:t xml:space="preserve">in dollar terms </w:t>
      </w:r>
      <w:r>
        <w:t xml:space="preserve">is negative for most service industries because the tariff penalty on inputs exceeds the magnitude of </w:t>
      </w:r>
      <w:r w:rsidR="004E0470">
        <w:t xml:space="preserve">any </w:t>
      </w:r>
      <w:r>
        <w:t xml:space="preserve">budgetary assistance. </w:t>
      </w:r>
    </w:p>
    <w:p w:rsidR="00536AD3" w:rsidRDefault="001419D1" w:rsidP="00536AD3">
      <w:pPr>
        <w:pStyle w:val="BodyText"/>
      </w:pPr>
      <w:r>
        <w:t>W</w:t>
      </w:r>
      <w:r w:rsidR="00DA18C8">
        <w:t xml:space="preserve">hile present effective rates are </w:t>
      </w:r>
      <w:r w:rsidR="00FD59D5">
        <w:t xml:space="preserve">historically </w:t>
      </w:r>
      <w:r w:rsidR="00DA18C8">
        <w:t>low, the effective assistance for an individual company or project can be quite significant</w:t>
      </w:r>
      <w:r w:rsidR="00546EEC">
        <w:t>.</w:t>
      </w:r>
      <w:r w:rsidR="00DA18C8">
        <w:t xml:space="preserve"> </w:t>
      </w:r>
      <w:r w:rsidR="00546EEC">
        <w:t>F</w:t>
      </w:r>
      <w:r w:rsidR="00DA18C8">
        <w:t xml:space="preserve">or example, a number </w:t>
      </w:r>
      <w:r w:rsidR="00FD59D5">
        <w:t xml:space="preserve">of </w:t>
      </w:r>
      <w:r w:rsidR="00DA18C8">
        <w:t xml:space="preserve">industry grant programs </w:t>
      </w:r>
      <w:r>
        <w:t xml:space="preserve">to both goods producing and service activities </w:t>
      </w:r>
      <w:r w:rsidR="00DA18C8">
        <w:t>provide subsidy</w:t>
      </w:r>
      <w:r w:rsidR="00050284">
        <w:t xml:space="preserve"> </w:t>
      </w:r>
      <w:r w:rsidR="00326810">
        <w:t>equivalents for supported projects well above industry averages</w:t>
      </w:r>
      <w:r w:rsidR="004764EF">
        <w:t>.</w:t>
      </w:r>
      <w:r w:rsidR="00050284">
        <w:t xml:space="preserve"> </w:t>
      </w:r>
      <w:r w:rsidR="004E0470">
        <w:t>This can be quite distortionary, within an industry as well as a</w:t>
      </w:r>
      <w:r w:rsidR="00E94E74">
        <w:t xml:space="preserve">t the </w:t>
      </w:r>
      <w:r w:rsidR="004E0470">
        <w:t xml:space="preserve">economy-wide </w:t>
      </w:r>
      <w:r w:rsidR="00E94E74">
        <w:t>level</w:t>
      </w:r>
      <w:r w:rsidR="004E0470">
        <w:t>.</w:t>
      </w:r>
    </w:p>
    <w:p w:rsidR="001B1744" w:rsidRDefault="001B1744" w:rsidP="001B1744">
      <w:pPr>
        <w:pStyle w:val="Heading3"/>
      </w:pPr>
      <w:r>
        <w:t>Recent industry</w:t>
      </w:r>
      <w:r w:rsidR="00DA6B24">
        <w:t xml:space="preserve"> assistance </w:t>
      </w:r>
      <w:r>
        <w:t xml:space="preserve">related </w:t>
      </w:r>
      <w:r w:rsidR="006A187B">
        <w:t>announcements</w:t>
      </w:r>
    </w:p>
    <w:p w:rsidR="001B1744" w:rsidRDefault="001B1744" w:rsidP="001B1744">
      <w:pPr>
        <w:pStyle w:val="BodyText"/>
      </w:pPr>
      <w:r>
        <w:t xml:space="preserve">Since </w:t>
      </w:r>
      <w:r w:rsidR="000153A5">
        <w:t>May 201</w:t>
      </w:r>
      <w:r w:rsidR="00DA6B24">
        <w:t>3</w:t>
      </w:r>
      <w:r w:rsidR="000153A5">
        <w:t xml:space="preserve"> (the reporting date for the 201</w:t>
      </w:r>
      <w:r w:rsidR="00DA6B24">
        <w:t>1</w:t>
      </w:r>
      <w:r w:rsidR="00FF132C">
        <w:noBreakHyphen/>
      </w:r>
      <w:r w:rsidR="000153A5">
        <w:t>1</w:t>
      </w:r>
      <w:r w:rsidR="00DA6B24">
        <w:t>2</w:t>
      </w:r>
      <w:r w:rsidR="000153A5">
        <w:t xml:space="preserve"> </w:t>
      </w:r>
      <w:r w:rsidR="000153A5" w:rsidRPr="00A90BE9">
        <w:rPr>
          <w:i/>
        </w:rPr>
        <w:t>Review</w:t>
      </w:r>
      <w:r w:rsidR="000153A5">
        <w:t>)</w:t>
      </w:r>
      <w:r>
        <w:t xml:space="preserve">, the </w:t>
      </w:r>
      <w:r w:rsidR="00DA6B24">
        <w:t xml:space="preserve">current and previous </w:t>
      </w:r>
      <w:r>
        <w:t xml:space="preserve">Australian </w:t>
      </w:r>
      <w:r w:rsidR="00E12DEC">
        <w:t>Government</w:t>
      </w:r>
      <w:r w:rsidR="00546EEC">
        <w:t>s</w:t>
      </w:r>
      <w:r w:rsidR="00E12DEC">
        <w:t xml:space="preserve"> </w:t>
      </w:r>
      <w:r>
        <w:t xml:space="preserve">announced a number of budgetary and regulatory measures relating to industry assistance, across a wide range of activities. </w:t>
      </w:r>
    </w:p>
    <w:p w:rsidR="0060332F" w:rsidRDefault="006A187B" w:rsidP="006A187B">
      <w:pPr>
        <w:pStyle w:val="BodyText"/>
      </w:pPr>
      <w:r>
        <w:lastRenderedPageBreak/>
        <w:t>S</w:t>
      </w:r>
      <w:r w:rsidRPr="006A187B">
        <w:t>ome significant new support programs were announced by the previous government including a $400 million Regional Australia’s Renewables initiative, the $10</w:t>
      </w:r>
      <w:r w:rsidR="00D344BA">
        <w:t> </w:t>
      </w:r>
      <w:r w:rsidRPr="006A187B">
        <w:t xml:space="preserve">billion Clean Energy Finance Corporation, and </w:t>
      </w:r>
      <w:r w:rsidR="00E60C15">
        <w:t xml:space="preserve">two </w:t>
      </w:r>
      <w:r w:rsidRPr="006A187B">
        <w:t>Innovation and Investment Fund</w:t>
      </w:r>
      <w:r w:rsidR="00E60C15">
        <w:t>s</w:t>
      </w:r>
      <w:r w:rsidRPr="006A187B">
        <w:t xml:space="preserve"> (Melbourne North</w:t>
      </w:r>
      <w:r w:rsidR="00E60C15">
        <w:t xml:space="preserve"> and Geelong</w:t>
      </w:r>
      <w:r w:rsidRPr="006A187B">
        <w:t xml:space="preserve">) — these measures remain in place. </w:t>
      </w:r>
    </w:p>
    <w:p w:rsidR="00CB094D" w:rsidRPr="00C533E1" w:rsidRDefault="00FD59D5" w:rsidP="00CB094D">
      <w:pPr>
        <w:pStyle w:val="BodyText"/>
      </w:pPr>
      <w:r>
        <w:t>T</w:t>
      </w:r>
      <w:r w:rsidR="006A187B" w:rsidRPr="006A187B">
        <w:t xml:space="preserve">he </w:t>
      </w:r>
      <w:r w:rsidR="0060332F">
        <w:t xml:space="preserve">current </w:t>
      </w:r>
      <w:r w:rsidR="006A187B" w:rsidRPr="006A187B">
        <w:t>government announce</w:t>
      </w:r>
      <w:r w:rsidR="00A67193">
        <w:t>d</w:t>
      </w:r>
      <w:r w:rsidR="004764EF">
        <w:t xml:space="preserve"> </w:t>
      </w:r>
      <w:r w:rsidR="006A187B" w:rsidRPr="006A187B">
        <w:t>a $100 million economic growth plan for Tasmania (which supersedes the previous government’s $</w:t>
      </w:r>
      <w:r w:rsidR="00FF132C" w:rsidRPr="006A187B">
        <w:t>100</w:t>
      </w:r>
      <w:r w:rsidR="00FF132C">
        <w:t> </w:t>
      </w:r>
      <w:r w:rsidR="006A187B" w:rsidRPr="006A187B">
        <w:t>million Tasmanian Jobs and Growth Plan)</w:t>
      </w:r>
      <w:r w:rsidR="00607C3F">
        <w:t xml:space="preserve"> and</w:t>
      </w:r>
      <w:r w:rsidR="004764EF">
        <w:t xml:space="preserve"> </w:t>
      </w:r>
      <w:r w:rsidR="004764EF" w:rsidRPr="006A187B">
        <w:t>its intention to close the Clean Energy Finance Corporation</w:t>
      </w:r>
      <w:r w:rsidR="00874769">
        <w:t xml:space="preserve">. </w:t>
      </w:r>
      <w:r w:rsidR="00A67193">
        <w:t>Amongst other things, i</w:t>
      </w:r>
      <w:r w:rsidR="00874769">
        <w:t>t also announced</w:t>
      </w:r>
      <w:r w:rsidR="0060332F">
        <w:t>:</w:t>
      </w:r>
      <w:r w:rsidR="00874769">
        <w:t xml:space="preserve"> industry-specific budgetary assistance to passenger motor vehicles manufacturing would be scaled back by $500 million</w:t>
      </w:r>
      <w:r w:rsidR="0060332F">
        <w:t xml:space="preserve">; that it would not be providing </w:t>
      </w:r>
      <w:r w:rsidR="00CB094D">
        <w:t xml:space="preserve">the $25 million </w:t>
      </w:r>
      <w:r w:rsidR="0060332F">
        <w:t>assistance requested by fruit processing company SPC</w:t>
      </w:r>
      <w:r w:rsidR="00292B54">
        <w:t> </w:t>
      </w:r>
      <w:r w:rsidR="0060332F">
        <w:t>Ardmona</w:t>
      </w:r>
      <w:r w:rsidR="003A25E1">
        <w:t xml:space="preserve">; </w:t>
      </w:r>
      <w:r w:rsidR="00CB094D">
        <w:t xml:space="preserve">nor would it be providing a </w:t>
      </w:r>
      <w:r w:rsidR="00D3071B">
        <w:t xml:space="preserve">$3 billion </w:t>
      </w:r>
      <w:r w:rsidR="00CB094D">
        <w:t xml:space="preserve">debt guarantee or line of credit to Qantas; </w:t>
      </w:r>
      <w:r w:rsidR="003A25E1">
        <w:t xml:space="preserve">and that </w:t>
      </w:r>
      <w:r w:rsidR="0007684A">
        <w:rPr>
          <w:lang w:val="en"/>
        </w:rPr>
        <w:t>it will develop a $155</w:t>
      </w:r>
      <w:r w:rsidR="003A25E1">
        <w:rPr>
          <w:lang w:val="en"/>
        </w:rPr>
        <w:t> million growth fund intended ‘to support economically responsible initiatives in regions facing pressure in their manufacturing sectors’</w:t>
      </w:r>
      <w:r w:rsidR="0060332F">
        <w:t xml:space="preserve">. </w:t>
      </w:r>
      <w:r w:rsidR="002C2FF3">
        <w:t>T</w:t>
      </w:r>
      <w:r w:rsidR="00CB094D" w:rsidRPr="00CB094D">
        <w:rPr>
          <w:rStyle w:val="Strong"/>
          <w:b w:val="0"/>
          <w:bCs w:val="0"/>
          <w:sz w:val="26"/>
          <w:szCs w:val="20"/>
          <w:bdr w:val="none" w:sz="0" w:space="0" w:color="auto"/>
        </w:rPr>
        <w:t xml:space="preserve">he Government </w:t>
      </w:r>
      <w:r w:rsidR="002C2FF3">
        <w:rPr>
          <w:rStyle w:val="Strong"/>
          <w:b w:val="0"/>
          <w:bCs w:val="0"/>
          <w:sz w:val="26"/>
          <w:szCs w:val="20"/>
          <w:bdr w:val="none" w:sz="0" w:space="0" w:color="auto"/>
        </w:rPr>
        <w:t>intends to</w:t>
      </w:r>
      <w:r w:rsidR="002C2FF3" w:rsidRPr="00CB094D">
        <w:rPr>
          <w:rStyle w:val="Strong"/>
          <w:b w:val="0"/>
          <w:bCs w:val="0"/>
          <w:sz w:val="26"/>
          <w:szCs w:val="20"/>
          <w:bdr w:val="none" w:sz="0" w:space="0" w:color="auto"/>
        </w:rPr>
        <w:t xml:space="preserve"> </w:t>
      </w:r>
      <w:r w:rsidR="00CB094D" w:rsidRPr="00CB094D">
        <w:rPr>
          <w:rStyle w:val="Strong"/>
          <w:b w:val="0"/>
          <w:bCs w:val="0"/>
          <w:sz w:val="26"/>
          <w:szCs w:val="20"/>
          <w:bdr w:val="none" w:sz="0" w:space="0" w:color="auto"/>
        </w:rPr>
        <w:t>proceed with an election commitment to provide $16</w:t>
      </w:r>
      <w:r w:rsidR="00CB094D">
        <w:rPr>
          <w:rStyle w:val="Strong"/>
          <w:b w:val="0"/>
          <w:bCs w:val="0"/>
          <w:sz w:val="26"/>
          <w:szCs w:val="20"/>
          <w:bdr w:val="none" w:sz="0" w:space="0" w:color="auto"/>
        </w:rPr>
        <w:t> </w:t>
      </w:r>
      <w:r w:rsidR="00CB094D" w:rsidRPr="00CB094D">
        <w:rPr>
          <w:rStyle w:val="Strong"/>
          <w:b w:val="0"/>
          <w:bCs w:val="0"/>
          <w:sz w:val="26"/>
          <w:szCs w:val="20"/>
          <w:bdr w:val="none" w:sz="0" w:space="0" w:color="auto"/>
        </w:rPr>
        <w:t>m</w:t>
      </w:r>
      <w:r w:rsidR="00CB094D">
        <w:rPr>
          <w:rStyle w:val="Strong"/>
          <w:b w:val="0"/>
          <w:bCs w:val="0"/>
          <w:sz w:val="26"/>
          <w:szCs w:val="20"/>
          <w:bdr w:val="none" w:sz="0" w:space="0" w:color="auto"/>
        </w:rPr>
        <w:t>illion</w:t>
      </w:r>
      <w:r w:rsidR="00CB094D" w:rsidRPr="00CB094D">
        <w:rPr>
          <w:rStyle w:val="Strong"/>
          <w:b w:val="0"/>
          <w:bCs w:val="0"/>
          <w:sz w:val="26"/>
          <w:szCs w:val="20"/>
          <w:bdr w:val="none" w:sz="0" w:space="0" w:color="auto"/>
        </w:rPr>
        <w:t xml:space="preserve"> to Cadbury, mostly for its tourist facility</w:t>
      </w:r>
      <w:r w:rsidR="00CB094D" w:rsidRPr="00C533E1">
        <w:t xml:space="preserve">. </w:t>
      </w:r>
    </w:p>
    <w:p w:rsidR="004E0470" w:rsidRDefault="00A02495" w:rsidP="00874769">
      <w:pPr>
        <w:pStyle w:val="BodyText"/>
      </w:pPr>
      <w:r>
        <w:t xml:space="preserve">The </w:t>
      </w:r>
      <w:r w:rsidR="001F7E95">
        <w:t xml:space="preserve">Government </w:t>
      </w:r>
      <w:r>
        <w:t>a</w:t>
      </w:r>
      <w:r w:rsidR="00874769">
        <w:t>sk</w:t>
      </w:r>
      <w:r>
        <w:t>ed</w:t>
      </w:r>
      <w:r w:rsidR="006A187B" w:rsidRPr="006A187B">
        <w:t xml:space="preserve"> </w:t>
      </w:r>
      <w:r w:rsidR="00607C3F">
        <w:t xml:space="preserve">the </w:t>
      </w:r>
      <w:r w:rsidR="004764EF">
        <w:t xml:space="preserve">Productivity </w:t>
      </w:r>
      <w:r w:rsidR="006A187B" w:rsidRPr="006A187B">
        <w:t xml:space="preserve">Commission to </w:t>
      </w:r>
      <w:r w:rsidR="00434670">
        <w:t xml:space="preserve">undertake inquiries into Tasmanian shipping and freight and </w:t>
      </w:r>
      <w:r w:rsidR="00434670" w:rsidRPr="0011127E">
        <w:t>Australia</w:t>
      </w:r>
      <w:r w:rsidR="00F25D69">
        <w:t>’</w:t>
      </w:r>
      <w:r w:rsidR="00434670" w:rsidRPr="0011127E">
        <w:t>s automotive manufacturing industry</w:t>
      </w:r>
      <w:r w:rsidR="006A187B" w:rsidRPr="006A187B">
        <w:t>.</w:t>
      </w:r>
      <w:r w:rsidR="00434670">
        <w:t xml:space="preserve"> </w:t>
      </w:r>
      <w:r w:rsidR="00874769">
        <w:t>The final report</w:t>
      </w:r>
      <w:r w:rsidR="00E94E74">
        <w:t>s</w:t>
      </w:r>
      <w:r w:rsidR="00874769">
        <w:t xml:space="preserve"> </w:t>
      </w:r>
      <w:r w:rsidR="001F7E95">
        <w:t xml:space="preserve">of </w:t>
      </w:r>
      <w:r w:rsidR="00874769">
        <w:t xml:space="preserve">the </w:t>
      </w:r>
      <w:r>
        <w:t>Tasmanian shipping and freight inquiry</w:t>
      </w:r>
      <w:r w:rsidR="00874769">
        <w:t xml:space="preserve"> </w:t>
      </w:r>
      <w:r w:rsidR="00E94E74">
        <w:t xml:space="preserve">and the automotive manufacturing industry </w:t>
      </w:r>
      <w:r w:rsidR="001F7E95">
        <w:t>inquir</w:t>
      </w:r>
      <w:r w:rsidR="00546EEC">
        <w:t>y</w:t>
      </w:r>
      <w:r w:rsidR="001F7E95">
        <w:t xml:space="preserve"> </w:t>
      </w:r>
      <w:r w:rsidR="00E94E74">
        <w:t xml:space="preserve">were </w:t>
      </w:r>
      <w:r w:rsidR="00874769">
        <w:t xml:space="preserve">sent to </w:t>
      </w:r>
      <w:r w:rsidR="001F7E95">
        <w:t xml:space="preserve">the Government </w:t>
      </w:r>
      <w:r w:rsidR="00874769">
        <w:t>on 7</w:t>
      </w:r>
      <w:r w:rsidR="00E94E74">
        <w:t xml:space="preserve"> and 3</w:t>
      </w:r>
      <w:r w:rsidR="001F7E95">
        <w:t>1</w:t>
      </w:r>
      <w:r w:rsidR="00874769">
        <w:t> March</w:t>
      </w:r>
      <w:r w:rsidR="00E94E74">
        <w:t>, respectively</w:t>
      </w:r>
      <w:r w:rsidR="00874769">
        <w:t xml:space="preserve">. </w:t>
      </w:r>
    </w:p>
    <w:p w:rsidR="002514C6" w:rsidRDefault="002514C6" w:rsidP="002514C6">
      <w:pPr>
        <w:pStyle w:val="Heading3"/>
      </w:pPr>
      <w:r>
        <w:t>Recent trade policy developments</w:t>
      </w:r>
    </w:p>
    <w:p w:rsidR="004E0470" w:rsidRDefault="004E0470" w:rsidP="00DF3666">
      <w:pPr>
        <w:pStyle w:val="BodyText"/>
      </w:pPr>
      <w:r>
        <w:t xml:space="preserve">Trade policy can remove barriers </w:t>
      </w:r>
      <w:r w:rsidR="002C1B61">
        <w:t xml:space="preserve">to trade </w:t>
      </w:r>
      <w:r>
        <w:t xml:space="preserve">or it can rearrange them. </w:t>
      </w:r>
      <w:r w:rsidR="00ED2C38">
        <w:t xml:space="preserve">In some instances, the </w:t>
      </w:r>
      <w:r>
        <w:t>change</w:t>
      </w:r>
      <w:r w:rsidR="00ED2C38">
        <w:t>s</w:t>
      </w:r>
      <w:r>
        <w:t xml:space="preserve"> can </w:t>
      </w:r>
      <w:r w:rsidR="00ED2C38">
        <w:t xml:space="preserve">provide </w:t>
      </w:r>
      <w:r>
        <w:t>assist</w:t>
      </w:r>
      <w:r w:rsidR="00ED2C38">
        <w:t>ance to</w:t>
      </w:r>
      <w:r>
        <w:t xml:space="preserve"> </w:t>
      </w:r>
      <w:r w:rsidR="002C1B61">
        <w:t>activities or industries and</w:t>
      </w:r>
      <w:r>
        <w:t xml:space="preserve"> substantially distort efficient resource allocation.</w:t>
      </w:r>
    </w:p>
    <w:p w:rsidR="00DF3666" w:rsidRDefault="00DF3666" w:rsidP="00DF3666">
      <w:pPr>
        <w:pStyle w:val="BodyText"/>
      </w:pPr>
      <w:r>
        <w:t>The 9</w:t>
      </w:r>
      <w:r w:rsidRPr="00C35B43">
        <w:rPr>
          <w:vertAlign w:val="superscript"/>
        </w:rPr>
        <w:t>th</w:t>
      </w:r>
      <w:r>
        <w:t xml:space="preserve"> Ministerial Conference meeting of the WTO’s Doha Round of multilateral trade negotiations was held in Bali, Indonesia from 3 to 6</w:t>
      </w:r>
      <w:r w:rsidR="001F7E95">
        <w:t> </w:t>
      </w:r>
      <w:r>
        <w:t xml:space="preserve">December 2013. The meeting focused on reaching agreement on matters that would constitute a first step toward concluding the Doha Round launched in 2001. Progress with Doha Round negotiations had stalled up until this meeting and expectations for outcomes in Bali were low. Three main issues were discussed at the Bali Conference </w:t>
      </w:r>
      <w:r w:rsidR="00962059">
        <w:t xml:space="preserve">— </w:t>
      </w:r>
      <w:r>
        <w:t xml:space="preserve">trade facilitation, agricultural reform and developing country initiatives. In spite of the reservations that preceded the meeting, the conference was viewed as a success with </w:t>
      </w:r>
      <w:r w:rsidR="00DC7697">
        <w:t xml:space="preserve">the </w:t>
      </w:r>
      <w:r>
        <w:t xml:space="preserve">agreement on trade facilitation </w:t>
      </w:r>
      <w:r w:rsidR="007E5140">
        <w:t xml:space="preserve">being </w:t>
      </w:r>
      <w:r w:rsidR="00D957D8">
        <w:t xml:space="preserve">referred to </w:t>
      </w:r>
      <w:r w:rsidR="007E5140">
        <w:t>as a stepping stone to the completion of the Doha Round</w:t>
      </w:r>
      <w:r w:rsidR="00AD1C5B">
        <w:t>.</w:t>
      </w:r>
      <w:r w:rsidR="00D957D8">
        <w:t xml:space="preserve"> On the remaining matters</w:t>
      </w:r>
      <w:r w:rsidR="00DC7697">
        <w:t>,</w:t>
      </w:r>
      <w:r w:rsidR="00D957D8">
        <w:t xml:space="preserve"> it was agreed </w:t>
      </w:r>
      <w:r w:rsidR="0068792A">
        <w:t xml:space="preserve">that </w:t>
      </w:r>
      <w:r w:rsidR="0068792A">
        <w:lastRenderedPageBreak/>
        <w:t xml:space="preserve">outcomes would be progressed through increased transparency, </w:t>
      </w:r>
      <w:r w:rsidR="0068792A" w:rsidRPr="00704E33">
        <w:t>ongoing dialogue, monitoring and review</w:t>
      </w:r>
      <w:r w:rsidR="00434F90">
        <w:t>.</w:t>
      </w:r>
    </w:p>
    <w:p w:rsidR="008F3E29" w:rsidRDefault="00FE52E4" w:rsidP="008F3E29">
      <w:pPr>
        <w:pStyle w:val="BodyText"/>
      </w:pPr>
      <w:r>
        <w:t xml:space="preserve">In parallel with Doha Round negotiations, national economies have continued to negotiate and enter into bilateral and regional preferential trade agreements. </w:t>
      </w:r>
      <w:r w:rsidR="00B148A5">
        <w:t xml:space="preserve">By the end of 2013, the number of preferential trade agreements in force in the </w:t>
      </w:r>
      <w:r>
        <w:t xml:space="preserve">Asia-Pacific </w:t>
      </w:r>
      <w:r w:rsidR="00B148A5">
        <w:t xml:space="preserve">region had risen to 157, accounting for over </w:t>
      </w:r>
      <w:r w:rsidR="00DC7697">
        <w:t>40 per </w:t>
      </w:r>
      <w:r w:rsidR="00B148A5">
        <w:t>cent of global agreements</w:t>
      </w:r>
      <w:r>
        <w:t xml:space="preserve"> registered with the WTO.</w:t>
      </w:r>
      <w:r w:rsidR="00A16A0E">
        <w:t xml:space="preserve"> </w:t>
      </w:r>
      <w:r w:rsidR="00541435">
        <w:t>Australia signed a bilateral trade agreement with Korea and concluded negotiations on an economic partnership agreement with Japan. Australia also has trade agreements currently in force with New Zealand (in force since 1983), Singapore (2003), Thailand (2005), the United States (2005), Chile (2009), ASEAN and New Zealand (2010) and Malaysia (2013) and is negotiating agreements with a number of other countries including China, India and Indonesia.</w:t>
      </w:r>
    </w:p>
    <w:p w:rsidR="00BA7EF0" w:rsidRDefault="00FE52E4" w:rsidP="00D957D8">
      <w:pPr>
        <w:pStyle w:val="BodyText"/>
      </w:pPr>
      <w:r>
        <w:t>N</w:t>
      </w:r>
      <w:r w:rsidR="00D957D8">
        <w:t xml:space="preserve">egotiations also continued on the proposed </w:t>
      </w:r>
      <w:r w:rsidR="0007684A">
        <w:t>Trans-</w:t>
      </w:r>
      <w:r>
        <w:t xml:space="preserve">Pacific Partnership and the </w:t>
      </w:r>
      <w:r w:rsidR="00D957D8">
        <w:t xml:space="preserve">Regional Comprehensive Economic Partnership. </w:t>
      </w:r>
      <w:r w:rsidR="002B08B1">
        <w:t xml:space="preserve">The two </w:t>
      </w:r>
      <w:r w:rsidR="005348B8">
        <w:t xml:space="preserve">regional </w:t>
      </w:r>
      <w:r w:rsidR="002B08B1">
        <w:t>agreements, if formed to include the current negotiating parties</w:t>
      </w:r>
      <w:r w:rsidR="005348B8">
        <w:t>,</w:t>
      </w:r>
      <w:r w:rsidR="002B08B1">
        <w:t xml:space="preserve"> would constitute two </w:t>
      </w:r>
      <w:r w:rsidR="00A4536C">
        <w:t>discriminatory</w:t>
      </w:r>
      <w:r w:rsidR="002B08B1">
        <w:t xml:space="preserve"> trading blocs with limited overlap in member-to-member trade.</w:t>
      </w:r>
      <w:r w:rsidR="00D957D8">
        <w:t xml:space="preserve"> </w:t>
      </w:r>
    </w:p>
    <w:p w:rsidR="00D957D8" w:rsidRPr="009024B0" w:rsidRDefault="00BA7EF0" w:rsidP="00D957D8">
      <w:pPr>
        <w:pStyle w:val="BodyText"/>
      </w:pPr>
      <w:r>
        <w:rPr>
          <w:lang w:val="en-GB"/>
        </w:rPr>
        <w:t xml:space="preserve">In its 2010 report into bilateral and regional trade agreements, the Commission concluded that </w:t>
      </w:r>
      <w:r w:rsidRPr="00F1789B">
        <w:rPr>
          <w:lang w:val="en-GB"/>
        </w:rPr>
        <w:t>increase</w:t>
      </w:r>
      <w:r>
        <w:rPr>
          <w:lang w:val="en-GB"/>
        </w:rPr>
        <w:t>s</w:t>
      </w:r>
      <w:r w:rsidR="002C1B61">
        <w:rPr>
          <w:lang w:val="en-GB"/>
        </w:rPr>
        <w:t>, if any,</w:t>
      </w:r>
      <w:r w:rsidRPr="00F1789B">
        <w:rPr>
          <w:lang w:val="en-GB"/>
        </w:rPr>
        <w:t xml:space="preserve"> in </w:t>
      </w:r>
      <w:r w:rsidR="004E0470">
        <w:rPr>
          <w:lang w:val="en-GB"/>
        </w:rPr>
        <w:t xml:space="preserve">net </w:t>
      </w:r>
      <w:r w:rsidRPr="00F1789B">
        <w:rPr>
          <w:lang w:val="en-GB"/>
        </w:rPr>
        <w:t xml:space="preserve">national income </w:t>
      </w:r>
      <w:r>
        <w:rPr>
          <w:lang w:val="en-GB"/>
        </w:rPr>
        <w:t xml:space="preserve">accruing </w:t>
      </w:r>
      <w:r w:rsidRPr="00F1789B">
        <w:rPr>
          <w:lang w:val="en-GB"/>
        </w:rPr>
        <w:t xml:space="preserve">from preferential agreements </w:t>
      </w:r>
      <w:r w:rsidR="00DF219E">
        <w:rPr>
          <w:lang w:val="en-GB"/>
        </w:rPr>
        <w:t>are</w:t>
      </w:r>
      <w:r w:rsidR="00DF219E" w:rsidRPr="00F1789B">
        <w:rPr>
          <w:lang w:val="en-GB"/>
        </w:rPr>
        <w:t xml:space="preserve"> </w:t>
      </w:r>
      <w:r w:rsidRPr="00F1789B">
        <w:rPr>
          <w:lang w:val="en-GB"/>
        </w:rPr>
        <w:t>likely to be modest.</w:t>
      </w:r>
      <w:r>
        <w:rPr>
          <w:lang w:val="en-GB"/>
        </w:rPr>
        <w:t xml:space="preserve"> </w:t>
      </w:r>
      <w:r>
        <w:t>The Commission also concluded that c</w:t>
      </w:r>
      <w:r w:rsidRPr="00F1789B">
        <w:t xml:space="preserve">urrent processes for assessing </w:t>
      </w:r>
      <w:r>
        <w:t xml:space="preserve">bilateral and regional agreements </w:t>
      </w:r>
      <w:r w:rsidRPr="00F1789B">
        <w:t>lack</w:t>
      </w:r>
      <w:r>
        <w:t>ed</w:t>
      </w:r>
      <w:r w:rsidRPr="00F1789B">
        <w:t xml:space="preserve"> transparency and tend</w:t>
      </w:r>
      <w:r>
        <w:t>ed</w:t>
      </w:r>
      <w:r w:rsidRPr="00F1789B">
        <w:t xml:space="preserve"> to oversell the likely </w:t>
      </w:r>
      <w:r>
        <w:t xml:space="preserve">economic </w:t>
      </w:r>
      <w:r w:rsidRPr="00F1789B">
        <w:t xml:space="preserve">benefits. To help ensure that </w:t>
      </w:r>
      <w:r>
        <w:t>bilateral and regional trade agreements</w:t>
      </w:r>
      <w:r w:rsidRPr="00F1789B">
        <w:t xml:space="preserve"> entered into are in Australia’s </w:t>
      </w:r>
      <w:r>
        <w:t xml:space="preserve">best </w:t>
      </w:r>
      <w:r w:rsidRPr="00F1789B">
        <w:t>interests</w:t>
      </w:r>
      <w:r>
        <w:t>, it recommended that a</w:t>
      </w:r>
      <w:r w:rsidRPr="00F1789B">
        <w:t xml:space="preserve"> full and public assessment of a proposed agreement should be made after negotiations have concluded</w:t>
      </w:r>
      <w:r>
        <w:t xml:space="preserve">. Such an evaluation would </w:t>
      </w:r>
      <w:r w:rsidRPr="00F1789B">
        <w:t>cover all of the actual negotiated provisions.</w:t>
      </w:r>
    </w:p>
    <w:p w:rsidR="005348B8" w:rsidRDefault="008F3E29" w:rsidP="00DF3666">
      <w:pPr>
        <w:pStyle w:val="BodyText"/>
      </w:pPr>
      <w:r>
        <w:t xml:space="preserve">A key feature of </w:t>
      </w:r>
      <w:r w:rsidR="00D72EEA">
        <w:t xml:space="preserve">preferential trade </w:t>
      </w:r>
      <w:r>
        <w:t xml:space="preserve">agreements </w:t>
      </w:r>
      <w:r w:rsidR="00656B01">
        <w:t xml:space="preserve">is the </w:t>
      </w:r>
      <w:r>
        <w:t xml:space="preserve">rules of origin </w:t>
      </w:r>
      <w:r w:rsidR="00656B01">
        <w:t xml:space="preserve">that </w:t>
      </w:r>
      <w:r>
        <w:t>determine whether a specific product is eligible for preferential market access. The rules of origin in each of Australia’s bilateral agreements have their own requirements that are subject to detailed negotiations in their formation</w:t>
      </w:r>
      <w:r w:rsidR="00795E1A">
        <w:t xml:space="preserve"> (figure </w:t>
      </w:r>
      <w:r w:rsidR="00C533E1">
        <w:t>4</w:t>
      </w:r>
      <w:r w:rsidR="00795E1A">
        <w:t>)</w:t>
      </w:r>
      <w:r>
        <w:t>. As a consequence, there is considerable variation in the way origin rules are structured between agreements</w:t>
      </w:r>
      <w:r w:rsidR="004E0470">
        <w:t>,</w:t>
      </w:r>
      <w:r w:rsidR="00016C00">
        <w:t xml:space="preserve"> adding to complexity</w:t>
      </w:r>
      <w:r w:rsidR="00D72EEA">
        <w:t>.</w:t>
      </w:r>
      <w:r w:rsidR="00016C00" w:rsidRPr="00016C00">
        <w:t xml:space="preserve"> </w:t>
      </w:r>
      <w:r w:rsidR="00016C00">
        <w:t>Such complexity adds to the compliance costs for firms engaging in trade</w:t>
      </w:r>
      <w:r w:rsidR="00656B01">
        <w:t xml:space="preserve">. The origin requirements </w:t>
      </w:r>
      <w:r w:rsidR="00C67EC1">
        <w:t xml:space="preserve">and the complexity of the rules are </w:t>
      </w:r>
      <w:r w:rsidR="00656B01">
        <w:t>likely to</w:t>
      </w:r>
      <w:r w:rsidR="00C67EC1">
        <w:t xml:space="preserve"> impede competition</w:t>
      </w:r>
      <w:r w:rsidR="00016C00">
        <w:t>.</w:t>
      </w:r>
    </w:p>
    <w:p w:rsidR="00532B34" w:rsidRDefault="00532B34" w:rsidP="00532B34">
      <w:pPr>
        <w:pStyle w:val="FigureTitle"/>
        <w:rPr>
          <w:rStyle w:val="NoteLabel"/>
        </w:rPr>
      </w:pPr>
      <w:r>
        <w:rPr>
          <w:b w:val="0"/>
        </w:rPr>
        <w:lastRenderedPageBreak/>
        <w:t xml:space="preserve">Figure </w:t>
      </w:r>
      <w:r w:rsidR="00B4431D">
        <w:rPr>
          <w:b w:val="0"/>
        </w:rPr>
        <w:t>4</w:t>
      </w:r>
      <w:r>
        <w:rPr>
          <w:b w:val="0"/>
        </w:rPr>
        <w:tab/>
      </w:r>
      <w:r w:rsidR="00C047E6">
        <w:t>The</w:t>
      </w:r>
      <w:r>
        <w:t xml:space="preserve"> </w:t>
      </w:r>
      <w:r w:rsidR="00C047E6">
        <w:t xml:space="preserve">structure of rules of </w:t>
      </w:r>
      <w:r>
        <w:t xml:space="preserve">origin </w:t>
      </w:r>
      <w:r w:rsidR="00C047E6">
        <w:t xml:space="preserve">varies substantially between </w:t>
      </w:r>
      <w:r>
        <w:t>preferential trade agreements</w:t>
      </w:r>
      <w:r w:rsidRPr="003C472B">
        <w:rPr>
          <w:rStyle w:val="NoteLabel"/>
        </w:rPr>
        <w:t>a</w:t>
      </w:r>
      <w:r w:rsidRPr="001E04DA">
        <w:rPr>
          <w:rStyle w:val="NoteLabel"/>
        </w:rPr>
        <w:t>,</w:t>
      </w:r>
      <w:r>
        <w:rPr>
          <w:rStyle w:val="NoteLabel"/>
        </w:rPr>
        <w:t>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532B34" w:rsidTr="00945C48">
        <w:tc>
          <w:tcPr>
            <w:tcW w:w="4388" w:type="dxa"/>
            <w:tcBorders>
              <w:bottom w:val="nil"/>
            </w:tcBorders>
          </w:tcPr>
          <w:p w:rsidR="00532B34" w:rsidRDefault="00532B34" w:rsidP="008B5198">
            <w:pPr>
              <w:pStyle w:val="TableColumnHeading"/>
              <w:jc w:val="center"/>
              <w:rPr>
                <w:rStyle w:val="NoteLabel"/>
              </w:rPr>
            </w:pPr>
            <w:r>
              <w:t>Rule for determining origin</w:t>
            </w:r>
          </w:p>
          <w:p w:rsidR="00532B34" w:rsidRDefault="00532B34" w:rsidP="008B5198">
            <w:pPr>
              <w:pStyle w:val="TableColumnHeading"/>
              <w:jc w:val="center"/>
            </w:pPr>
            <w:r w:rsidRPr="001E04DA">
              <w:rPr>
                <w:i w:val="0"/>
              </w:rPr>
              <w:t xml:space="preserve">Per cent </w:t>
            </w:r>
            <w:r>
              <w:rPr>
                <w:i w:val="0"/>
              </w:rPr>
              <w:t xml:space="preserve">of </w:t>
            </w:r>
            <w:r w:rsidR="00016C00">
              <w:rPr>
                <w:i w:val="0"/>
              </w:rPr>
              <w:t xml:space="preserve">listed </w:t>
            </w:r>
            <w:r>
              <w:rPr>
                <w:i w:val="0"/>
              </w:rPr>
              <w:t>rules</w:t>
            </w:r>
            <w:r w:rsidRPr="0091321C">
              <w:rPr>
                <w:rStyle w:val="NoteLabel"/>
              </w:rPr>
              <w:t>c</w:t>
            </w:r>
          </w:p>
        </w:tc>
        <w:tc>
          <w:tcPr>
            <w:tcW w:w="4389" w:type="dxa"/>
            <w:tcBorders>
              <w:bottom w:val="nil"/>
            </w:tcBorders>
          </w:tcPr>
          <w:p w:rsidR="00532B34" w:rsidRDefault="00532B34" w:rsidP="008B5198">
            <w:pPr>
              <w:pStyle w:val="TableColumnHeading"/>
              <w:jc w:val="center"/>
              <w:rPr>
                <w:rStyle w:val="NoteLabel"/>
              </w:rPr>
            </w:pPr>
            <w:r>
              <w:t>Application of</w:t>
            </w:r>
            <w:r w:rsidR="00FE5066">
              <w:t xml:space="preserve"> the</w:t>
            </w:r>
            <w:r>
              <w:t xml:space="preserve"> CTC method</w:t>
            </w:r>
          </w:p>
          <w:p w:rsidR="00532B34" w:rsidRDefault="00532B34" w:rsidP="005E0F2C">
            <w:pPr>
              <w:pStyle w:val="TableColumnHeading"/>
              <w:jc w:val="center"/>
            </w:pPr>
            <w:r w:rsidRPr="001E04DA">
              <w:rPr>
                <w:i w:val="0"/>
              </w:rPr>
              <w:t xml:space="preserve">Per cent of </w:t>
            </w:r>
            <w:r w:rsidR="00016C00">
              <w:rPr>
                <w:i w:val="0"/>
              </w:rPr>
              <w:t xml:space="preserve">listed </w:t>
            </w:r>
            <w:r w:rsidR="005E0F2C">
              <w:rPr>
                <w:i w:val="0"/>
              </w:rPr>
              <w:t xml:space="preserve">CTC </w:t>
            </w:r>
            <w:r>
              <w:rPr>
                <w:i w:val="0"/>
              </w:rPr>
              <w:t>rules</w:t>
            </w:r>
            <w:r w:rsidRPr="0091321C">
              <w:rPr>
                <w:rStyle w:val="NoteLabel"/>
              </w:rPr>
              <w:t>c</w:t>
            </w:r>
          </w:p>
        </w:tc>
      </w:tr>
      <w:tr w:rsidR="00945C48" w:rsidTr="006026E5">
        <w:tblPrEx>
          <w:tblCellMar>
            <w:left w:w="108" w:type="dxa"/>
            <w:right w:w="108" w:type="dxa"/>
          </w:tblCellMar>
        </w:tblPrEx>
        <w:tc>
          <w:tcPr>
            <w:tcW w:w="4388" w:type="dxa"/>
          </w:tcPr>
          <w:p w:rsidR="00945C48" w:rsidRPr="00CA6AAF" w:rsidRDefault="006026E5" w:rsidP="00A9368D">
            <w:pPr>
              <w:pStyle w:val="TableColumnHeading"/>
              <w:jc w:val="center"/>
              <w:rPr>
                <w:b/>
                <w:position w:val="6"/>
                <w:sz w:val="18"/>
              </w:rPr>
            </w:pPr>
            <w:r>
              <w:rPr>
                <w:noProof/>
              </w:rPr>
              <w:drawing>
                <wp:inline distT="0" distB="0" distL="0" distR="0" wp14:anchorId="4435D967" wp14:editId="60E21A6F">
                  <wp:extent cx="2628901" cy="2900364"/>
                  <wp:effectExtent l="0" t="0" r="0" b="0"/>
                  <wp:docPr id="4" name="Chart 4" descr="Figure 4. The structure of rules of origin varies substantially between preferential trade agreements. This figure is described in the footnotes to the figure and in the surrounding text. "/>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4389" w:type="dxa"/>
          </w:tcPr>
          <w:p w:rsidR="00945C48" w:rsidRPr="00CA6AAF" w:rsidRDefault="006026E5" w:rsidP="007004D6">
            <w:pPr>
              <w:pStyle w:val="TableColumnHeading"/>
              <w:jc w:val="center"/>
              <w:rPr>
                <w:b/>
                <w:position w:val="6"/>
                <w:sz w:val="18"/>
              </w:rPr>
            </w:pPr>
            <w:r>
              <w:rPr>
                <w:noProof/>
              </w:rPr>
              <w:drawing>
                <wp:inline distT="0" distB="0" distL="0" distR="0" wp14:anchorId="5D1D023E" wp14:editId="3CEBF045">
                  <wp:extent cx="2638427" cy="2924176"/>
                  <wp:effectExtent l="0" t="0" r="0" b="0"/>
                  <wp:docPr id="5" name="Chart 5" descr="Figure 4. The structure of rules of origin varies substantially between preferential trade agreements. This figure is described in the footnotes to the figure and in the surrounding text. "/>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532B34" w:rsidRPr="00944610" w:rsidRDefault="00532B34" w:rsidP="00532B34">
      <w:pPr>
        <w:pStyle w:val="Source"/>
        <w:rPr>
          <w:rStyle w:val="NoteChar"/>
        </w:rPr>
      </w:pPr>
      <w:r>
        <w:rPr>
          <w:rStyle w:val="NoteLabel"/>
        </w:rPr>
        <w:t>a</w:t>
      </w:r>
      <w:r w:rsidRPr="003C472B">
        <w:t xml:space="preserve"> </w:t>
      </w:r>
      <w:r>
        <w:t>‘</w:t>
      </w:r>
      <w:r w:rsidRPr="00444D16">
        <w:rPr>
          <w:rStyle w:val="NoteChar"/>
        </w:rPr>
        <w:t>CTC</w:t>
      </w:r>
      <w:r>
        <w:rPr>
          <w:rStyle w:val="NoteChar"/>
        </w:rPr>
        <w:t>’</w:t>
      </w:r>
      <w:r w:rsidRPr="00444D16">
        <w:rPr>
          <w:rStyle w:val="NoteChar"/>
        </w:rPr>
        <w:t xml:space="preserve"> refers to a change in tariff classification test. </w:t>
      </w:r>
      <w:r>
        <w:rPr>
          <w:rStyle w:val="NoteChar"/>
        </w:rPr>
        <w:t>‘</w:t>
      </w:r>
      <w:r w:rsidRPr="00444D16">
        <w:rPr>
          <w:rStyle w:val="NoteChar"/>
        </w:rPr>
        <w:t>RVC</w:t>
      </w:r>
      <w:r>
        <w:rPr>
          <w:rStyle w:val="NoteChar"/>
        </w:rPr>
        <w:t>’</w:t>
      </w:r>
      <w:r w:rsidRPr="00444D16">
        <w:rPr>
          <w:rStyle w:val="NoteChar"/>
        </w:rPr>
        <w:t xml:space="preserve"> refers to a regional value content rule.</w:t>
      </w:r>
      <w:r>
        <w:rPr>
          <w:rStyle w:val="NoteChar"/>
        </w:rPr>
        <w:t xml:space="preserve"> ‘Other’ includes, for example, combined CTC and RVC rules, CTC rules with </w:t>
      </w:r>
      <w:r w:rsidR="00016C00">
        <w:rPr>
          <w:rStyle w:val="NoteChar"/>
        </w:rPr>
        <w:t>exceptions</w:t>
      </w:r>
      <w:r>
        <w:rPr>
          <w:rStyle w:val="NoteChar"/>
        </w:rPr>
        <w:t xml:space="preserve"> and specified process tests that require particular production methods to be used to qualify for preferential entry. </w:t>
      </w:r>
      <w:r w:rsidRPr="000B44B7">
        <w:rPr>
          <w:rStyle w:val="NoteLabel"/>
        </w:rPr>
        <w:t>b</w:t>
      </w:r>
      <w:r>
        <w:rPr>
          <w:rStyle w:val="NoteLabel"/>
        </w:rPr>
        <w:t> </w:t>
      </w:r>
      <w:r>
        <w:rPr>
          <w:rStyle w:val="NoteChar"/>
        </w:rPr>
        <w:t xml:space="preserve">The agreement with Singapore is not included as it applies a single three-tiered test of origin based on location of production and, for manufactured goods, an RVC requirement. </w:t>
      </w:r>
      <w:r w:rsidRPr="0091321C">
        <w:rPr>
          <w:rStyle w:val="NoteLabel"/>
        </w:rPr>
        <w:t>c</w:t>
      </w:r>
      <w:r>
        <w:rPr>
          <w:rStyle w:val="NoteChar"/>
        </w:rPr>
        <w:t xml:space="preserve"> </w:t>
      </w:r>
      <w:r w:rsidR="00D03EE1">
        <w:rPr>
          <w:rStyle w:val="NoteChar"/>
        </w:rPr>
        <w:t>Individual rules can be expressed at the 4 digit heading level, the 6 digit sub-heading level or for groupings of tariff line items. The number of listed rules therefore differs between agreements</w:t>
      </w:r>
      <w:r>
        <w:rPr>
          <w:rStyle w:val="NoteChar"/>
        </w:rPr>
        <w:t xml:space="preserve">. </w:t>
      </w:r>
    </w:p>
    <w:p w:rsidR="00B148A5" w:rsidRDefault="009E1A11" w:rsidP="00DF3666">
      <w:pPr>
        <w:pStyle w:val="BodyText"/>
      </w:pPr>
      <w:r>
        <w:t xml:space="preserve">While effort could be committed to simplifying and unifying rules of origin </w:t>
      </w:r>
      <w:r w:rsidR="00BB30F7">
        <w:t>across</w:t>
      </w:r>
      <w:r>
        <w:t xml:space="preserve"> agreements, the simplest and most beneficial approach to addressing </w:t>
      </w:r>
      <w:r w:rsidR="004E0470" w:rsidRPr="00FF132C">
        <w:rPr>
          <w:i/>
        </w:rPr>
        <w:t>inter alia</w:t>
      </w:r>
      <w:r w:rsidR="004E0470">
        <w:t xml:space="preserve"> </w:t>
      </w:r>
      <w:r>
        <w:t xml:space="preserve">rules of origin would be to unilaterally </w:t>
      </w:r>
      <w:r w:rsidR="00D72EEA">
        <w:t xml:space="preserve">reduce </w:t>
      </w:r>
      <w:r>
        <w:t xml:space="preserve">tariff barriers </w:t>
      </w:r>
      <w:r w:rsidR="00D72EEA">
        <w:t>on a most favoured nation basis,</w:t>
      </w:r>
      <w:r>
        <w:t xml:space="preserve"> thereby </w:t>
      </w:r>
      <w:r w:rsidR="00BB30F7">
        <w:t xml:space="preserve">eliminating altogether </w:t>
      </w:r>
      <w:r>
        <w:t xml:space="preserve">the need for </w:t>
      </w:r>
      <w:r w:rsidR="00BB30F7">
        <w:t xml:space="preserve">preferential </w:t>
      </w:r>
      <w:r>
        <w:t>rules of origin on imports.</w:t>
      </w:r>
      <w:r w:rsidR="00D72EEA">
        <w:t xml:space="preserve"> </w:t>
      </w:r>
    </w:p>
    <w:p w:rsidR="002514C6" w:rsidRDefault="00ED2C38" w:rsidP="002514C6">
      <w:pPr>
        <w:pStyle w:val="Heading3"/>
      </w:pPr>
      <w:r>
        <w:t>Assistance to the Defence industry</w:t>
      </w:r>
    </w:p>
    <w:p w:rsidR="00BD531E" w:rsidRDefault="00B81389" w:rsidP="00BD531E">
      <w:pPr>
        <w:pStyle w:val="BodyText"/>
      </w:pPr>
      <w:r>
        <w:t xml:space="preserve">By varying the size, nature and timing of local defence purchases, Government significantly shapes the defence industry and the location of its activities. </w:t>
      </w:r>
    </w:p>
    <w:p w:rsidR="00502D89" w:rsidRDefault="00502D89" w:rsidP="005439D8">
      <w:pPr>
        <w:pStyle w:val="BodyText"/>
      </w:pPr>
      <w:r>
        <w:t xml:space="preserve">Defence industry assistance comes in </w:t>
      </w:r>
      <w:r w:rsidR="003263BF">
        <w:t xml:space="preserve">a </w:t>
      </w:r>
      <w:r>
        <w:t xml:space="preserve">number of forms including cost premiums for local purchasing preferences as well as budgetary support for skilling, research and exporting. </w:t>
      </w:r>
    </w:p>
    <w:p w:rsidR="00B26A35" w:rsidRDefault="00B724F4" w:rsidP="005D0466">
      <w:pPr>
        <w:pStyle w:val="BodyText"/>
      </w:pPr>
      <w:r>
        <w:lastRenderedPageBreak/>
        <w:t xml:space="preserve">The </w:t>
      </w:r>
      <w:r w:rsidR="00FE5AA1">
        <w:t xml:space="preserve">current </w:t>
      </w:r>
      <w:r>
        <w:t xml:space="preserve">Australian Industry Capability program </w:t>
      </w:r>
      <w:r w:rsidR="00990F2F">
        <w:t xml:space="preserve">potentially </w:t>
      </w:r>
      <w:r>
        <w:t xml:space="preserve">leverages work for local suppliers by including in tender requirements a definition that, for tenders to represent value for money, tenderers must describe how their proposed approach will enhance </w:t>
      </w:r>
      <w:r w:rsidR="00ED2C38">
        <w:t xml:space="preserve">domestic </w:t>
      </w:r>
      <w:r>
        <w:t xml:space="preserve">defence industry capabilities. The ‘Defence Capabilities’ are a set of </w:t>
      </w:r>
      <w:r w:rsidR="00FE5AA1">
        <w:t xml:space="preserve">24 </w:t>
      </w:r>
      <w:r>
        <w:t>pre-determined activities that must be resident within Australia or enhance self</w:t>
      </w:r>
      <w:r w:rsidR="00DC7697">
        <w:noBreakHyphen/>
      </w:r>
      <w:r>
        <w:t xml:space="preserve">reliance. The </w:t>
      </w:r>
      <w:r w:rsidR="00502D89">
        <w:t>i</w:t>
      </w:r>
      <w:r w:rsidR="00B26A35">
        <w:t xml:space="preserve">ndustry </w:t>
      </w:r>
      <w:r w:rsidR="00502D89">
        <w:t>c</w:t>
      </w:r>
      <w:r w:rsidR="00B26A35">
        <w:t xml:space="preserve">apability </w:t>
      </w:r>
      <w:r>
        <w:t>program evolved out of earlier schemes from the 1970s and 1980s that mandated both explicit levels of local activity (such as requiring local work for Australian industry of 30 per cent of the value of foreign contracts, though not necessarily tied to the actual purchase) and preference margins for local bids (such as tolerance of a 20 per cent cost premium).</w:t>
      </w:r>
      <w:r w:rsidR="005D0466">
        <w:t xml:space="preserve"> </w:t>
      </w:r>
    </w:p>
    <w:p w:rsidR="004E0470" w:rsidRDefault="00502D89" w:rsidP="005D0466">
      <w:pPr>
        <w:pStyle w:val="BodyText"/>
      </w:pPr>
      <w:r>
        <w:t xml:space="preserve">Significant cost premiums can also be incurred by choosing to modify off-the-shelf equipment or pursuing bespoke designs. </w:t>
      </w:r>
      <w:r w:rsidR="00FE5AA1">
        <w:t>A k</w:t>
      </w:r>
      <w:r w:rsidR="00FE5AA1" w:rsidRPr="003B3273">
        <w:t xml:space="preserve">ey policy question </w:t>
      </w:r>
      <w:r w:rsidR="00FE5AA1">
        <w:t xml:space="preserve">is whether </w:t>
      </w:r>
      <w:r w:rsidR="00FE5AA1" w:rsidRPr="003B3273">
        <w:t>the magnitude of</w:t>
      </w:r>
      <w:r w:rsidR="00FE5AA1">
        <w:t xml:space="preserve"> </w:t>
      </w:r>
      <w:r w:rsidR="00FE5AA1" w:rsidRPr="00B724F4">
        <w:rPr>
          <w:i/>
        </w:rPr>
        <w:t>additional</w:t>
      </w:r>
      <w:r w:rsidR="00FE5AA1">
        <w:t xml:space="preserve"> costs (</w:t>
      </w:r>
      <w:r w:rsidR="00C73CDF">
        <w:t>that is,</w:t>
      </w:r>
      <w:r w:rsidR="004E0470">
        <w:t xml:space="preserve"> the </w:t>
      </w:r>
      <w:r w:rsidR="00FE5AA1" w:rsidRPr="003B3273">
        <w:t>premium</w:t>
      </w:r>
      <w:r w:rsidR="00FE5AA1">
        <w:t>)</w:t>
      </w:r>
      <w:r w:rsidR="00FE5AA1" w:rsidRPr="003B3273">
        <w:t xml:space="preserve"> associated with </w:t>
      </w:r>
      <w:r w:rsidR="00FE5AA1">
        <w:t xml:space="preserve">domestic supply </w:t>
      </w:r>
      <w:r w:rsidR="00795E1A">
        <w:t xml:space="preserve">and/or enhanced design </w:t>
      </w:r>
      <w:r w:rsidR="00FE5AA1">
        <w:t xml:space="preserve">is commensurate with any </w:t>
      </w:r>
      <w:r w:rsidR="00FE5AA1" w:rsidRPr="00B724F4">
        <w:rPr>
          <w:i/>
        </w:rPr>
        <w:t>additional</w:t>
      </w:r>
      <w:r w:rsidR="00FE5AA1">
        <w:t xml:space="preserve"> </w:t>
      </w:r>
      <w:r>
        <w:t>capability</w:t>
      </w:r>
      <w:r w:rsidR="00FE5AA1" w:rsidRPr="003B3273">
        <w:t xml:space="preserve"> benefits.</w:t>
      </w:r>
      <w:r w:rsidR="00FE5AA1">
        <w:t xml:space="preserve"> </w:t>
      </w:r>
    </w:p>
    <w:p w:rsidR="005D0466" w:rsidRDefault="00991EE8" w:rsidP="005D0466">
      <w:pPr>
        <w:pStyle w:val="BodyText"/>
      </w:pPr>
      <w:r>
        <w:t>Such a comparative analysis</w:t>
      </w:r>
      <w:r w:rsidR="005D0466">
        <w:t xml:space="preserve"> contrasts with </w:t>
      </w:r>
      <w:r w:rsidR="004E0470">
        <w:t xml:space="preserve">common but </w:t>
      </w:r>
      <w:r w:rsidR="005D0466">
        <w:t>misleading gross multiplier analysis</w:t>
      </w:r>
      <w:r>
        <w:t xml:space="preserve">. </w:t>
      </w:r>
      <w:r w:rsidR="00B26A35">
        <w:t xml:space="preserve">Such </w:t>
      </w:r>
      <w:r w:rsidR="005D0466">
        <w:t xml:space="preserve">multiplier analysis </w:t>
      </w:r>
      <w:r w:rsidR="004E0470">
        <w:t xml:space="preserve">most often </w:t>
      </w:r>
      <w:r w:rsidR="005D0466">
        <w:t xml:space="preserve">fails to take into account constraints on the availability of land, labour and capital and the productive efficiency with which those resources are used — </w:t>
      </w:r>
      <w:r w:rsidR="00327642">
        <w:t>compared to their alternative use. F</w:t>
      </w:r>
      <w:r w:rsidR="005D0466">
        <w:t xml:space="preserve">or large defence projects, </w:t>
      </w:r>
      <w:r w:rsidR="00327642">
        <w:t xml:space="preserve">these considerations </w:t>
      </w:r>
      <w:r w:rsidR="005D0466">
        <w:t xml:space="preserve">are of national as well as </w:t>
      </w:r>
      <w:r w:rsidR="00B26A35">
        <w:t xml:space="preserve">industry and </w:t>
      </w:r>
      <w:r w:rsidR="005D0466">
        <w:t xml:space="preserve">regional consequence. </w:t>
      </w:r>
      <w:r w:rsidR="005D0466">
        <w:rPr>
          <w:szCs w:val="26"/>
        </w:rPr>
        <w:t>Moreover</w:t>
      </w:r>
      <w:r w:rsidR="005D0466" w:rsidRPr="0063622A">
        <w:rPr>
          <w:szCs w:val="26"/>
        </w:rPr>
        <w:t xml:space="preserve">, the </w:t>
      </w:r>
      <w:r w:rsidR="005D0466">
        <w:t xml:space="preserve">costs </w:t>
      </w:r>
      <w:r w:rsidR="00327642">
        <w:t xml:space="preserve">of financing the premium </w:t>
      </w:r>
      <w:r w:rsidR="005D0466">
        <w:t xml:space="preserve">(whether </w:t>
      </w:r>
      <w:r w:rsidR="00327642">
        <w:t xml:space="preserve">the costs are </w:t>
      </w:r>
      <w:r w:rsidR="005D0466">
        <w:t>in the form of reduced expenditure on other public services, increased taxes, or higher debt) must be taken into account. These opportunity costs have (negative) multiplier (flow-on effects) themselves.</w:t>
      </w:r>
    </w:p>
    <w:p w:rsidR="005D0466" w:rsidRDefault="005D0466" w:rsidP="005D0466">
      <w:pPr>
        <w:pStyle w:val="BodyText"/>
      </w:pPr>
      <w:r>
        <w:t xml:space="preserve">Given the potential cost from eschewing off-the-shelf options to pursue a local </w:t>
      </w:r>
      <w:r w:rsidR="00141E69">
        <w:t xml:space="preserve">(or overseas) </w:t>
      </w:r>
      <w:r>
        <w:t xml:space="preserve">developmental or bespoke design, previous reviews have recommended that Defence purchasing submissions to </w:t>
      </w:r>
      <w:r w:rsidR="00DC7697">
        <w:t xml:space="preserve">Government </w:t>
      </w:r>
      <w:r>
        <w:t>include adequate advice on off</w:t>
      </w:r>
      <w:r w:rsidR="00DC7697">
        <w:noBreakHyphen/>
      </w:r>
      <w:r>
        <w:t>the</w:t>
      </w:r>
      <w:r w:rsidR="00DC7697">
        <w:noBreakHyphen/>
      </w:r>
      <w:r>
        <w:t>shelf options. However, the Australian National Audit Office recently concluded that such action has yet to be achieved in all cases. At present</w:t>
      </w:r>
      <w:r w:rsidR="00E80663">
        <w:t>,</w:t>
      </w:r>
      <w:r>
        <w:t xml:space="preserve"> there is no mechanism to ensure compliance with this requirement, other than the Government insisting on ‘adequate’ advice. To </w:t>
      </w:r>
      <w:r w:rsidR="00235363">
        <w:t>justify the difference a</w:t>
      </w:r>
      <w:r w:rsidR="00466280">
        <w:t>nd to encourage an appropriate</w:t>
      </w:r>
      <w:r w:rsidR="00235363">
        <w:t xml:space="preserve"> analytical approach to such large discretionary spending, </w:t>
      </w:r>
      <w:r>
        <w:t>the estimated premium (for non-off</w:t>
      </w:r>
      <w:r w:rsidR="00CA54AA">
        <w:t>-</w:t>
      </w:r>
      <w:r>
        <w:t>the</w:t>
      </w:r>
      <w:r w:rsidR="00CA54AA">
        <w:t>-</w:t>
      </w:r>
      <w:r>
        <w:t xml:space="preserve">shelf </w:t>
      </w:r>
      <w:r w:rsidR="00CA54AA">
        <w:t xml:space="preserve">and local build </w:t>
      </w:r>
      <w:r>
        <w:t xml:space="preserve">choices) </w:t>
      </w:r>
      <w:r w:rsidR="00235363">
        <w:t>c</w:t>
      </w:r>
      <w:r>
        <w:t xml:space="preserve">ould be made public </w:t>
      </w:r>
      <w:r w:rsidR="000859FB">
        <w:t xml:space="preserve">soon </w:t>
      </w:r>
      <w:r>
        <w:t xml:space="preserve">after </w:t>
      </w:r>
      <w:r w:rsidR="000859FB">
        <w:t xml:space="preserve">the </w:t>
      </w:r>
      <w:r w:rsidR="00DC7697">
        <w:t xml:space="preserve">Government </w:t>
      </w:r>
      <w:r w:rsidR="000859FB">
        <w:t xml:space="preserve">procurement </w:t>
      </w:r>
      <w:r>
        <w:t xml:space="preserve">decision. </w:t>
      </w:r>
    </w:p>
    <w:p w:rsidR="00B553D9" w:rsidRDefault="00B81389" w:rsidP="00B553D9">
      <w:pPr>
        <w:pStyle w:val="BodyText"/>
      </w:pPr>
      <w:r>
        <w:t xml:space="preserve">Australian based suppliers of defence equipment </w:t>
      </w:r>
      <w:r w:rsidR="00254925">
        <w:t xml:space="preserve">also benefit directly from </w:t>
      </w:r>
      <w:r>
        <w:t>grants for technology development, grants for skill development, export marketing and promotion on behalf of industry, government conducted R&amp;D, and small and medium sized business development services.</w:t>
      </w:r>
      <w:r w:rsidR="00254925">
        <w:t xml:space="preserve"> </w:t>
      </w:r>
      <w:r w:rsidR="00254925" w:rsidRPr="006B4277">
        <w:t>In 2012</w:t>
      </w:r>
      <w:r w:rsidR="00254925">
        <w:noBreakHyphen/>
        <w:t>13,</w:t>
      </w:r>
      <w:r w:rsidR="00254925" w:rsidRPr="006B4277">
        <w:t xml:space="preserve"> identifiable program </w:t>
      </w:r>
      <w:r w:rsidR="00254925" w:rsidRPr="006B4277">
        <w:lastRenderedPageBreak/>
        <w:t>expenditure</w:t>
      </w:r>
      <w:r w:rsidR="00394D69">
        <w:t>s</w:t>
      </w:r>
      <w:r w:rsidR="00327642">
        <w:t>,</w:t>
      </w:r>
      <w:r w:rsidR="00394D69">
        <w:t xml:space="preserve"> </w:t>
      </w:r>
      <w:r w:rsidR="00F2089D">
        <w:t>including</w:t>
      </w:r>
      <w:r w:rsidR="00394D69">
        <w:t xml:space="preserve"> </w:t>
      </w:r>
      <w:r w:rsidR="00F2089D">
        <w:t>direct</w:t>
      </w:r>
      <w:r w:rsidR="00394D69">
        <w:t xml:space="preserve"> support </w:t>
      </w:r>
      <w:r w:rsidR="00F2089D">
        <w:t>to industry</w:t>
      </w:r>
      <w:r w:rsidR="00327642">
        <w:t xml:space="preserve"> and</w:t>
      </w:r>
      <w:r w:rsidR="00394D69">
        <w:t xml:space="preserve"> public R&amp;D </w:t>
      </w:r>
      <w:r w:rsidR="00F2089D">
        <w:t>that may indirectly benefit industry</w:t>
      </w:r>
      <w:r w:rsidR="00327642">
        <w:t>,</w:t>
      </w:r>
      <w:r w:rsidR="00F2089D">
        <w:t xml:space="preserve"> </w:t>
      </w:r>
      <w:r w:rsidR="00394D69" w:rsidRPr="006B4277">
        <w:t>were</w:t>
      </w:r>
      <w:r w:rsidR="00254925" w:rsidRPr="006B4277">
        <w:t xml:space="preserve"> of the order of $500 million</w:t>
      </w:r>
      <w:r w:rsidR="00254925">
        <w:t xml:space="preserve">. However, there are some industry assistance </w:t>
      </w:r>
      <w:r w:rsidR="00254925" w:rsidRPr="006B4277">
        <w:t xml:space="preserve">programs </w:t>
      </w:r>
      <w:r w:rsidR="00254925">
        <w:t xml:space="preserve">for which expenditure is unable to be identified as the program cost forms part of the broader budget of the Defence Materiel Organisation. </w:t>
      </w:r>
      <w:r w:rsidR="0034243B">
        <w:t>D</w:t>
      </w:r>
      <w:r w:rsidR="0034243B" w:rsidRPr="006B4277">
        <w:t xml:space="preserve">efence industry programs </w:t>
      </w:r>
      <w:r w:rsidR="0034243B">
        <w:t xml:space="preserve">also do not appear to </w:t>
      </w:r>
      <w:r w:rsidR="0034243B" w:rsidRPr="006B4277">
        <w:t xml:space="preserve">have been (externally) evaluated </w:t>
      </w:r>
      <w:r w:rsidR="00254925">
        <w:t>with</w:t>
      </w:r>
      <w:r w:rsidR="0034243B" w:rsidRPr="006B4277">
        <w:t>in an econom</w:t>
      </w:r>
      <w:r w:rsidR="0034243B">
        <w:t>y-wide</w:t>
      </w:r>
      <w:r w:rsidR="0034243B" w:rsidRPr="006B4277">
        <w:t xml:space="preserve"> framework to the same extent </w:t>
      </w:r>
      <w:r w:rsidR="0034243B">
        <w:t xml:space="preserve">as </w:t>
      </w:r>
      <w:r w:rsidR="00254925">
        <w:t xml:space="preserve">‘mainstream’ </w:t>
      </w:r>
      <w:r w:rsidR="0034243B" w:rsidRPr="006B4277">
        <w:t>industry assistance</w:t>
      </w:r>
      <w:r w:rsidR="00254925">
        <w:t xml:space="preserve"> programs.</w:t>
      </w:r>
      <w:r w:rsidR="00B553D9">
        <w:t xml:space="preserve"> To the extent that they have not faced such scrutiny, there </w:t>
      </w:r>
      <w:r w:rsidR="00BA7EF0">
        <w:t xml:space="preserve">would </w:t>
      </w:r>
      <w:r w:rsidR="00B553D9">
        <w:t xml:space="preserve">be merit in reviewing the efficiency and effectiveness of the suite of defence </w:t>
      </w:r>
      <w:r w:rsidR="00E80663">
        <w:t>grant</w:t>
      </w:r>
      <w:r w:rsidR="00711608">
        <w:t>,</w:t>
      </w:r>
      <w:r w:rsidR="00E80663">
        <w:t xml:space="preserve"> </w:t>
      </w:r>
      <w:r w:rsidR="00B553D9">
        <w:t xml:space="preserve">industry </w:t>
      </w:r>
      <w:r w:rsidR="00795E1A">
        <w:t>engagement</w:t>
      </w:r>
      <w:r w:rsidR="00E80663">
        <w:t xml:space="preserve"> </w:t>
      </w:r>
      <w:r w:rsidR="00711608">
        <w:t xml:space="preserve">and research </w:t>
      </w:r>
      <w:r w:rsidR="00B553D9">
        <w:t xml:space="preserve">programs. </w:t>
      </w:r>
    </w:p>
    <w:p w:rsidR="00DA6B24" w:rsidRDefault="00997333" w:rsidP="006A187B">
      <w:pPr>
        <w:pStyle w:val="Heading3"/>
      </w:pPr>
      <w:r>
        <w:t xml:space="preserve">Some </w:t>
      </w:r>
      <w:r w:rsidR="002514C6">
        <w:t xml:space="preserve">other </w:t>
      </w:r>
      <w:r w:rsidR="00B62AFD">
        <w:t xml:space="preserve">government </w:t>
      </w:r>
      <w:r>
        <w:t>interventions warranting closer examination</w:t>
      </w:r>
    </w:p>
    <w:p w:rsidR="00B26A35" w:rsidRDefault="00997333" w:rsidP="00997333">
      <w:pPr>
        <w:pStyle w:val="BodyText"/>
      </w:pPr>
      <w:r w:rsidRPr="00997333">
        <w:t xml:space="preserve">This </w:t>
      </w:r>
      <w:r w:rsidR="00B12296" w:rsidRPr="00B12296">
        <w:rPr>
          <w:i/>
        </w:rPr>
        <w:t>Review</w:t>
      </w:r>
      <w:r w:rsidRPr="00997333">
        <w:t xml:space="preserve"> </w:t>
      </w:r>
      <w:r w:rsidR="00B12296">
        <w:t xml:space="preserve">also </w:t>
      </w:r>
      <w:r w:rsidRPr="00997333">
        <w:t>discusses selected areas of government intervention and industry support that may be limiting Australia’s productive potential.</w:t>
      </w:r>
      <w:r w:rsidR="00B12296">
        <w:t xml:space="preserve"> </w:t>
      </w:r>
    </w:p>
    <w:p w:rsidR="005E0F2C" w:rsidRDefault="005E0F2C" w:rsidP="00B006FE">
      <w:pPr>
        <w:pStyle w:val="Heading4"/>
      </w:pPr>
      <w:r w:rsidRPr="00997333">
        <w:t xml:space="preserve">Public support for business </w:t>
      </w:r>
      <w:r w:rsidR="00DC7697">
        <w:t>research and development</w:t>
      </w:r>
    </w:p>
    <w:p w:rsidR="00C4537F" w:rsidRDefault="00B26A35" w:rsidP="00B006FE">
      <w:pPr>
        <w:pStyle w:val="BodyText"/>
      </w:pPr>
      <w:r w:rsidRPr="00997333">
        <w:t>Public support for business R&amp;D under current arrangements has been found to have a relatively low inducement rate.</w:t>
      </w:r>
      <w:r w:rsidR="00C4537F">
        <w:t xml:space="preserve"> This </w:t>
      </w:r>
      <w:r w:rsidR="00FF5120">
        <w:t>suggest</w:t>
      </w:r>
      <w:r w:rsidR="00326810">
        <w:t>s</w:t>
      </w:r>
      <w:r w:rsidR="00FF5120">
        <w:t xml:space="preserve"> that </w:t>
      </w:r>
      <w:r w:rsidR="00FF5120" w:rsidRPr="00B006FE">
        <w:t xml:space="preserve">consideration of more cost-effective means of </w:t>
      </w:r>
      <w:r w:rsidR="00327642">
        <w:t>allocating</w:t>
      </w:r>
      <w:r w:rsidR="00327642" w:rsidRPr="00B006FE">
        <w:t xml:space="preserve"> </w:t>
      </w:r>
      <w:r w:rsidR="00FF5120" w:rsidRPr="00B006FE">
        <w:t>available innovation funding to business is warranted</w:t>
      </w:r>
      <w:r w:rsidR="00FF5120">
        <w:t xml:space="preserve">. This could entail </w:t>
      </w:r>
      <w:r w:rsidR="00C4537F">
        <w:t xml:space="preserve">modifications to the design of the current arrangements such as using an historical R&amp;D to sales ratio </w:t>
      </w:r>
      <w:r w:rsidR="00FF5120">
        <w:t xml:space="preserve">or average R&amp;D spend </w:t>
      </w:r>
      <w:r w:rsidR="00C4537F">
        <w:t>as a base against which genuinely additional R&amp;D can be compared</w:t>
      </w:r>
      <w:r w:rsidR="00FF5120">
        <w:t xml:space="preserve">. </w:t>
      </w:r>
      <w:r w:rsidR="00235363">
        <w:t>Simply reducing company tax by an amount equivalent to current concessions could provide a sound alternative benchmark for analysing the relative merits of R&amp;</w:t>
      </w:r>
      <w:r w:rsidR="003758A4">
        <w:t>D</w:t>
      </w:r>
      <w:r w:rsidR="00235363">
        <w:t xml:space="preserve"> concessions. </w:t>
      </w:r>
    </w:p>
    <w:p w:rsidR="00B66EA2" w:rsidRPr="00B006FE" w:rsidRDefault="00B66EA2" w:rsidP="00B006FE">
      <w:pPr>
        <w:pStyle w:val="Heading4"/>
      </w:pPr>
      <w:r>
        <w:t>Regulation of foreign investment</w:t>
      </w:r>
    </w:p>
    <w:p w:rsidR="00B26A35" w:rsidRDefault="00A014BA" w:rsidP="00B006FE">
      <w:pPr>
        <w:pStyle w:val="BodyText"/>
      </w:pPr>
      <w:r>
        <w:t xml:space="preserve">Foreign investment is an important source of finance for new investment and income growth in Australia. At the same time, there is sensitivity surrounding </w:t>
      </w:r>
      <w:r w:rsidR="00491784">
        <w:t xml:space="preserve">direct </w:t>
      </w:r>
      <w:r w:rsidR="00AE1193">
        <w:t xml:space="preserve">foreign investment, particularly when it is directed </w:t>
      </w:r>
      <w:r w:rsidR="00FF5120">
        <w:t>at</w:t>
      </w:r>
      <w:r w:rsidR="00AE1193">
        <w:t xml:space="preserve"> sensitive or strategic activities</w:t>
      </w:r>
      <w:r w:rsidR="00326810">
        <w:t>,</w:t>
      </w:r>
      <w:r w:rsidR="00AE1193">
        <w:t xml:space="preserve"> with such flows subject to regulation under the </w:t>
      </w:r>
      <w:r w:rsidR="00D30717" w:rsidRPr="00B006FE">
        <w:t>Foreign Acquisitions and Takeovers Act 1975</w:t>
      </w:r>
      <w:r w:rsidR="00D30717">
        <w:t xml:space="preserve"> </w:t>
      </w:r>
      <w:r w:rsidR="00AE1193">
        <w:t xml:space="preserve">and activity or sector-specific regulation. Recognising the costs and benefits of foreign investment, </w:t>
      </w:r>
      <w:r w:rsidR="00B26A35" w:rsidRPr="00997333">
        <w:t>there may be merit in examining</w:t>
      </w:r>
      <w:r w:rsidR="006C65B2">
        <w:t xml:space="preserve"> </w:t>
      </w:r>
      <w:r w:rsidR="00B26A35" w:rsidRPr="00997333">
        <w:t xml:space="preserve">the stringency of the foreign </w:t>
      </w:r>
      <w:r w:rsidR="00AE1193">
        <w:t>investment review process and</w:t>
      </w:r>
      <w:r w:rsidR="00B26A35" w:rsidRPr="00997333">
        <w:t xml:space="preserve"> national interest criteria</w:t>
      </w:r>
      <w:r w:rsidR="00AE1193">
        <w:t xml:space="preserve">. There would also be merit </w:t>
      </w:r>
      <w:r w:rsidR="003263BF">
        <w:t xml:space="preserve">in </w:t>
      </w:r>
      <w:r w:rsidR="00AE1193">
        <w:t xml:space="preserve">considering the application of the </w:t>
      </w:r>
      <w:r w:rsidR="00B26A35" w:rsidRPr="00997333">
        <w:t>same notification threshold to all countries in accordance with the MFN principle.</w:t>
      </w:r>
    </w:p>
    <w:p w:rsidR="00B66EA2" w:rsidRPr="00997333" w:rsidRDefault="00BC501F" w:rsidP="00B006FE">
      <w:pPr>
        <w:pStyle w:val="Heading4"/>
      </w:pPr>
      <w:r>
        <w:lastRenderedPageBreak/>
        <w:t>Public s</w:t>
      </w:r>
      <w:r w:rsidR="00B66EA2">
        <w:t>upport for regional development and special economic zones</w:t>
      </w:r>
    </w:p>
    <w:p w:rsidR="00B26A35" w:rsidRPr="00997333" w:rsidRDefault="00AF6131" w:rsidP="00B006FE">
      <w:pPr>
        <w:pStyle w:val="BodyText"/>
      </w:pPr>
      <w:r>
        <w:t>S</w:t>
      </w:r>
      <w:r w:rsidR="00B26A35" w:rsidRPr="00997333">
        <w:t xml:space="preserve">pecial economic zones </w:t>
      </w:r>
      <w:r w:rsidR="00235363">
        <w:t xml:space="preserve">can be </w:t>
      </w:r>
      <w:r w:rsidR="00756292">
        <w:t>pur</w:t>
      </w:r>
      <w:r w:rsidR="00235363">
        <w:t xml:space="preserve">sued to </w:t>
      </w:r>
      <w:r w:rsidR="00B26A35" w:rsidRPr="00997333">
        <w:t xml:space="preserve">selectively benefit activities within </w:t>
      </w:r>
      <w:r w:rsidR="00235363">
        <w:t xml:space="preserve">a </w:t>
      </w:r>
      <w:r w:rsidR="00B26A35" w:rsidRPr="00997333">
        <w:t xml:space="preserve">designated </w:t>
      </w:r>
      <w:r w:rsidR="00AE1193">
        <w:t>area</w:t>
      </w:r>
      <w:r w:rsidR="00235363">
        <w:t xml:space="preserve">. A number of Asian </w:t>
      </w:r>
      <w:r w:rsidR="003758A4">
        <w:t>economies</w:t>
      </w:r>
      <w:r w:rsidR="00235363">
        <w:t xml:space="preserve"> have recently adopted such policies to trial structural reforms.</w:t>
      </w:r>
      <w:r w:rsidR="00B26A35" w:rsidRPr="00997333">
        <w:t xml:space="preserve"> </w:t>
      </w:r>
      <w:r w:rsidR="006D269C">
        <w:t>S</w:t>
      </w:r>
      <w:r w:rsidR="00C01753">
        <w:t>imilar</w:t>
      </w:r>
      <w:r w:rsidR="00C01753" w:rsidRPr="00997333">
        <w:t xml:space="preserve"> </w:t>
      </w:r>
      <w:r w:rsidR="00B26A35" w:rsidRPr="00997333">
        <w:t xml:space="preserve">measures have </w:t>
      </w:r>
      <w:r>
        <w:t>been used</w:t>
      </w:r>
      <w:r w:rsidR="00B26A35" w:rsidRPr="00997333">
        <w:t xml:space="preserve"> in Australia</w:t>
      </w:r>
      <w:r w:rsidR="00235363">
        <w:t xml:space="preserve"> for regional development purposes and more </w:t>
      </w:r>
      <w:r w:rsidR="00426647">
        <w:t xml:space="preserve">might </w:t>
      </w:r>
      <w:r w:rsidR="00235363">
        <w:t>be considered in future</w:t>
      </w:r>
      <w:r w:rsidR="00B26A35" w:rsidRPr="00997333">
        <w:t xml:space="preserve">. There </w:t>
      </w:r>
      <w:r w:rsidR="00235363">
        <w:t xml:space="preserve">would </w:t>
      </w:r>
      <w:r w:rsidR="00B26A35" w:rsidRPr="00997333">
        <w:t xml:space="preserve">be merit in </w:t>
      </w:r>
      <w:r w:rsidR="00235363">
        <w:t xml:space="preserve">clearly </w:t>
      </w:r>
      <w:r w:rsidR="00B26A35" w:rsidRPr="00997333">
        <w:t>assessing whether such measures are likely to confer community</w:t>
      </w:r>
      <w:r w:rsidR="00DC7697">
        <w:noBreakHyphen/>
      </w:r>
      <w:r w:rsidR="00B26A35" w:rsidRPr="00997333">
        <w:t xml:space="preserve">wide benefits and </w:t>
      </w:r>
      <w:r w:rsidR="006D269C">
        <w:t>whether</w:t>
      </w:r>
      <w:r w:rsidR="00235363">
        <w:t xml:space="preserve"> </w:t>
      </w:r>
      <w:r w:rsidR="00B26A35" w:rsidRPr="00997333">
        <w:t>less discriminat</w:t>
      </w:r>
      <w:r w:rsidR="00235363">
        <w:t>ory</w:t>
      </w:r>
      <w:r w:rsidR="00B26A35" w:rsidRPr="00997333">
        <w:t xml:space="preserve"> </w:t>
      </w:r>
      <w:r w:rsidR="00F67155">
        <w:t xml:space="preserve">measures </w:t>
      </w:r>
      <w:r w:rsidR="000073D8">
        <w:t>would</w:t>
      </w:r>
      <w:r w:rsidR="00F67155">
        <w:t xml:space="preserve"> be</w:t>
      </w:r>
      <w:r w:rsidR="008912A2">
        <w:t xml:space="preserve"> preferable</w:t>
      </w:r>
      <w:r w:rsidR="00B26A35" w:rsidRPr="00997333">
        <w:t>.</w:t>
      </w:r>
    </w:p>
    <w:p w:rsidR="00A558C2" w:rsidRDefault="00A558C2" w:rsidP="00120072">
      <w:pPr>
        <w:pStyle w:val="BodyText"/>
      </w:pPr>
    </w:p>
    <w:sectPr w:rsidR="00A558C2" w:rsidSect="0082155E">
      <w:headerReference w:type="even" r:id="rId17"/>
      <w:headerReference w:type="default" r:id="rId18"/>
      <w:footerReference w:type="even" r:id="rId19"/>
      <w:footerReference w:type="default" r:id="rId20"/>
      <w:type w:val="oddPage"/>
      <w:pgSz w:w="11907" w:h="16840" w:code="9"/>
      <w:pgMar w:top="1985" w:right="1304" w:bottom="1418" w:left="1814" w:header="1701" w:footer="567" w:gutter="0"/>
      <w:pgNumType w:chapStyle="1" w:chapSep="period"/>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8E8" w:rsidRDefault="004938E8">
      <w:r>
        <w:separator/>
      </w:r>
    </w:p>
  </w:endnote>
  <w:endnote w:type="continuationSeparator" w:id="0">
    <w:p w:rsidR="004938E8" w:rsidRDefault="004938E8">
      <w:r>
        <w:continuationSeparator/>
      </w:r>
    </w:p>
  </w:endnote>
  <w:endnote w:type="continuationNotice" w:id="1">
    <w:p w:rsidR="004938E8" w:rsidRDefault="004938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36A66">
      <w:trPr>
        <w:trHeight w:hRule="exact" w:val="740"/>
      </w:trPr>
      <w:tc>
        <w:tcPr>
          <w:tcW w:w="510" w:type="dxa"/>
          <w:tcBorders>
            <w:top w:val="single" w:sz="6" w:space="0" w:color="auto"/>
          </w:tcBorders>
        </w:tcPr>
        <w:p w:rsidR="00036A66" w:rsidRDefault="00036A66"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12E51">
            <w:rPr>
              <w:rStyle w:val="PageNumber"/>
              <w:noProof/>
            </w:rPr>
            <w:t>12</w:t>
          </w:r>
          <w:r>
            <w:rPr>
              <w:rStyle w:val="PageNumber"/>
            </w:rPr>
            <w:fldChar w:fldCharType="end"/>
          </w:r>
        </w:p>
      </w:tc>
      <w:tc>
        <w:tcPr>
          <w:tcW w:w="1644" w:type="dxa"/>
          <w:tcBorders>
            <w:top w:val="single" w:sz="6" w:space="0" w:color="auto"/>
          </w:tcBorders>
        </w:tcPr>
        <w:p w:rsidR="00036A66" w:rsidRDefault="00712E51" w:rsidP="001800A2">
          <w:pPr>
            <w:pStyle w:val="Footer"/>
          </w:pPr>
          <w:r>
            <w:fldChar w:fldCharType="begin"/>
          </w:r>
          <w:r>
            <w:instrText xml:space="preserve"> SUBJECT  \* MERGEFORMAT </w:instrText>
          </w:r>
          <w:r>
            <w:fldChar w:fldCharType="separate"/>
          </w:r>
          <w:r w:rsidR="0007684A">
            <w:t>TRADE &amp; ASSISTANCE REVIEW 2012-13</w:t>
          </w:r>
          <w:r>
            <w:fldChar w:fldCharType="end"/>
          </w:r>
        </w:p>
      </w:tc>
      <w:tc>
        <w:tcPr>
          <w:tcW w:w="6634" w:type="dxa"/>
        </w:tcPr>
        <w:p w:rsidR="00036A66" w:rsidRDefault="00036A66" w:rsidP="0019293B">
          <w:pPr>
            <w:pStyle w:val="Footer"/>
          </w:pPr>
        </w:p>
      </w:tc>
    </w:tr>
  </w:tbl>
  <w:p w:rsidR="00036A66" w:rsidRDefault="00036A6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36A66">
      <w:trPr>
        <w:trHeight w:hRule="exact" w:val="740"/>
      </w:trPr>
      <w:tc>
        <w:tcPr>
          <w:tcW w:w="6634" w:type="dxa"/>
        </w:tcPr>
        <w:p w:rsidR="00036A66" w:rsidRDefault="00036A66">
          <w:pPr>
            <w:pStyle w:val="Footer"/>
            <w:ind w:right="360" w:firstLine="360"/>
          </w:pPr>
        </w:p>
      </w:tc>
      <w:tc>
        <w:tcPr>
          <w:tcW w:w="1644" w:type="dxa"/>
          <w:tcBorders>
            <w:top w:val="single" w:sz="6" w:space="0" w:color="auto"/>
          </w:tcBorders>
        </w:tcPr>
        <w:p w:rsidR="00036A66" w:rsidRDefault="00712E51">
          <w:pPr>
            <w:pStyle w:val="Footer"/>
          </w:pPr>
          <w:r>
            <w:fldChar w:fldCharType="begin"/>
          </w:r>
          <w:r>
            <w:instrText xml:space="preserve"> TITLE  \* MERGEFORMAT </w:instrText>
          </w:r>
          <w:r>
            <w:fldChar w:fldCharType="separate"/>
          </w:r>
          <w:r w:rsidR="0007684A">
            <w:t>Overview</w:t>
          </w:r>
          <w:r>
            <w:fldChar w:fldCharType="end"/>
          </w:r>
        </w:p>
      </w:tc>
      <w:tc>
        <w:tcPr>
          <w:tcW w:w="510" w:type="dxa"/>
          <w:tcBorders>
            <w:top w:val="single" w:sz="6" w:space="0" w:color="auto"/>
          </w:tcBorders>
        </w:tcPr>
        <w:p w:rsidR="00036A66" w:rsidRDefault="00036A66">
          <w:pPr>
            <w:pStyle w:val="Footer"/>
            <w:jc w:val="right"/>
          </w:pPr>
          <w:r>
            <w:rPr>
              <w:rStyle w:val="PageNumber"/>
            </w:rPr>
            <w:fldChar w:fldCharType="begin"/>
          </w:r>
          <w:r>
            <w:rPr>
              <w:rStyle w:val="PageNumber"/>
            </w:rPr>
            <w:instrText xml:space="preserve">PAGE  </w:instrText>
          </w:r>
          <w:r>
            <w:rPr>
              <w:rStyle w:val="PageNumber"/>
            </w:rPr>
            <w:fldChar w:fldCharType="separate"/>
          </w:r>
          <w:r w:rsidR="00712E51">
            <w:rPr>
              <w:rStyle w:val="PageNumber"/>
              <w:noProof/>
            </w:rPr>
            <w:t>11</w:t>
          </w:r>
          <w:r>
            <w:rPr>
              <w:rStyle w:val="PageNumber"/>
            </w:rPr>
            <w:fldChar w:fldCharType="end"/>
          </w:r>
        </w:p>
      </w:tc>
    </w:tr>
  </w:tbl>
  <w:p w:rsidR="00036A66" w:rsidRDefault="00036A6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8E8" w:rsidRDefault="004938E8">
      <w:r>
        <w:separator/>
      </w:r>
    </w:p>
  </w:footnote>
  <w:footnote w:type="continuationSeparator" w:id="0">
    <w:p w:rsidR="004938E8" w:rsidRDefault="004938E8">
      <w:r>
        <w:continuationSeparator/>
      </w:r>
    </w:p>
  </w:footnote>
  <w:footnote w:type="continuationNotice" w:id="1">
    <w:p w:rsidR="004938E8" w:rsidRDefault="004938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36A66">
      <w:tc>
        <w:tcPr>
          <w:tcW w:w="2155" w:type="dxa"/>
          <w:tcBorders>
            <w:top w:val="single" w:sz="24" w:space="0" w:color="auto"/>
          </w:tcBorders>
        </w:tcPr>
        <w:p w:rsidR="00036A66" w:rsidRDefault="00036A66" w:rsidP="0019293B">
          <w:pPr>
            <w:pStyle w:val="HeaderEven"/>
          </w:pPr>
        </w:p>
      </w:tc>
      <w:tc>
        <w:tcPr>
          <w:tcW w:w="6634" w:type="dxa"/>
          <w:tcBorders>
            <w:top w:val="single" w:sz="6" w:space="0" w:color="auto"/>
          </w:tcBorders>
        </w:tcPr>
        <w:p w:rsidR="00036A66" w:rsidRDefault="00036A66" w:rsidP="0019293B">
          <w:pPr>
            <w:pStyle w:val="HeaderEven"/>
          </w:pPr>
        </w:p>
      </w:tc>
    </w:tr>
  </w:tbl>
  <w:p w:rsidR="00036A66" w:rsidRDefault="00036A6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36A66">
      <w:tc>
        <w:tcPr>
          <w:tcW w:w="6634" w:type="dxa"/>
          <w:tcBorders>
            <w:top w:val="single" w:sz="6" w:space="0" w:color="auto"/>
          </w:tcBorders>
        </w:tcPr>
        <w:p w:rsidR="00036A66" w:rsidRDefault="00036A66" w:rsidP="00E669E2">
          <w:pPr>
            <w:pStyle w:val="HeaderOdd"/>
          </w:pPr>
        </w:p>
      </w:tc>
      <w:tc>
        <w:tcPr>
          <w:tcW w:w="2155" w:type="dxa"/>
          <w:tcBorders>
            <w:top w:val="single" w:sz="24" w:space="0" w:color="auto"/>
          </w:tcBorders>
        </w:tcPr>
        <w:p w:rsidR="00036A66" w:rsidRDefault="00036A66" w:rsidP="00E669E2">
          <w:pPr>
            <w:pStyle w:val="HeaderOdd"/>
          </w:pPr>
        </w:p>
      </w:tc>
    </w:tr>
  </w:tbl>
  <w:p w:rsidR="00036A66" w:rsidRDefault="00036A6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81D3B08"/>
    <w:multiLevelType w:val="hybridMultilevel"/>
    <w:tmpl w:val="A05A0F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73C09B9"/>
    <w:multiLevelType w:val="hybridMultilevel"/>
    <w:tmpl w:val="58A882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nsid w:val="5947435C"/>
    <w:multiLevelType w:val="hybridMultilevel"/>
    <w:tmpl w:val="B8CE39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A096576"/>
    <w:multiLevelType w:val="singleLevel"/>
    <w:tmpl w:val="ED98921A"/>
    <w:lvl w:ilvl="0">
      <w:start w:val="1"/>
      <w:numFmt w:val="decimal"/>
      <w:lvlText w:val="%1."/>
      <w:legacy w:legacy="1" w:legacySpace="0" w:legacyIndent="340"/>
      <w:lvlJc w:val="left"/>
      <w:pPr>
        <w:ind w:left="340" w:hanging="340"/>
      </w:pPr>
    </w:lvl>
  </w:abstractNum>
  <w:abstractNum w:abstractNumId="35">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60055F7F"/>
    <w:multiLevelType w:val="singleLevel"/>
    <w:tmpl w:val="ED98921A"/>
    <w:lvl w:ilvl="0">
      <w:start w:val="1"/>
      <w:numFmt w:val="decimal"/>
      <w:lvlText w:val="%1."/>
      <w:legacy w:legacy="1" w:legacySpace="0" w:legacyIndent="340"/>
      <w:lvlJc w:val="left"/>
      <w:pPr>
        <w:ind w:left="340" w:hanging="340"/>
      </w:pPr>
    </w:lvl>
  </w:abstractNum>
  <w:abstractNum w:abstractNumId="37">
    <w:nsid w:val="608E741E"/>
    <w:multiLevelType w:val="singleLevel"/>
    <w:tmpl w:val="ED98921A"/>
    <w:lvl w:ilvl="0">
      <w:start w:val="1"/>
      <w:numFmt w:val="decimal"/>
      <w:lvlText w:val="%1."/>
      <w:legacy w:legacy="1" w:legacySpace="0" w:legacyIndent="340"/>
      <w:lvlJc w:val="left"/>
      <w:pPr>
        <w:ind w:left="340" w:hanging="340"/>
      </w:pPr>
    </w:lvl>
  </w:abstractNum>
  <w:abstractNum w:abstractNumId="38">
    <w:nsid w:val="61320C1E"/>
    <w:multiLevelType w:val="singleLevel"/>
    <w:tmpl w:val="C444122C"/>
    <w:lvl w:ilvl="0">
      <w:start w:val="1"/>
      <w:numFmt w:val="decimal"/>
      <w:lvlText w:val="%1."/>
      <w:legacy w:legacy="1" w:legacySpace="0" w:legacyIndent="284"/>
      <w:lvlJc w:val="left"/>
      <w:pPr>
        <w:ind w:left="284" w:hanging="284"/>
      </w:pPr>
    </w:lvl>
  </w:abstractNum>
  <w:abstractNum w:abstractNumId="39">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1">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2">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649148C"/>
    <w:multiLevelType w:val="hybridMultilevel"/>
    <w:tmpl w:val="D7EAB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8">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0"/>
  </w:num>
  <w:num w:numId="3">
    <w:abstractNumId w:val="46"/>
  </w:num>
  <w:num w:numId="4">
    <w:abstractNumId w:val="7"/>
  </w:num>
  <w:num w:numId="5">
    <w:abstractNumId w:val="5"/>
  </w:num>
  <w:num w:numId="6">
    <w:abstractNumId w:val="27"/>
  </w:num>
  <w:num w:numId="7">
    <w:abstractNumId w:val="3"/>
  </w:num>
  <w:num w:numId="8">
    <w:abstractNumId w:val="9"/>
  </w:num>
  <w:num w:numId="9">
    <w:abstractNumId w:val="2"/>
  </w:num>
  <w:num w:numId="10">
    <w:abstractNumId w:val="40"/>
  </w:num>
  <w:num w:numId="11">
    <w:abstractNumId w:val="4"/>
  </w:num>
  <w:num w:numId="12">
    <w:abstractNumId w:val="1"/>
  </w:num>
  <w:num w:numId="13">
    <w:abstractNumId w:val="0"/>
  </w:num>
  <w:num w:numId="14">
    <w:abstractNumId w:val="30"/>
  </w:num>
  <w:num w:numId="15">
    <w:abstractNumId w:val="47"/>
  </w:num>
  <w:num w:numId="16">
    <w:abstractNumId w:val="18"/>
  </w:num>
  <w:num w:numId="17">
    <w:abstractNumId w:val="16"/>
  </w:num>
  <w:num w:numId="18">
    <w:abstractNumId w:val="28"/>
  </w:num>
  <w:num w:numId="19">
    <w:abstractNumId w:val="12"/>
  </w:num>
  <w:num w:numId="20">
    <w:abstractNumId w:val="37"/>
  </w:num>
  <w:num w:numId="21">
    <w:abstractNumId w:val="39"/>
  </w:num>
  <w:num w:numId="22">
    <w:abstractNumId w:val="26"/>
  </w:num>
  <w:num w:numId="23">
    <w:abstractNumId w:val="29"/>
  </w:num>
  <w:num w:numId="24">
    <w:abstractNumId w:val="31"/>
  </w:num>
  <w:num w:numId="25">
    <w:abstractNumId w:val="44"/>
  </w:num>
  <w:num w:numId="26">
    <w:abstractNumId w:val="36"/>
  </w:num>
  <w:num w:numId="27">
    <w:abstractNumId w:val="41"/>
  </w:num>
  <w:num w:numId="28">
    <w:abstractNumId w:val="42"/>
  </w:num>
  <w:num w:numId="29">
    <w:abstractNumId w:val="34"/>
  </w:num>
  <w:num w:numId="30">
    <w:abstractNumId w:val="22"/>
  </w:num>
  <w:num w:numId="31">
    <w:abstractNumId w:val="48"/>
  </w:num>
  <w:num w:numId="32">
    <w:abstractNumId w:val="15"/>
  </w:num>
  <w:num w:numId="33">
    <w:abstractNumId w:val="8"/>
  </w:num>
  <w:num w:numId="34">
    <w:abstractNumId w:val="19"/>
  </w:num>
  <w:num w:numId="35">
    <w:abstractNumId w:val="43"/>
  </w:num>
  <w:num w:numId="36">
    <w:abstractNumId w:val="35"/>
  </w:num>
  <w:num w:numId="37">
    <w:abstractNumId w:val="13"/>
  </w:num>
  <w:num w:numId="38">
    <w:abstractNumId w:val="38"/>
  </w:num>
  <w:num w:numId="39">
    <w:abstractNumId w:val="14"/>
  </w:num>
  <w:num w:numId="40">
    <w:abstractNumId w:val="18"/>
  </w:num>
  <w:num w:numId="41">
    <w:abstractNumId w:val="9"/>
  </w:num>
  <w:num w:numId="42">
    <w:abstractNumId w:val="25"/>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20"/>
  </w:num>
  <w:num w:numId="46">
    <w:abstractNumId w:val="24"/>
  </w:num>
  <w:num w:numId="47">
    <w:abstractNumId w:val="10"/>
  </w:num>
  <w:num w:numId="48">
    <w:abstractNumId w:val="32"/>
  </w:num>
  <w:num w:numId="49">
    <w:abstractNumId w:val="21"/>
  </w:num>
  <w:num w:numId="50">
    <w:abstractNumId w:val="10"/>
  </w:num>
  <w:num w:numId="51">
    <w:abstractNumId w:val="10"/>
  </w:num>
  <w:num w:numId="52">
    <w:abstractNumId w:val="21"/>
  </w:num>
  <w:num w:numId="53">
    <w:abstractNumId w:val="10"/>
  </w:num>
  <w:num w:numId="54">
    <w:abstractNumId w:val="21"/>
  </w:num>
  <w:num w:numId="55">
    <w:abstractNumId w:val="10"/>
  </w:num>
  <w:num w:numId="56">
    <w:abstractNumId w:val="21"/>
  </w:num>
  <w:num w:numId="57">
    <w:abstractNumId w:val="10"/>
  </w:num>
  <w:num w:numId="58">
    <w:abstractNumId w:val="21"/>
  </w:num>
  <w:num w:numId="59">
    <w:abstractNumId w:val="10"/>
  </w:num>
  <w:num w:numId="60">
    <w:abstractNumId w:val="33"/>
  </w:num>
  <w:num w:numId="61">
    <w:abstractNumId w:val="23"/>
  </w:num>
  <w:num w:numId="62">
    <w:abstractNumId w:val="17"/>
  </w:num>
  <w:num w:numId="63">
    <w:abstractNumId w:val="45"/>
  </w:num>
  <w:num w:numId="64">
    <w:abstractNumId w:val="21"/>
  </w:num>
  <w:num w:numId="65">
    <w:abstractNumId w:val="21"/>
  </w:num>
  <w:num w:numId="66">
    <w:abstractNumId w:val="2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verview"/>
    <w:docVar w:name="ShortReportTitle" w:val="TRADE &amp; ASSISTANCE REVIEW 2011-12"/>
  </w:docVars>
  <w:rsids>
    <w:rsidRoot w:val="00CD1473"/>
    <w:rsid w:val="00004804"/>
    <w:rsid w:val="00004CD0"/>
    <w:rsid w:val="000073D8"/>
    <w:rsid w:val="000146EC"/>
    <w:rsid w:val="000153A5"/>
    <w:rsid w:val="00015A2F"/>
    <w:rsid w:val="00016C00"/>
    <w:rsid w:val="000173EA"/>
    <w:rsid w:val="000227D5"/>
    <w:rsid w:val="00023874"/>
    <w:rsid w:val="000245AA"/>
    <w:rsid w:val="00026326"/>
    <w:rsid w:val="0003664B"/>
    <w:rsid w:val="00036A66"/>
    <w:rsid w:val="0004111F"/>
    <w:rsid w:val="00043AD2"/>
    <w:rsid w:val="000447E4"/>
    <w:rsid w:val="00044FA4"/>
    <w:rsid w:val="000450D1"/>
    <w:rsid w:val="00050284"/>
    <w:rsid w:val="000517D1"/>
    <w:rsid w:val="00053D72"/>
    <w:rsid w:val="000565B3"/>
    <w:rsid w:val="00057945"/>
    <w:rsid w:val="0006399F"/>
    <w:rsid w:val="00063E86"/>
    <w:rsid w:val="00066351"/>
    <w:rsid w:val="00067884"/>
    <w:rsid w:val="0007150B"/>
    <w:rsid w:val="0007684A"/>
    <w:rsid w:val="000838D2"/>
    <w:rsid w:val="00084A77"/>
    <w:rsid w:val="00084FC6"/>
    <w:rsid w:val="000859FB"/>
    <w:rsid w:val="00085A52"/>
    <w:rsid w:val="00090B8E"/>
    <w:rsid w:val="00091B2F"/>
    <w:rsid w:val="0009295C"/>
    <w:rsid w:val="00092DC2"/>
    <w:rsid w:val="000938F5"/>
    <w:rsid w:val="00096E55"/>
    <w:rsid w:val="000A65CB"/>
    <w:rsid w:val="000A6A59"/>
    <w:rsid w:val="000A6C1B"/>
    <w:rsid w:val="000B440D"/>
    <w:rsid w:val="000B4549"/>
    <w:rsid w:val="000B601B"/>
    <w:rsid w:val="000C03AE"/>
    <w:rsid w:val="000C207E"/>
    <w:rsid w:val="000D0840"/>
    <w:rsid w:val="000D0BBD"/>
    <w:rsid w:val="000D4969"/>
    <w:rsid w:val="000D76F8"/>
    <w:rsid w:val="000E47A6"/>
    <w:rsid w:val="000E6A5E"/>
    <w:rsid w:val="000F0035"/>
    <w:rsid w:val="000F2EA6"/>
    <w:rsid w:val="000F420B"/>
    <w:rsid w:val="0010045F"/>
    <w:rsid w:val="00102581"/>
    <w:rsid w:val="00104B1B"/>
    <w:rsid w:val="00110116"/>
    <w:rsid w:val="001137DC"/>
    <w:rsid w:val="00116F89"/>
    <w:rsid w:val="00120072"/>
    <w:rsid w:val="001215B8"/>
    <w:rsid w:val="00121674"/>
    <w:rsid w:val="0012189F"/>
    <w:rsid w:val="00122EBF"/>
    <w:rsid w:val="00126EB8"/>
    <w:rsid w:val="001274D4"/>
    <w:rsid w:val="001363AA"/>
    <w:rsid w:val="001419D1"/>
    <w:rsid w:val="00141E69"/>
    <w:rsid w:val="001465CB"/>
    <w:rsid w:val="00150540"/>
    <w:rsid w:val="00160CD8"/>
    <w:rsid w:val="00166B42"/>
    <w:rsid w:val="001715F1"/>
    <w:rsid w:val="00173076"/>
    <w:rsid w:val="00173330"/>
    <w:rsid w:val="00176CF8"/>
    <w:rsid w:val="001800A2"/>
    <w:rsid w:val="00180D12"/>
    <w:rsid w:val="00183E82"/>
    <w:rsid w:val="00184058"/>
    <w:rsid w:val="001846C9"/>
    <w:rsid w:val="00186091"/>
    <w:rsid w:val="0018748E"/>
    <w:rsid w:val="001878BB"/>
    <w:rsid w:val="0019152F"/>
    <w:rsid w:val="00191A9E"/>
    <w:rsid w:val="00191AE0"/>
    <w:rsid w:val="0019293B"/>
    <w:rsid w:val="0019746A"/>
    <w:rsid w:val="001A14A2"/>
    <w:rsid w:val="001A7418"/>
    <w:rsid w:val="001B1744"/>
    <w:rsid w:val="001B4A8F"/>
    <w:rsid w:val="001B7051"/>
    <w:rsid w:val="001C016D"/>
    <w:rsid w:val="001C0865"/>
    <w:rsid w:val="001C263B"/>
    <w:rsid w:val="001C3ABA"/>
    <w:rsid w:val="001C7F56"/>
    <w:rsid w:val="001D049D"/>
    <w:rsid w:val="001D5381"/>
    <w:rsid w:val="001E3A21"/>
    <w:rsid w:val="001E7BE8"/>
    <w:rsid w:val="001F01D5"/>
    <w:rsid w:val="001F0248"/>
    <w:rsid w:val="001F1EB2"/>
    <w:rsid w:val="001F3EB3"/>
    <w:rsid w:val="001F4F86"/>
    <w:rsid w:val="001F633E"/>
    <w:rsid w:val="001F7E95"/>
    <w:rsid w:val="00202427"/>
    <w:rsid w:val="00202C2C"/>
    <w:rsid w:val="002135AB"/>
    <w:rsid w:val="002144BE"/>
    <w:rsid w:val="00221954"/>
    <w:rsid w:val="00223100"/>
    <w:rsid w:val="00226198"/>
    <w:rsid w:val="00227DAE"/>
    <w:rsid w:val="00232C38"/>
    <w:rsid w:val="00235363"/>
    <w:rsid w:val="0023642F"/>
    <w:rsid w:val="002403BB"/>
    <w:rsid w:val="00242279"/>
    <w:rsid w:val="002451A9"/>
    <w:rsid w:val="00245C82"/>
    <w:rsid w:val="002514C6"/>
    <w:rsid w:val="00252359"/>
    <w:rsid w:val="00254925"/>
    <w:rsid w:val="002562DA"/>
    <w:rsid w:val="002645CA"/>
    <w:rsid w:val="00270E95"/>
    <w:rsid w:val="00275F88"/>
    <w:rsid w:val="00275FE0"/>
    <w:rsid w:val="00277F5F"/>
    <w:rsid w:val="00281E9E"/>
    <w:rsid w:val="002831D4"/>
    <w:rsid w:val="00287874"/>
    <w:rsid w:val="00291B40"/>
    <w:rsid w:val="00292B54"/>
    <w:rsid w:val="002A1957"/>
    <w:rsid w:val="002A1CE8"/>
    <w:rsid w:val="002A42BC"/>
    <w:rsid w:val="002A4C55"/>
    <w:rsid w:val="002A7E0A"/>
    <w:rsid w:val="002B08B1"/>
    <w:rsid w:val="002B4008"/>
    <w:rsid w:val="002B7A95"/>
    <w:rsid w:val="002C0D0B"/>
    <w:rsid w:val="002C1ACF"/>
    <w:rsid w:val="002C1B61"/>
    <w:rsid w:val="002C2FF3"/>
    <w:rsid w:val="002C6BAC"/>
    <w:rsid w:val="002D0E8E"/>
    <w:rsid w:val="002D15EA"/>
    <w:rsid w:val="002E0948"/>
    <w:rsid w:val="002E4278"/>
    <w:rsid w:val="002F1727"/>
    <w:rsid w:val="002F750C"/>
    <w:rsid w:val="0030083A"/>
    <w:rsid w:val="00301189"/>
    <w:rsid w:val="0030649C"/>
    <w:rsid w:val="0031508B"/>
    <w:rsid w:val="0032035D"/>
    <w:rsid w:val="0032253A"/>
    <w:rsid w:val="00323E09"/>
    <w:rsid w:val="003263BF"/>
    <w:rsid w:val="00326810"/>
    <w:rsid w:val="00327642"/>
    <w:rsid w:val="00333932"/>
    <w:rsid w:val="0034129B"/>
    <w:rsid w:val="0034243B"/>
    <w:rsid w:val="003437E4"/>
    <w:rsid w:val="003518AA"/>
    <w:rsid w:val="00352165"/>
    <w:rsid w:val="00353182"/>
    <w:rsid w:val="003565D9"/>
    <w:rsid w:val="003602E1"/>
    <w:rsid w:val="00370000"/>
    <w:rsid w:val="0037026F"/>
    <w:rsid w:val="00371240"/>
    <w:rsid w:val="00374731"/>
    <w:rsid w:val="003758A4"/>
    <w:rsid w:val="00376E59"/>
    <w:rsid w:val="00380A53"/>
    <w:rsid w:val="003914E2"/>
    <w:rsid w:val="003919F9"/>
    <w:rsid w:val="003927E4"/>
    <w:rsid w:val="00394D69"/>
    <w:rsid w:val="00397575"/>
    <w:rsid w:val="003A25E1"/>
    <w:rsid w:val="003A29D0"/>
    <w:rsid w:val="003A3373"/>
    <w:rsid w:val="003A4523"/>
    <w:rsid w:val="003A4882"/>
    <w:rsid w:val="003C38B5"/>
    <w:rsid w:val="003C5D99"/>
    <w:rsid w:val="003D1F44"/>
    <w:rsid w:val="003D414B"/>
    <w:rsid w:val="003D77B7"/>
    <w:rsid w:val="003E0703"/>
    <w:rsid w:val="003E2F59"/>
    <w:rsid w:val="003E61B1"/>
    <w:rsid w:val="003F0789"/>
    <w:rsid w:val="003F7C76"/>
    <w:rsid w:val="00400404"/>
    <w:rsid w:val="00401693"/>
    <w:rsid w:val="00401882"/>
    <w:rsid w:val="004100C8"/>
    <w:rsid w:val="00411DBD"/>
    <w:rsid w:val="00412ACE"/>
    <w:rsid w:val="004163B4"/>
    <w:rsid w:val="0042109A"/>
    <w:rsid w:val="004239D3"/>
    <w:rsid w:val="00425722"/>
    <w:rsid w:val="0042583F"/>
    <w:rsid w:val="00426647"/>
    <w:rsid w:val="00431249"/>
    <w:rsid w:val="00432E77"/>
    <w:rsid w:val="00434670"/>
    <w:rsid w:val="00434C19"/>
    <w:rsid w:val="00434C62"/>
    <w:rsid w:val="00434F90"/>
    <w:rsid w:val="00446997"/>
    <w:rsid w:val="00450810"/>
    <w:rsid w:val="00457674"/>
    <w:rsid w:val="00466280"/>
    <w:rsid w:val="004668D1"/>
    <w:rsid w:val="00467190"/>
    <w:rsid w:val="00470899"/>
    <w:rsid w:val="00473D8D"/>
    <w:rsid w:val="004764EF"/>
    <w:rsid w:val="00477144"/>
    <w:rsid w:val="00483FF4"/>
    <w:rsid w:val="00491380"/>
    <w:rsid w:val="00491784"/>
    <w:rsid w:val="004938E8"/>
    <w:rsid w:val="004943ED"/>
    <w:rsid w:val="0049459F"/>
    <w:rsid w:val="00496268"/>
    <w:rsid w:val="004969CE"/>
    <w:rsid w:val="004A0806"/>
    <w:rsid w:val="004A098E"/>
    <w:rsid w:val="004A38DD"/>
    <w:rsid w:val="004A4012"/>
    <w:rsid w:val="004A51DA"/>
    <w:rsid w:val="004A5913"/>
    <w:rsid w:val="004B43AE"/>
    <w:rsid w:val="004C110C"/>
    <w:rsid w:val="004C30ED"/>
    <w:rsid w:val="004C5237"/>
    <w:rsid w:val="004C64EB"/>
    <w:rsid w:val="004C77BE"/>
    <w:rsid w:val="004D4630"/>
    <w:rsid w:val="004D5675"/>
    <w:rsid w:val="004E0470"/>
    <w:rsid w:val="004E0F3E"/>
    <w:rsid w:val="004E4C70"/>
    <w:rsid w:val="004F5B14"/>
    <w:rsid w:val="004F74F6"/>
    <w:rsid w:val="00502D89"/>
    <w:rsid w:val="00504D28"/>
    <w:rsid w:val="00505161"/>
    <w:rsid w:val="00506F69"/>
    <w:rsid w:val="00516791"/>
    <w:rsid w:val="00516DA7"/>
    <w:rsid w:val="00523639"/>
    <w:rsid w:val="00524C3D"/>
    <w:rsid w:val="00531FE5"/>
    <w:rsid w:val="00532B34"/>
    <w:rsid w:val="005348B8"/>
    <w:rsid w:val="00536AD3"/>
    <w:rsid w:val="00541352"/>
    <w:rsid w:val="00541435"/>
    <w:rsid w:val="005439D8"/>
    <w:rsid w:val="00545BDF"/>
    <w:rsid w:val="00546EEC"/>
    <w:rsid w:val="00551530"/>
    <w:rsid w:val="00551648"/>
    <w:rsid w:val="00553E41"/>
    <w:rsid w:val="00557D49"/>
    <w:rsid w:val="0056162E"/>
    <w:rsid w:val="00564E8D"/>
    <w:rsid w:val="00576081"/>
    <w:rsid w:val="00583C39"/>
    <w:rsid w:val="00587765"/>
    <w:rsid w:val="00587F28"/>
    <w:rsid w:val="005909CF"/>
    <w:rsid w:val="00591E71"/>
    <w:rsid w:val="005A0D41"/>
    <w:rsid w:val="005A25B6"/>
    <w:rsid w:val="005A573A"/>
    <w:rsid w:val="005B79D9"/>
    <w:rsid w:val="005C4993"/>
    <w:rsid w:val="005C4FEE"/>
    <w:rsid w:val="005D0211"/>
    <w:rsid w:val="005D0466"/>
    <w:rsid w:val="005D3DBF"/>
    <w:rsid w:val="005D421F"/>
    <w:rsid w:val="005D6932"/>
    <w:rsid w:val="005D706B"/>
    <w:rsid w:val="005E0567"/>
    <w:rsid w:val="005E0F2C"/>
    <w:rsid w:val="005E364D"/>
    <w:rsid w:val="005F3670"/>
    <w:rsid w:val="005F6024"/>
    <w:rsid w:val="006001A0"/>
    <w:rsid w:val="006026E5"/>
    <w:rsid w:val="0060332F"/>
    <w:rsid w:val="00607BF1"/>
    <w:rsid w:val="00607C3F"/>
    <w:rsid w:val="0063053F"/>
    <w:rsid w:val="00630D4D"/>
    <w:rsid w:val="00632A74"/>
    <w:rsid w:val="0064018A"/>
    <w:rsid w:val="00642FBA"/>
    <w:rsid w:val="00647D14"/>
    <w:rsid w:val="006525F9"/>
    <w:rsid w:val="00652C81"/>
    <w:rsid w:val="00656B01"/>
    <w:rsid w:val="00656FAB"/>
    <w:rsid w:val="00666476"/>
    <w:rsid w:val="00671AE5"/>
    <w:rsid w:val="00671C4E"/>
    <w:rsid w:val="006760E6"/>
    <w:rsid w:val="00676940"/>
    <w:rsid w:val="00676FC8"/>
    <w:rsid w:val="0068033B"/>
    <w:rsid w:val="0068062F"/>
    <w:rsid w:val="00683889"/>
    <w:rsid w:val="00685B7F"/>
    <w:rsid w:val="00686064"/>
    <w:rsid w:val="00686946"/>
    <w:rsid w:val="0068792A"/>
    <w:rsid w:val="00693948"/>
    <w:rsid w:val="00695409"/>
    <w:rsid w:val="006A187B"/>
    <w:rsid w:val="006A4655"/>
    <w:rsid w:val="006B11DB"/>
    <w:rsid w:val="006B2B3C"/>
    <w:rsid w:val="006B6B26"/>
    <w:rsid w:val="006C0F5A"/>
    <w:rsid w:val="006C1D81"/>
    <w:rsid w:val="006C21CD"/>
    <w:rsid w:val="006C5114"/>
    <w:rsid w:val="006C65B2"/>
    <w:rsid w:val="006C7038"/>
    <w:rsid w:val="006D2260"/>
    <w:rsid w:val="006D269C"/>
    <w:rsid w:val="006E59EB"/>
    <w:rsid w:val="006E73EF"/>
    <w:rsid w:val="006F04E7"/>
    <w:rsid w:val="006F1C02"/>
    <w:rsid w:val="006F7087"/>
    <w:rsid w:val="006F7ECE"/>
    <w:rsid w:val="0070020C"/>
    <w:rsid w:val="00702E2B"/>
    <w:rsid w:val="00707E19"/>
    <w:rsid w:val="00711608"/>
    <w:rsid w:val="00711D18"/>
    <w:rsid w:val="00712E51"/>
    <w:rsid w:val="00714723"/>
    <w:rsid w:val="00714D4D"/>
    <w:rsid w:val="00730292"/>
    <w:rsid w:val="0073742E"/>
    <w:rsid w:val="00741FDE"/>
    <w:rsid w:val="00742DBD"/>
    <w:rsid w:val="007461AA"/>
    <w:rsid w:val="00752914"/>
    <w:rsid w:val="00754E66"/>
    <w:rsid w:val="00756292"/>
    <w:rsid w:val="007604BB"/>
    <w:rsid w:val="00767F71"/>
    <w:rsid w:val="007720DF"/>
    <w:rsid w:val="00774F2B"/>
    <w:rsid w:val="00781BE4"/>
    <w:rsid w:val="0078490B"/>
    <w:rsid w:val="00785232"/>
    <w:rsid w:val="007930EC"/>
    <w:rsid w:val="00795E1A"/>
    <w:rsid w:val="00797244"/>
    <w:rsid w:val="007A21EB"/>
    <w:rsid w:val="007A2DE5"/>
    <w:rsid w:val="007B1A93"/>
    <w:rsid w:val="007B6FDC"/>
    <w:rsid w:val="007C098F"/>
    <w:rsid w:val="007C14A8"/>
    <w:rsid w:val="007C23B5"/>
    <w:rsid w:val="007C24FE"/>
    <w:rsid w:val="007C36C9"/>
    <w:rsid w:val="007C4A2B"/>
    <w:rsid w:val="007C4DA2"/>
    <w:rsid w:val="007D31F3"/>
    <w:rsid w:val="007D6401"/>
    <w:rsid w:val="007E01E4"/>
    <w:rsid w:val="007E4ABF"/>
    <w:rsid w:val="007E5140"/>
    <w:rsid w:val="007F286D"/>
    <w:rsid w:val="007F7107"/>
    <w:rsid w:val="00800419"/>
    <w:rsid w:val="00800D4C"/>
    <w:rsid w:val="0081030F"/>
    <w:rsid w:val="0081356C"/>
    <w:rsid w:val="00816FA4"/>
    <w:rsid w:val="0082087D"/>
    <w:rsid w:val="00820F30"/>
    <w:rsid w:val="0082155E"/>
    <w:rsid w:val="00826CB6"/>
    <w:rsid w:val="00827ABF"/>
    <w:rsid w:val="00832583"/>
    <w:rsid w:val="00835771"/>
    <w:rsid w:val="00837013"/>
    <w:rsid w:val="00842933"/>
    <w:rsid w:val="00844722"/>
    <w:rsid w:val="0085100D"/>
    <w:rsid w:val="00854204"/>
    <w:rsid w:val="0086082C"/>
    <w:rsid w:val="00862EBB"/>
    <w:rsid w:val="00864ADC"/>
    <w:rsid w:val="00867079"/>
    <w:rsid w:val="00874769"/>
    <w:rsid w:val="00880153"/>
    <w:rsid w:val="008805CE"/>
    <w:rsid w:val="00880F97"/>
    <w:rsid w:val="0088133A"/>
    <w:rsid w:val="008912A2"/>
    <w:rsid w:val="0089285E"/>
    <w:rsid w:val="00893B2A"/>
    <w:rsid w:val="0089436C"/>
    <w:rsid w:val="0089620E"/>
    <w:rsid w:val="008A0ED1"/>
    <w:rsid w:val="008A1B36"/>
    <w:rsid w:val="008A1F37"/>
    <w:rsid w:val="008A47A4"/>
    <w:rsid w:val="008B004A"/>
    <w:rsid w:val="008B2009"/>
    <w:rsid w:val="008B40C8"/>
    <w:rsid w:val="008B6AD5"/>
    <w:rsid w:val="008C45D8"/>
    <w:rsid w:val="008C4766"/>
    <w:rsid w:val="008C5801"/>
    <w:rsid w:val="008D28FD"/>
    <w:rsid w:val="008D365C"/>
    <w:rsid w:val="008D59A2"/>
    <w:rsid w:val="008E7B4D"/>
    <w:rsid w:val="008F11D5"/>
    <w:rsid w:val="008F31E4"/>
    <w:rsid w:val="008F3E29"/>
    <w:rsid w:val="008F72F0"/>
    <w:rsid w:val="009030BF"/>
    <w:rsid w:val="00905B4C"/>
    <w:rsid w:val="0091032F"/>
    <w:rsid w:val="0091321C"/>
    <w:rsid w:val="00913C2B"/>
    <w:rsid w:val="00914368"/>
    <w:rsid w:val="0092770C"/>
    <w:rsid w:val="00930868"/>
    <w:rsid w:val="00931076"/>
    <w:rsid w:val="009345D9"/>
    <w:rsid w:val="00934B15"/>
    <w:rsid w:val="009404B5"/>
    <w:rsid w:val="00942B62"/>
    <w:rsid w:val="009439C4"/>
    <w:rsid w:val="0094542C"/>
    <w:rsid w:val="00945C48"/>
    <w:rsid w:val="0095189C"/>
    <w:rsid w:val="00955709"/>
    <w:rsid w:val="00956A0C"/>
    <w:rsid w:val="00956BD9"/>
    <w:rsid w:val="00962059"/>
    <w:rsid w:val="00962489"/>
    <w:rsid w:val="00967F0C"/>
    <w:rsid w:val="00981773"/>
    <w:rsid w:val="009844F8"/>
    <w:rsid w:val="00990C2C"/>
    <w:rsid w:val="00990F2F"/>
    <w:rsid w:val="00991EE8"/>
    <w:rsid w:val="009943AE"/>
    <w:rsid w:val="00997333"/>
    <w:rsid w:val="009A33F5"/>
    <w:rsid w:val="009A458A"/>
    <w:rsid w:val="009A4DA9"/>
    <w:rsid w:val="009B374D"/>
    <w:rsid w:val="009D06DB"/>
    <w:rsid w:val="009D0876"/>
    <w:rsid w:val="009D0C64"/>
    <w:rsid w:val="009D6685"/>
    <w:rsid w:val="009E0BC9"/>
    <w:rsid w:val="009E1A11"/>
    <w:rsid w:val="009E6EE9"/>
    <w:rsid w:val="009E7E61"/>
    <w:rsid w:val="009F0C67"/>
    <w:rsid w:val="009F0D1B"/>
    <w:rsid w:val="009F0D72"/>
    <w:rsid w:val="009F17C3"/>
    <w:rsid w:val="009F696D"/>
    <w:rsid w:val="009F6BC6"/>
    <w:rsid w:val="00A014BA"/>
    <w:rsid w:val="00A01E74"/>
    <w:rsid w:val="00A02495"/>
    <w:rsid w:val="00A060CC"/>
    <w:rsid w:val="00A13F8A"/>
    <w:rsid w:val="00A16A0E"/>
    <w:rsid w:val="00A17328"/>
    <w:rsid w:val="00A2187C"/>
    <w:rsid w:val="00A22DC6"/>
    <w:rsid w:val="00A23A20"/>
    <w:rsid w:val="00A23C51"/>
    <w:rsid w:val="00A268B9"/>
    <w:rsid w:val="00A2703A"/>
    <w:rsid w:val="00A27890"/>
    <w:rsid w:val="00A33DFF"/>
    <w:rsid w:val="00A347E0"/>
    <w:rsid w:val="00A35115"/>
    <w:rsid w:val="00A36D9A"/>
    <w:rsid w:val="00A41E2F"/>
    <w:rsid w:val="00A446C9"/>
    <w:rsid w:val="00A4536C"/>
    <w:rsid w:val="00A554AB"/>
    <w:rsid w:val="00A558C2"/>
    <w:rsid w:val="00A57062"/>
    <w:rsid w:val="00A67193"/>
    <w:rsid w:val="00A83C7F"/>
    <w:rsid w:val="00A87FB9"/>
    <w:rsid w:val="00A90BE9"/>
    <w:rsid w:val="00A90C4B"/>
    <w:rsid w:val="00A92B53"/>
    <w:rsid w:val="00A933E1"/>
    <w:rsid w:val="00A9368D"/>
    <w:rsid w:val="00A94FA6"/>
    <w:rsid w:val="00AA49A0"/>
    <w:rsid w:val="00AA56E9"/>
    <w:rsid w:val="00AA6710"/>
    <w:rsid w:val="00AA688B"/>
    <w:rsid w:val="00AB0681"/>
    <w:rsid w:val="00AB2F09"/>
    <w:rsid w:val="00AB3A39"/>
    <w:rsid w:val="00AB76DB"/>
    <w:rsid w:val="00AC3AD0"/>
    <w:rsid w:val="00AC4164"/>
    <w:rsid w:val="00AC62C5"/>
    <w:rsid w:val="00AC7531"/>
    <w:rsid w:val="00AD1C5B"/>
    <w:rsid w:val="00AD3CD4"/>
    <w:rsid w:val="00AD3E7B"/>
    <w:rsid w:val="00AD520B"/>
    <w:rsid w:val="00AE1193"/>
    <w:rsid w:val="00AE4EFB"/>
    <w:rsid w:val="00AF1589"/>
    <w:rsid w:val="00AF24FE"/>
    <w:rsid w:val="00AF2648"/>
    <w:rsid w:val="00AF6131"/>
    <w:rsid w:val="00B006FE"/>
    <w:rsid w:val="00B028FD"/>
    <w:rsid w:val="00B0386C"/>
    <w:rsid w:val="00B12296"/>
    <w:rsid w:val="00B148A5"/>
    <w:rsid w:val="00B21888"/>
    <w:rsid w:val="00B221A7"/>
    <w:rsid w:val="00B26A35"/>
    <w:rsid w:val="00B419C2"/>
    <w:rsid w:val="00B425C3"/>
    <w:rsid w:val="00B432AF"/>
    <w:rsid w:val="00B440AD"/>
    <w:rsid w:val="00B4431D"/>
    <w:rsid w:val="00B53E7E"/>
    <w:rsid w:val="00B553D9"/>
    <w:rsid w:val="00B55F21"/>
    <w:rsid w:val="00B62AFD"/>
    <w:rsid w:val="00B6342E"/>
    <w:rsid w:val="00B638EB"/>
    <w:rsid w:val="00B63FD8"/>
    <w:rsid w:val="00B66EA2"/>
    <w:rsid w:val="00B7113F"/>
    <w:rsid w:val="00B724F4"/>
    <w:rsid w:val="00B76822"/>
    <w:rsid w:val="00B81389"/>
    <w:rsid w:val="00B81C07"/>
    <w:rsid w:val="00B835D5"/>
    <w:rsid w:val="00B83A9D"/>
    <w:rsid w:val="00B9086C"/>
    <w:rsid w:val="00B92075"/>
    <w:rsid w:val="00B93FA2"/>
    <w:rsid w:val="00BA08FE"/>
    <w:rsid w:val="00BA1CA5"/>
    <w:rsid w:val="00BA2079"/>
    <w:rsid w:val="00BA5F78"/>
    <w:rsid w:val="00BA73B6"/>
    <w:rsid w:val="00BA7E27"/>
    <w:rsid w:val="00BA7EF0"/>
    <w:rsid w:val="00BB2603"/>
    <w:rsid w:val="00BB30F7"/>
    <w:rsid w:val="00BB32A4"/>
    <w:rsid w:val="00BB3CB6"/>
    <w:rsid w:val="00BB4C84"/>
    <w:rsid w:val="00BB4FCD"/>
    <w:rsid w:val="00BB5CD8"/>
    <w:rsid w:val="00BB67FF"/>
    <w:rsid w:val="00BC1A96"/>
    <w:rsid w:val="00BC2B41"/>
    <w:rsid w:val="00BC501F"/>
    <w:rsid w:val="00BC531F"/>
    <w:rsid w:val="00BD0317"/>
    <w:rsid w:val="00BD11BA"/>
    <w:rsid w:val="00BD13EA"/>
    <w:rsid w:val="00BD531E"/>
    <w:rsid w:val="00BE3808"/>
    <w:rsid w:val="00BF1413"/>
    <w:rsid w:val="00BF6E86"/>
    <w:rsid w:val="00C01753"/>
    <w:rsid w:val="00C047E6"/>
    <w:rsid w:val="00C056DB"/>
    <w:rsid w:val="00C062E9"/>
    <w:rsid w:val="00C07B64"/>
    <w:rsid w:val="00C07C60"/>
    <w:rsid w:val="00C13721"/>
    <w:rsid w:val="00C14FE4"/>
    <w:rsid w:val="00C23D63"/>
    <w:rsid w:val="00C247FC"/>
    <w:rsid w:val="00C25014"/>
    <w:rsid w:val="00C25E4A"/>
    <w:rsid w:val="00C26AF3"/>
    <w:rsid w:val="00C3066D"/>
    <w:rsid w:val="00C32639"/>
    <w:rsid w:val="00C414E8"/>
    <w:rsid w:val="00C4537F"/>
    <w:rsid w:val="00C45823"/>
    <w:rsid w:val="00C533E1"/>
    <w:rsid w:val="00C543F4"/>
    <w:rsid w:val="00C6291C"/>
    <w:rsid w:val="00C633CB"/>
    <w:rsid w:val="00C64125"/>
    <w:rsid w:val="00C67EC1"/>
    <w:rsid w:val="00C73CDF"/>
    <w:rsid w:val="00C76EFB"/>
    <w:rsid w:val="00C81D4A"/>
    <w:rsid w:val="00C8719B"/>
    <w:rsid w:val="00C8762C"/>
    <w:rsid w:val="00CA00F9"/>
    <w:rsid w:val="00CA2961"/>
    <w:rsid w:val="00CA54AA"/>
    <w:rsid w:val="00CA5E37"/>
    <w:rsid w:val="00CB094D"/>
    <w:rsid w:val="00CB2B68"/>
    <w:rsid w:val="00CB50D7"/>
    <w:rsid w:val="00CB7177"/>
    <w:rsid w:val="00CC10DA"/>
    <w:rsid w:val="00CC1998"/>
    <w:rsid w:val="00CC445E"/>
    <w:rsid w:val="00CC4946"/>
    <w:rsid w:val="00CC6B65"/>
    <w:rsid w:val="00CC7CE8"/>
    <w:rsid w:val="00CD1473"/>
    <w:rsid w:val="00CD531D"/>
    <w:rsid w:val="00CD58F9"/>
    <w:rsid w:val="00CE047F"/>
    <w:rsid w:val="00CE6720"/>
    <w:rsid w:val="00CF391D"/>
    <w:rsid w:val="00D03EE1"/>
    <w:rsid w:val="00D13D51"/>
    <w:rsid w:val="00D161DE"/>
    <w:rsid w:val="00D21B75"/>
    <w:rsid w:val="00D23A3D"/>
    <w:rsid w:val="00D270A4"/>
    <w:rsid w:val="00D27748"/>
    <w:rsid w:val="00D27EC7"/>
    <w:rsid w:val="00D30717"/>
    <w:rsid w:val="00D3071B"/>
    <w:rsid w:val="00D31646"/>
    <w:rsid w:val="00D31FE9"/>
    <w:rsid w:val="00D344BA"/>
    <w:rsid w:val="00D34E1B"/>
    <w:rsid w:val="00D376BA"/>
    <w:rsid w:val="00D45634"/>
    <w:rsid w:val="00D469BD"/>
    <w:rsid w:val="00D501A3"/>
    <w:rsid w:val="00D5266C"/>
    <w:rsid w:val="00D5568A"/>
    <w:rsid w:val="00D56CCD"/>
    <w:rsid w:val="00D6283A"/>
    <w:rsid w:val="00D63D73"/>
    <w:rsid w:val="00D64452"/>
    <w:rsid w:val="00D66E1E"/>
    <w:rsid w:val="00D7093C"/>
    <w:rsid w:val="00D72EEA"/>
    <w:rsid w:val="00D75722"/>
    <w:rsid w:val="00D80CF5"/>
    <w:rsid w:val="00D840B9"/>
    <w:rsid w:val="00D93C44"/>
    <w:rsid w:val="00D957D8"/>
    <w:rsid w:val="00D96B56"/>
    <w:rsid w:val="00DA18C8"/>
    <w:rsid w:val="00DA5BBA"/>
    <w:rsid w:val="00DA5F90"/>
    <w:rsid w:val="00DA6B24"/>
    <w:rsid w:val="00DB11C3"/>
    <w:rsid w:val="00DB26D2"/>
    <w:rsid w:val="00DB67C9"/>
    <w:rsid w:val="00DB7B82"/>
    <w:rsid w:val="00DC0C95"/>
    <w:rsid w:val="00DC2432"/>
    <w:rsid w:val="00DC2E9E"/>
    <w:rsid w:val="00DC39DF"/>
    <w:rsid w:val="00DC45DB"/>
    <w:rsid w:val="00DC7697"/>
    <w:rsid w:val="00DD0AD5"/>
    <w:rsid w:val="00DD2CA9"/>
    <w:rsid w:val="00DD4217"/>
    <w:rsid w:val="00DD6580"/>
    <w:rsid w:val="00DD6F81"/>
    <w:rsid w:val="00DE7828"/>
    <w:rsid w:val="00DF219E"/>
    <w:rsid w:val="00DF3666"/>
    <w:rsid w:val="00E030C8"/>
    <w:rsid w:val="00E12684"/>
    <w:rsid w:val="00E12C26"/>
    <w:rsid w:val="00E12DEC"/>
    <w:rsid w:val="00E13FCE"/>
    <w:rsid w:val="00E152A3"/>
    <w:rsid w:val="00E17C72"/>
    <w:rsid w:val="00E210CC"/>
    <w:rsid w:val="00E21FC6"/>
    <w:rsid w:val="00E230B7"/>
    <w:rsid w:val="00E431A9"/>
    <w:rsid w:val="00E45C66"/>
    <w:rsid w:val="00E47747"/>
    <w:rsid w:val="00E50829"/>
    <w:rsid w:val="00E55A7B"/>
    <w:rsid w:val="00E60C15"/>
    <w:rsid w:val="00E60DB8"/>
    <w:rsid w:val="00E6398B"/>
    <w:rsid w:val="00E64A04"/>
    <w:rsid w:val="00E6603C"/>
    <w:rsid w:val="00E669E2"/>
    <w:rsid w:val="00E70D76"/>
    <w:rsid w:val="00E76135"/>
    <w:rsid w:val="00E80663"/>
    <w:rsid w:val="00E82F4F"/>
    <w:rsid w:val="00E90265"/>
    <w:rsid w:val="00E94CFF"/>
    <w:rsid w:val="00E94E74"/>
    <w:rsid w:val="00EA0CDD"/>
    <w:rsid w:val="00EB0D43"/>
    <w:rsid w:val="00EB0D86"/>
    <w:rsid w:val="00EB3388"/>
    <w:rsid w:val="00EC042C"/>
    <w:rsid w:val="00EC114C"/>
    <w:rsid w:val="00EC192E"/>
    <w:rsid w:val="00EC2815"/>
    <w:rsid w:val="00EC2844"/>
    <w:rsid w:val="00EC4DAE"/>
    <w:rsid w:val="00EC5500"/>
    <w:rsid w:val="00EC67BD"/>
    <w:rsid w:val="00ED2C38"/>
    <w:rsid w:val="00ED6A1A"/>
    <w:rsid w:val="00ED7C2A"/>
    <w:rsid w:val="00EE5DB0"/>
    <w:rsid w:val="00EE6F81"/>
    <w:rsid w:val="00EF6C6C"/>
    <w:rsid w:val="00EF6FC7"/>
    <w:rsid w:val="00F014DD"/>
    <w:rsid w:val="00F03364"/>
    <w:rsid w:val="00F050B2"/>
    <w:rsid w:val="00F056FC"/>
    <w:rsid w:val="00F05ABF"/>
    <w:rsid w:val="00F10476"/>
    <w:rsid w:val="00F122FD"/>
    <w:rsid w:val="00F12AED"/>
    <w:rsid w:val="00F135D8"/>
    <w:rsid w:val="00F1556D"/>
    <w:rsid w:val="00F2089D"/>
    <w:rsid w:val="00F23102"/>
    <w:rsid w:val="00F25D69"/>
    <w:rsid w:val="00F26099"/>
    <w:rsid w:val="00F310E9"/>
    <w:rsid w:val="00F31299"/>
    <w:rsid w:val="00F33FAA"/>
    <w:rsid w:val="00F3534A"/>
    <w:rsid w:val="00F4075A"/>
    <w:rsid w:val="00F424E5"/>
    <w:rsid w:val="00F45BA0"/>
    <w:rsid w:val="00F51609"/>
    <w:rsid w:val="00F53418"/>
    <w:rsid w:val="00F54F8B"/>
    <w:rsid w:val="00F67155"/>
    <w:rsid w:val="00F7176A"/>
    <w:rsid w:val="00F73AAC"/>
    <w:rsid w:val="00F74D2E"/>
    <w:rsid w:val="00F821D4"/>
    <w:rsid w:val="00F82877"/>
    <w:rsid w:val="00F85325"/>
    <w:rsid w:val="00F86B9E"/>
    <w:rsid w:val="00F90040"/>
    <w:rsid w:val="00FA022F"/>
    <w:rsid w:val="00FB5769"/>
    <w:rsid w:val="00FB58D8"/>
    <w:rsid w:val="00FB63BA"/>
    <w:rsid w:val="00FC22CC"/>
    <w:rsid w:val="00FC4086"/>
    <w:rsid w:val="00FC4891"/>
    <w:rsid w:val="00FC55DD"/>
    <w:rsid w:val="00FD22B1"/>
    <w:rsid w:val="00FD2843"/>
    <w:rsid w:val="00FD59D5"/>
    <w:rsid w:val="00FD7170"/>
    <w:rsid w:val="00FE331A"/>
    <w:rsid w:val="00FE5066"/>
    <w:rsid w:val="00FE52E4"/>
    <w:rsid w:val="00FE5AA1"/>
    <w:rsid w:val="00FE6A9F"/>
    <w:rsid w:val="00FF05A1"/>
    <w:rsid w:val="00FF132C"/>
    <w:rsid w:val="00FF3049"/>
    <w:rsid w:val="00FF3B00"/>
    <w:rsid w:val="00FF502D"/>
    <w:rsid w:val="00FF51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uiPriority="99" w:qFormat="1"/>
    <w:lsdException w:name="Subtitle" w:qFormat="1"/>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aliases w:val="Body Text1 Char,new legislation style Char,new legislation style1 Char,new legislation style Ch Char"/>
    <w:basedOn w:val="DefaultParagraphFont"/>
    <w:link w:val="BodyText"/>
    <w:uiPriority w:val="99"/>
    <w:rsid w:val="001B1744"/>
    <w:rPr>
      <w:sz w:val="26"/>
    </w:rPr>
  </w:style>
  <w:style w:type="paragraph" w:styleId="CommentSubject">
    <w:name w:val="annotation subject"/>
    <w:basedOn w:val="CommentText"/>
    <w:next w:val="CommentText"/>
    <w:link w:val="CommentSubjectChar"/>
    <w:rsid w:val="0064018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4018A"/>
    <w:rPr>
      <w:szCs w:val="24"/>
    </w:rPr>
  </w:style>
  <w:style w:type="character" w:customStyle="1" w:styleId="CommentSubjectChar">
    <w:name w:val="Comment Subject Char"/>
    <w:basedOn w:val="CommentTextChar"/>
    <w:link w:val="CommentSubject"/>
    <w:rsid w:val="0064018A"/>
    <w:rPr>
      <w:b/>
      <w:bCs/>
      <w:szCs w:val="24"/>
    </w:rPr>
  </w:style>
  <w:style w:type="paragraph" w:styleId="Revision">
    <w:name w:val="Revision"/>
    <w:hidden/>
    <w:uiPriority w:val="99"/>
    <w:semiHidden/>
    <w:rsid w:val="004F74F6"/>
    <w:rPr>
      <w:sz w:val="26"/>
      <w:szCs w:val="24"/>
    </w:rPr>
  </w:style>
  <w:style w:type="paragraph" w:customStyle="1" w:styleId="BoxSpaceAbove">
    <w:name w:val="Box Space Above"/>
    <w:basedOn w:val="BodyText"/>
    <w:rsid w:val="00997333"/>
    <w:pPr>
      <w:keepNext/>
      <w:spacing w:before="360" w:line="80" w:lineRule="exact"/>
      <w:jc w:val="left"/>
    </w:pPr>
  </w:style>
  <w:style w:type="paragraph" w:customStyle="1" w:styleId="BoxSpaceBelow">
    <w:name w:val="Box Space Below"/>
    <w:basedOn w:val="Box"/>
    <w:rsid w:val="00997333"/>
    <w:pPr>
      <w:keepNext w:val="0"/>
      <w:spacing w:before="60" w:after="60" w:line="80" w:lineRule="exact"/>
    </w:pPr>
    <w:rPr>
      <w:sz w:val="14"/>
    </w:rPr>
  </w:style>
  <w:style w:type="character" w:customStyle="1" w:styleId="NoteChar">
    <w:name w:val="Note Char"/>
    <w:basedOn w:val="BodyTextChar"/>
    <w:link w:val="Note"/>
    <w:rsid w:val="007C4A2B"/>
    <w:rPr>
      <w:rFonts w:ascii="Arial" w:hAnsi="Arial"/>
      <w:sz w:val="18"/>
    </w:rPr>
  </w:style>
  <w:style w:type="character" w:styleId="Strong">
    <w:name w:val="Strong"/>
    <w:basedOn w:val="DefaultParagraphFont"/>
    <w:uiPriority w:val="22"/>
    <w:qFormat/>
    <w:rsid w:val="00CB094D"/>
    <w:rPr>
      <w:rFonts w:ascii="Times New Roman" w:hAnsi="Times New Roman" w:cs="Times New Roman" w:hint="default"/>
      <w:b/>
      <w:bCs/>
      <w:sz w:val="24"/>
      <w:szCs w:val="24"/>
      <w:bdr w:val="none" w:sz="0" w:space="0" w:color="auto" w:frame="1"/>
      <w:vertAlign w:val="baseline"/>
    </w:rPr>
  </w:style>
  <w:style w:type="paragraph" w:styleId="NormalWeb">
    <w:name w:val="Normal (Web)"/>
    <w:basedOn w:val="Normal"/>
    <w:uiPriority w:val="99"/>
    <w:unhideWhenUsed/>
    <w:rsid w:val="00CB094D"/>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uiPriority="99" w:qFormat="1"/>
    <w:lsdException w:name="Subtitle" w:qFormat="1"/>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aliases w:val="Body Text1 Char,new legislation style Char,new legislation style1 Char,new legislation style Ch Char"/>
    <w:basedOn w:val="DefaultParagraphFont"/>
    <w:link w:val="BodyText"/>
    <w:uiPriority w:val="99"/>
    <w:rsid w:val="001B1744"/>
    <w:rPr>
      <w:sz w:val="26"/>
    </w:rPr>
  </w:style>
  <w:style w:type="paragraph" w:styleId="CommentSubject">
    <w:name w:val="annotation subject"/>
    <w:basedOn w:val="CommentText"/>
    <w:next w:val="CommentText"/>
    <w:link w:val="CommentSubjectChar"/>
    <w:rsid w:val="0064018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4018A"/>
    <w:rPr>
      <w:szCs w:val="24"/>
    </w:rPr>
  </w:style>
  <w:style w:type="character" w:customStyle="1" w:styleId="CommentSubjectChar">
    <w:name w:val="Comment Subject Char"/>
    <w:basedOn w:val="CommentTextChar"/>
    <w:link w:val="CommentSubject"/>
    <w:rsid w:val="0064018A"/>
    <w:rPr>
      <w:b/>
      <w:bCs/>
      <w:szCs w:val="24"/>
    </w:rPr>
  </w:style>
  <w:style w:type="paragraph" w:styleId="Revision">
    <w:name w:val="Revision"/>
    <w:hidden/>
    <w:uiPriority w:val="99"/>
    <w:semiHidden/>
    <w:rsid w:val="004F74F6"/>
    <w:rPr>
      <w:sz w:val="26"/>
      <w:szCs w:val="24"/>
    </w:rPr>
  </w:style>
  <w:style w:type="paragraph" w:customStyle="1" w:styleId="BoxSpaceAbove">
    <w:name w:val="Box Space Above"/>
    <w:basedOn w:val="BodyText"/>
    <w:rsid w:val="00997333"/>
    <w:pPr>
      <w:keepNext/>
      <w:spacing w:before="360" w:line="80" w:lineRule="exact"/>
      <w:jc w:val="left"/>
    </w:pPr>
  </w:style>
  <w:style w:type="paragraph" w:customStyle="1" w:styleId="BoxSpaceBelow">
    <w:name w:val="Box Space Below"/>
    <w:basedOn w:val="Box"/>
    <w:rsid w:val="00997333"/>
    <w:pPr>
      <w:keepNext w:val="0"/>
      <w:spacing w:before="60" w:after="60" w:line="80" w:lineRule="exact"/>
    </w:pPr>
    <w:rPr>
      <w:sz w:val="14"/>
    </w:rPr>
  </w:style>
  <w:style w:type="character" w:customStyle="1" w:styleId="NoteChar">
    <w:name w:val="Note Char"/>
    <w:basedOn w:val="BodyTextChar"/>
    <w:link w:val="Note"/>
    <w:rsid w:val="007C4A2B"/>
    <w:rPr>
      <w:rFonts w:ascii="Arial" w:hAnsi="Arial"/>
      <w:sz w:val="18"/>
    </w:rPr>
  </w:style>
  <w:style w:type="character" w:styleId="Strong">
    <w:name w:val="Strong"/>
    <w:basedOn w:val="DefaultParagraphFont"/>
    <w:uiPriority w:val="22"/>
    <w:qFormat/>
    <w:rsid w:val="00CB094D"/>
    <w:rPr>
      <w:rFonts w:ascii="Times New Roman" w:hAnsi="Times New Roman" w:cs="Times New Roman" w:hint="default"/>
      <w:b/>
      <w:bCs/>
      <w:sz w:val="24"/>
      <w:szCs w:val="24"/>
      <w:bdr w:val="none" w:sz="0" w:space="0" w:color="auto" w:frame="1"/>
      <w:vertAlign w:val="baseline"/>
    </w:rPr>
  </w:style>
  <w:style w:type="paragraph" w:styleId="NormalWeb">
    <w:name w:val="Normal (Web)"/>
    <w:basedOn w:val="Normal"/>
    <w:uiPriority w:val="99"/>
    <w:unhideWhenUsed/>
    <w:rsid w:val="00CB094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35324">
      <w:bodyDiv w:val="1"/>
      <w:marLeft w:val="0"/>
      <w:marRight w:val="0"/>
      <w:marTop w:val="0"/>
      <w:marBottom w:val="0"/>
      <w:divBdr>
        <w:top w:val="none" w:sz="0" w:space="0" w:color="auto"/>
        <w:left w:val="none" w:sz="0" w:space="0" w:color="auto"/>
        <w:bottom w:val="none" w:sz="0" w:space="0" w:color="auto"/>
        <w:right w:val="none" w:sz="0" w:space="0" w:color="auto"/>
      </w:divBdr>
    </w:div>
    <w:div w:id="780806599">
      <w:bodyDiv w:val="1"/>
      <w:marLeft w:val="0"/>
      <w:marRight w:val="0"/>
      <w:marTop w:val="0"/>
      <w:marBottom w:val="0"/>
      <w:divBdr>
        <w:top w:val="none" w:sz="0" w:space="0" w:color="auto"/>
        <w:left w:val="none" w:sz="0" w:space="0" w:color="auto"/>
        <w:bottom w:val="none" w:sz="0" w:space="0" w:color="auto"/>
        <w:right w:val="none" w:sz="0" w:space="0" w:color="auto"/>
      </w:divBdr>
    </w:div>
    <w:div w:id="120294077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chart" Target="charts/chart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chart" Target="charts/chart4.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'OV - Figure 1'!$D$7</c:f>
              <c:strCache>
                <c:ptCount val="1"/>
                <c:pt idx="0">
                  <c:v>Budgetary assistance</c:v>
                </c:pt>
              </c:strCache>
            </c:strRef>
          </c:tx>
          <c:spPr>
            <a:solidFill>
              <a:srgbClr val="78A22F"/>
            </a:solidFill>
          </c:spPr>
          <c:invertIfNegative val="0"/>
          <c:cat>
            <c:strRef>
              <c:f>'OV - Figure 1'!$E$6:$H$6</c:f>
              <c:strCache>
                <c:ptCount val="4"/>
                <c:pt idx="0">
                  <c:v>Primary production</c:v>
                </c:pt>
                <c:pt idx="1">
                  <c:v>Mining</c:v>
                </c:pt>
                <c:pt idx="2">
                  <c:v>Manufacturing</c:v>
                </c:pt>
                <c:pt idx="3">
                  <c:v>Services</c:v>
                </c:pt>
              </c:strCache>
            </c:strRef>
          </c:cat>
          <c:val>
            <c:numRef>
              <c:f>'OV - Figure 1'!$E$7:$H$7</c:f>
              <c:numCache>
                <c:formatCode>0.0</c:formatCode>
                <c:ptCount val="4"/>
                <c:pt idx="0">
                  <c:v>1.1327417241683571</c:v>
                </c:pt>
                <c:pt idx="1">
                  <c:v>0.54645276277815835</c:v>
                </c:pt>
                <c:pt idx="2">
                  <c:v>1.6092063195036062</c:v>
                </c:pt>
                <c:pt idx="3">
                  <c:v>3.3267402158816872</c:v>
                </c:pt>
              </c:numCache>
            </c:numRef>
          </c:val>
        </c:ser>
        <c:ser>
          <c:idx val="1"/>
          <c:order val="1"/>
          <c:tx>
            <c:strRef>
              <c:f>'OV - Figure 1'!$D$8</c:f>
              <c:strCache>
                <c:ptCount val="1"/>
                <c:pt idx="0">
                  <c:v>Output tariff assistance</c:v>
                </c:pt>
              </c:strCache>
            </c:strRef>
          </c:tx>
          <c:spPr>
            <a:solidFill>
              <a:srgbClr val="344893"/>
            </a:solidFill>
          </c:spPr>
          <c:invertIfNegative val="0"/>
          <c:cat>
            <c:strRef>
              <c:f>'OV - Figure 1'!$E$6:$H$6</c:f>
              <c:strCache>
                <c:ptCount val="4"/>
                <c:pt idx="0">
                  <c:v>Primary production</c:v>
                </c:pt>
                <c:pt idx="1">
                  <c:v>Mining</c:v>
                </c:pt>
                <c:pt idx="2">
                  <c:v>Manufacturing</c:v>
                </c:pt>
                <c:pt idx="3">
                  <c:v>Services</c:v>
                </c:pt>
              </c:strCache>
            </c:strRef>
          </c:cat>
          <c:val>
            <c:numRef>
              <c:f>'OV - Figure 1'!$E$8:$H$8</c:f>
              <c:numCache>
                <c:formatCode>0.0</c:formatCode>
                <c:ptCount val="4"/>
                <c:pt idx="0">
                  <c:v>0.24194366722998953</c:v>
                </c:pt>
                <c:pt idx="1">
                  <c:v>9.991020506590054E-4</c:v>
                </c:pt>
                <c:pt idx="2">
                  <c:v>7.6001213917171935</c:v>
                </c:pt>
                <c:pt idx="3">
                  <c:v>0</c:v>
                </c:pt>
              </c:numCache>
            </c:numRef>
          </c:val>
        </c:ser>
        <c:ser>
          <c:idx val="2"/>
          <c:order val="2"/>
          <c:tx>
            <c:strRef>
              <c:f>'OV - Figure 1'!$D$9</c:f>
              <c:strCache>
                <c:ptCount val="1"/>
                <c:pt idx="0">
                  <c:v>Input tariff penalty</c:v>
                </c:pt>
              </c:strCache>
            </c:strRef>
          </c:tx>
          <c:spPr>
            <a:solidFill>
              <a:srgbClr val="B4C98B"/>
            </a:solidFill>
          </c:spPr>
          <c:invertIfNegative val="0"/>
          <c:cat>
            <c:strRef>
              <c:f>'OV - Figure 1'!$E$6:$H$6</c:f>
              <c:strCache>
                <c:ptCount val="4"/>
                <c:pt idx="0">
                  <c:v>Primary production</c:v>
                </c:pt>
                <c:pt idx="1">
                  <c:v>Mining</c:v>
                </c:pt>
                <c:pt idx="2">
                  <c:v>Manufacturing</c:v>
                </c:pt>
                <c:pt idx="3">
                  <c:v>Services</c:v>
                </c:pt>
              </c:strCache>
            </c:strRef>
          </c:cat>
          <c:val>
            <c:numRef>
              <c:f>'OV - Figure 1'!$E$9:$H$9</c:f>
              <c:numCache>
                <c:formatCode>0.0</c:formatCode>
                <c:ptCount val="4"/>
                <c:pt idx="0">
                  <c:v>-8.1642662333704291E-2</c:v>
                </c:pt>
                <c:pt idx="1">
                  <c:v>-0.21678791198439104</c:v>
                </c:pt>
                <c:pt idx="2">
                  <c:v>-2.0784299034546709</c:v>
                </c:pt>
                <c:pt idx="3">
                  <c:v>-4.7355169366230712</c:v>
                </c:pt>
              </c:numCache>
            </c:numRef>
          </c:val>
        </c:ser>
        <c:dLbls>
          <c:showLegendKey val="0"/>
          <c:showVal val="0"/>
          <c:showCatName val="0"/>
          <c:showSerName val="0"/>
          <c:showPercent val="0"/>
          <c:showBubbleSize val="0"/>
        </c:dLbls>
        <c:gapWidth val="51"/>
        <c:axId val="178629632"/>
        <c:axId val="166974208"/>
      </c:barChart>
      <c:catAx>
        <c:axId val="178629632"/>
        <c:scaling>
          <c:orientation val="minMax"/>
        </c:scaling>
        <c:delete val="0"/>
        <c:axPos val="b"/>
        <c:majorTickMark val="cross"/>
        <c:minorTickMark val="none"/>
        <c:tickLblPos val="nextTo"/>
        <c:spPr>
          <a:ln w="12700">
            <a:prstDash val="solid"/>
          </a:ln>
        </c:spPr>
        <c:crossAx val="166974208"/>
        <c:crosses val="autoZero"/>
        <c:auto val="1"/>
        <c:lblAlgn val="ctr"/>
        <c:lblOffset val="100"/>
        <c:noMultiLvlLbl val="0"/>
      </c:catAx>
      <c:valAx>
        <c:axId val="166974208"/>
        <c:scaling>
          <c:orientation val="minMax"/>
          <c:max val="8"/>
          <c:min val="-5"/>
        </c:scaling>
        <c:delete val="0"/>
        <c:axPos val="l"/>
        <c:majorGridlines>
          <c:spPr>
            <a:ln>
              <a:solidFill>
                <a:schemeClr val="bg1">
                  <a:lumMod val="85000"/>
                </a:schemeClr>
              </a:solidFill>
            </a:ln>
          </c:spPr>
        </c:majorGridlines>
        <c:title>
          <c:tx>
            <c:rich>
              <a:bodyPr rot="-5400000" vert="horz"/>
              <a:lstStyle/>
              <a:p>
                <a:pPr>
                  <a:defRPr/>
                </a:pPr>
                <a:r>
                  <a:rPr lang="en-AU"/>
                  <a:t>$ billion</a:t>
                </a:r>
              </a:p>
            </c:rich>
          </c:tx>
          <c:overlay val="0"/>
        </c:title>
        <c:numFmt formatCode="0" sourceLinked="0"/>
        <c:majorTickMark val="out"/>
        <c:minorTickMark val="none"/>
        <c:tickLblPos val="nextTo"/>
        <c:crossAx val="178629632"/>
        <c:crosses val="autoZero"/>
        <c:crossBetween val="between"/>
        <c:majorUnit val="2"/>
      </c:valAx>
    </c:plotArea>
    <c:legend>
      <c:legendPos val="b"/>
      <c:overlay val="0"/>
    </c:legend>
    <c:plotVisOnly val="1"/>
    <c:dispBlanksAs val="gap"/>
    <c:showDLblsOverMax val="0"/>
  </c:chart>
  <c:spPr>
    <a:ln>
      <a:noFill/>
    </a:ln>
  </c:spPr>
  <c:txPr>
    <a:bodyPr/>
    <a:lstStyle/>
    <a:p>
      <a:pPr>
        <a:defRPr sz="1000">
          <a:latin typeface="Arial" panose="020B0604020202020204" pitchFamily="34" charset="0"/>
          <a:cs typeface="Arial" panose="020B0604020202020204"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2965604430337"/>
          <c:y val="4.6107831859442013E-2"/>
          <c:w val="0.83233797346012373"/>
          <c:h val="0.74033855202138221"/>
        </c:manualLayout>
      </c:layout>
      <c:barChart>
        <c:barDir val="col"/>
        <c:grouping val="stacked"/>
        <c:varyColors val="0"/>
        <c:ser>
          <c:idx val="0"/>
          <c:order val="0"/>
          <c:tx>
            <c:v>Outlays</c:v>
          </c:tx>
          <c:spPr>
            <a:solidFill>
              <a:srgbClr val="344893"/>
            </a:solidFill>
            <a:ln>
              <a:noFill/>
            </a:ln>
          </c:spPr>
          <c:invertIfNegative val="0"/>
          <c:cat>
            <c:strRef>
              <c:f>'OV - Fig 2 &amp; Fig 4.2'!$B$4:$G$4</c:f>
              <c:strCache>
                <c:ptCount val="6"/>
                <c:pt idx="0">
                  <c:v>2007-08</c:v>
                </c:pt>
                <c:pt idx="1">
                  <c:v>2008-09</c:v>
                </c:pt>
                <c:pt idx="2">
                  <c:v>2009-10</c:v>
                </c:pt>
                <c:pt idx="3">
                  <c:v>2010-11</c:v>
                </c:pt>
                <c:pt idx="4">
                  <c:v>2011-12</c:v>
                </c:pt>
                <c:pt idx="5">
                  <c:v>2012-13</c:v>
                </c:pt>
              </c:strCache>
            </c:strRef>
          </c:cat>
          <c:val>
            <c:numRef>
              <c:f>'OV - Fig 2 &amp; Fig 4.2'!$B$5:$G$5</c:f>
              <c:numCache>
                <c:formatCode>0.0</c:formatCode>
                <c:ptCount val="6"/>
                <c:pt idx="0">
                  <c:v>4.4475573658100718</c:v>
                </c:pt>
                <c:pt idx="1">
                  <c:v>3.7329550683844874</c:v>
                </c:pt>
                <c:pt idx="2">
                  <c:v>3.8682655205717409</c:v>
                </c:pt>
                <c:pt idx="3">
                  <c:v>3.6302791149337907</c:v>
                </c:pt>
                <c:pt idx="4">
                  <c:v>5.2128826895665004</c:v>
                </c:pt>
                <c:pt idx="5">
                  <c:v>4.3751497126288257</c:v>
                </c:pt>
              </c:numCache>
            </c:numRef>
          </c:val>
        </c:ser>
        <c:ser>
          <c:idx val="1"/>
          <c:order val="1"/>
          <c:tx>
            <c:v>Tax concessions</c:v>
          </c:tx>
          <c:spPr>
            <a:solidFill>
              <a:srgbClr val="78A22F"/>
            </a:solidFill>
            <a:ln>
              <a:noFill/>
            </a:ln>
          </c:spPr>
          <c:invertIfNegative val="0"/>
          <c:cat>
            <c:strRef>
              <c:f>'OV - Fig 2 &amp; Fig 4.2'!$B$4:$G$4</c:f>
              <c:strCache>
                <c:ptCount val="6"/>
                <c:pt idx="0">
                  <c:v>2007-08</c:v>
                </c:pt>
                <c:pt idx="1">
                  <c:v>2008-09</c:v>
                </c:pt>
                <c:pt idx="2">
                  <c:v>2009-10</c:v>
                </c:pt>
                <c:pt idx="3">
                  <c:v>2010-11</c:v>
                </c:pt>
                <c:pt idx="4">
                  <c:v>2011-12</c:v>
                </c:pt>
                <c:pt idx="5">
                  <c:v>2012-13</c:v>
                </c:pt>
              </c:strCache>
            </c:strRef>
          </c:cat>
          <c:val>
            <c:numRef>
              <c:f>'OV - Fig 2 &amp; Fig 4.2'!$B$6:$G$6</c:f>
              <c:numCache>
                <c:formatCode>0.0</c:formatCode>
                <c:ptCount val="6"/>
                <c:pt idx="0">
                  <c:v>3.9878884420000018</c:v>
                </c:pt>
                <c:pt idx="1">
                  <c:v>4.6070524150998926</c:v>
                </c:pt>
                <c:pt idx="2">
                  <c:v>5.9209694848163137</c:v>
                </c:pt>
                <c:pt idx="3">
                  <c:v>6.4058573460000003</c:v>
                </c:pt>
                <c:pt idx="4">
                  <c:v>4.780197514000001</c:v>
                </c:pt>
                <c:pt idx="5">
                  <c:v>3.3958018078900012</c:v>
                </c:pt>
              </c:numCache>
            </c:numRef>
          </c:val>
        </c:ser>
        <c:dLbls>
          <c:showLegendKey val="0"/>
          <c:showVal val="0"/>
          <c:showCatName val="0"/>
          <c:showSerName val="0"/>
          <c:showPercent val="0"/>
          <c:showBubbleSize val="0"/>
        </c:dLbls>
        <c:gapWidth val="76"/>
        <c:overlap val="100"/>
        <c:axId val="166606336"/>
        <c:axId val="166607872"/>
      </c:barChart>
      <c:catAx>
        <c:axId val="166606336"/>
        <c:scaling>
          <c:orientation val="minMax"/>
        </c:scaling>
        <c:delete val="0"/>
        <c:axPos val="b"/>
        <c:majorTickMark val="out"/>
        <c:minorTickMark val="none"/>
        <c:tickLblPos val="nextTo"/>
        <c:txPr>
          <a:bodyPr rot="-2700000"/>
          <a:lstStyle/>
          <a:p>
            <a:pPr>
              <a:defRPr sz="900">
                <a:latin typeface="Arial" panose="020B0604020202020204" pitchFamily="34" charset="0"/>
                <a:cs typeface="Arial" panose="020B0604020202020204" pitchFamily="34" charset="0"/>
              </a:defRPr>
            </a:pPr>
            <a:endParaRPr lang="en-US"/>
          </a:p>
        </c:txPr>
        <c:crossAx val="166607872"/>
        <c:crosses val="autoZero"/>
        <c:auto val="1"/>
        <c:lblAlgn val="ctr"/>
        <c:lblOffset val="100"/>
        <c:noMultiLvlLbl val="0"/>
      </c:catAx>
      <c:valAx>
        <c:axId val="166607872"/>
        <c:scaling>
          <c:orientation val="minMax"/>
          <c:max val="11"/>
          <c:min val="0"/>
        </c:scaling>
        <c:delete val="0"/>
        <c:axPos val="l"/>
        <c:majorGridlines>
          <c:spPr>
            <a:ln>
              <a:solidFill>
                <a:schemeClr val="bg1">
                  <a:lumMod val="85000"/>
                </a:schemeClr>
              </a:solidFill>
            </a:ln>
          </c:spPr>
        </c:majorGridlines>
        <c:numFmt formatCode="#,##0" sourceLinked="0"/>
        <c:majorTickMark val="out"/>
        <c:minorTickMark val="none"/>
        <c:tickLblPos val="nextTo"/>
        <c:spPr>
          <a:ln w="9525"/>
        </c:spPr>
        <c:txPr>
          <a:bodyPr/>
          <a:lstStyle/>
          <a:p>
            <a:pPr>
              <a:defRPr sz="900">
                <a:latin typeface="Arial" panose="020B0604020202020204" pitchFamily="34" charset="0"/>
                <a:cs typeface="Arial" panose="020B0604020202020204" pitchFamily="34" charset="0"/>
              </a:defRPr>
            </a:pPr>
            <a:endParaRPr lang="en-US"/>
          </a:p>
        </c:txPr>
        <c:crossAx val="166606336"/>
        <c:crosses val="autoZero"/>
        <c:crossBetween val="between"/>
        <c:majorUnit val="2"/>
        <c:minorUnit val="0.4"/>
      </c:valAx>
    </c:plotArea>
    <c:legend>
      <c:legendPos val="b"/>
      <c:overlay val="0"/>
      <c:txPr>
        <a:bodyPr/>
        <a:lstStyle/>
        <a:p>
          <a:pPr>
            <a:defRPr sz="900">
              <a:latin typeface="Arial" panose="020B0604020202020204" pitchFamily="34" charset="0"/>
              <a:cs typeface="Arial" panose="020B0604020202020204" pitchFamily="34" charset="0"/>
            </a:defRPr>
          </a:pPr>
          <a:endParaRPr lang="en-US"/>
        </a:p>
      </c:txPr>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'OV - Figure 3'!$B$10</c:f>
              <c:strCache>
                <c:ptCount val="1"/>
                <c:pt idx="0">
                  <c:v>Net combined assistance</c:v>
                </c:pt>
              </c:strCache>
            </c:strRef>
          </c:tx>
          <c:spPr>
            <a:solidFill>
              <a:srgbClr val="78A22F"/>
            </a:solidFill>
          </c:spPr>
          <c:invertIfNegative val="0"/>
          <c:cat>
            <c:strRef>
              <c:f>'OV - Figure 3'!$C$9:$M$9</c:f>
              <c:strCache>
                <c:ptCount val="11"/>
                <c:pt idx="0">
                  <c:v>Metal products</c:v>
                </c:pt>
                <c:pt idx="1">
                  <c:v>Food, beverages &amp; tobacco</c:v>
                </c:pt>
                <c:pt idx="2">
                  <c:v>Petroleum &amp; chemical products</c:v>
                </c:pt>
                <c:pt idx="3">
                  <c:v>Motor vehicle &amp; parts</c:v>
                </c:pt>
                <c:pt idx="4">
                  <c:v>Machinery &amp; equipment</c:v>
                </c:pt>
                <c:pt idx="5">
                  <c:v>Wood &amp; paper products</c:v>
                </c:pt>
                <c:pt idx="6">
                  <c:v>Textile, clothing &amp; footwear</c:v>
                </c:pt>
                <c:pt idx="7">
                  <c:v>Non-Metallic mineral products</c:v>
                </c:pt>
                <c:pt idx="8">
                  <c:v>Printing &amp; recorded media</c:v>
                </c:pt>
                <c:pt idx="9">
                  <c:v>Furniture products</c:v>
                </c:pt>
                <c:pt idx="10">
                  <c:v>Other transport equipment</c:v>
                </c:pt>
              </c:strCache>
            </c:strRef>
          </c:cat>
          <c:val>
            <c:numRef>
              <c:f>'OV - Figure 3'!$C$10:$M$10</c:f>
              <c:numCache>
                <c:formatCode>General</c:formatCode>
                <c:ptCount val="11"/>
                <c:pt idx="0">
                  <c:v>1.3888375617517177</c:v>
                </c:pt>
                <c:pt idx="1">
                  <c:v>1.3473406160268764</c:v>
                </c:pt>
                <c:pt idx="2">
                  <c:v>1.0471895443554939</c:v>
                </c:pt>
                <c:pt idx="3">
                  <c:v>0.99008992623694414</c:v>
                </c:pt>
                <c:pt idx="4">
                  <c:v>0.66715926021454652</c:v>
                </c:pt>
                <c:pt idx="5">
                  <c:v>0.54033361442855443</c:v>
                </c:pt>
                <c:pt idx="6">
                  <c:v>0.30177974686588754</c:v>
                </c:pt>
                <c:pt idx="7">
                  <c:v>0.2391505159942327</c:v>
                </c:pt>
                <c:pt idx="8">
                  <c:v>0.20518646573002222</c:v>
                </c:pt>
                <c:pt idx="9">
                  <c:v>0.19832994631285039</c:v>
                </c:pt>
                <c:pt idx="10">
                  <c:v>3.851022463203916E-2</c:v>
                </c:pt>
              </c:numCache>
            </c:numRef>
          </c:val>
        </c:ser>
        <c:dLbls>
          <c:showLegendKey val="0"/>
          <c:showVal val="0"/>
          <c:showCatName val="0"/>
          <c:showSerName val="0"/>
          <c:showPercent val="0"/>
          <c:showBubbleSize val="0"/>
        </c:dLbls>
        <c:gapWidth val="26"/>
        <c:axId val="166616064"/>
        <c:axId val="166630144"/>
      </c:barChart>
      <c:catAx>
        <c:axId val="166616064"/>
        <c:scaling>
          <c:orientation val="minMax"/>
        </c:scaling>
        <c:delete val="0"/>
        <c:axPos val="b"/>
        <c:majorTickMark val="out"/>
        <c:minorTickMark val="none"/>
        <c:tickLblPos val="nextTo"/>
        <c:crossAx val="166630144"/>
        <c:crosses val="autoZero"/>
        <c:auto val="1"/>
        <c:lblAlgn val="ctr"/>
        <c:lblOffset val="100"/>
        <c:noMultiLvlLbl val="0"/>
      </c:catAx>
      <c:valAx>
        <c:axId val="166630144"/>
        <c:scaling>
          <c:orientation val="minMax"/>
          <c:max val="1.5"/>
          <c:min val="0"/>
        </c:scaling>
        <c:delete val="0"/>
        <c:axPos val="l"/>
        <c:majorGridlines>
          <c:spPr>
            <a:ln>
              <a:solidFill>
                <a:schemeClr val="bg1">
                  <a:lumMod val="85000"/>
                </a:schemeClr>
              </a:solidFill>
            </a:ln>
          </c:spPr>
        </c:majorGridlines>
        <c:title>
          <c:tx>
            <c:rich>
              <a:bodyPr rot="-5400000" vert="horz"/>
              <a:lstStyle/>
              <a:p>
                <a:pPr>
                  <a:defRPr/>
                </a:pPr>
                <a:r>
                  <a:rPr lang="en-AU"/>
                  <a:t>$ billion</a:t>
                </a:r>
              </a:p>
            </c:rich>
          </c:tx>
          <c:overlay val="0"/>
        </c:title>
        <c:numFmt formatCode="#,##0.0" sourceLinked="0"/>
        <c:majorTickMark val="out"/>
        <c:minorTickMark val="none"/>
        <c:tickLblPos val="nextTo"/>
        <c:crossAx val="166616064"/>
        <c:crosses val="autoZero"/>
        <c:crossBetween val="between"/>
        <c:majorUnit val="0.5"/>
      </c:valAx>
    </c:plotArea>
    <c:plotVisOnly val="1"/>
    <c:dispBlanksAs val="gap"/>
    <c:showDLblsOverMax val="0"/>
  </c:chart>
  <c:spPr>
    <a:ln>
      <a:noFill/>
    </a:ln>
  </c:spPr>
  <c:txPr>
    <a:bodyPr/>
    <a:lstStyle/>
    <a:p>
      <a:pPr>
        <a:defRPr>
          <a:latin typeface="Arial" panose="020B0604020202020204" pitchFamily="34" charset="0"/>
          <a:cs typeface="Arial" panose="020B0604020202020204" pitchFamily="34"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665025042784037"/>
          <c:y val="3.0651325144016407E-2"/>
          <c:w val="0.79020967316760893"/>
          <c:h val="0.69815685203650313"/>
        </c:manualLayout>
      </c:layout>
      <c:barChart>
        <c:barDir val="col"/>
        <c:grouping val="stacked"/>
        <c:varyColors val="0"/>
        <c:ser>
          <c:idx val="0"/>
          <c:order val="0"/>
          <c:tx>
            <c:strRef>
              <c:f>Summary!$A$45</c:f>
              <c:strCache>
                <c:ptCount val="1"/>
                <c:pt idx="0">
                  <c:v>CTC only</c:v>
                </c:pt>
              </c:strCache>
            </c:strRef>
          </c:tx>
          <c:spPr>
            <a:solidFill>
              <a:srgbClr val="344893"/>
            </a:solidFill>
            <a:ln>
              <a:noFill/>
            </a:ln>
          </c:spPr>
          <c:invertIfNegative val="0"/>
          <c:cat>
            <c:strRef>
              <c:f>Summary!$B$44:$H$44</c:f>
              <c:strCache>
                <c:ptCount val="7"/>
                <c:pt idx="0">
                  <c:v>New Zealand</c:v>
                </c:pt>
                <c:pt idx="1">
                  <c:v>Thailand</c:v>
                </c:pt>
                <c:pt idx="2">
                  <c:v>USA</c:v>
                </c:pt>
                <c:pt idx="3">
                  <c:v>Chile</c:v>
                </c:pt>
                <c:pt idx="4">
                  <c:v>ASEAN</c:v>
                </c:pt>
                <c:pt idx="5">
                  <c:v>Malaysia</c:v>
                </c:pt>
                <c:pt idx="6">
                  <c:v>Korea</c:v>
                </c:pt>
              </c:strCache>
            </c:strRef>
          </c:cat>
          <c:val>
            <c:numRef>
              <c:f>Summary!$B$45:$H$45</c:f>
              <c:numCache>
                <c:formatCode>0</c:formatCode>
                <c:ptCount val="7"/>
                <c:pt idx="0">
                  <c:v>69.88676574663836</c:v>
                </c:pt>
                <c:pt idx="1">
                  <c:v>68.030250945342047</c:v>
                </c:pt>
                <c:pt idx="2">
                  <c:v>77.959183673469397</c:v>
                </c:pt>
                <c:pt idx="3">
                  <c:v>80.663574741348555</c:v>
                </c:pt>
                <c:pt idx="4">
                  <c:v>11.154094132817537</c:v>
                </c:pt>
                <c:pt idx="5">
                  <c:v>10.684725357411589</c:v>
                </c:pt>
                <c:pt idx="6">
                  <c:v>59.346781940441886</c:v>
                </c:pt>
              </c:numCache>
            </c:numRef>
          </c:val>
        </c:ser>
        <c:ser>
          <c:idx val="2"/>
          <c:order val="1"/>
          <c:tx>
            <c:strRef>
              <c:f>Summary!$A$47</c:f>
              <c:strCache>
                <c:ptCount val="1"/>
                <c:pt idx="0">
                  <c:v>CTC or RVC</c:v>
                </c:pt>
              </c:strCache>
            </c:strRef>
          </c:tx>
          <c:spPr>
            <a:solidFill>
              <a:srgbClr val="78A22F"/>
            </a:solidFill>
            <a:ln>
              <a:noFill/>
            </a:ln>
          </c:spPr>
          <c:invertIfNegative val="0"/>
          <c:cat>
            <c:strRef>
              <c:f>Summary!$B$44:$H$44</c:f>
              <c:strCache>
                <c:ptCount val="7"/>
                <c:pt idx="0">
                  <c:v>New Zealand</c:v>
                </c:pt>
                <c:pt idx="1">
                  <c:v>Thailand</c:v>
                </c:pt>
                <c:pt idx="2">
                  <c:v>USA</c:v>
                </c:pt>
                <c:pt idx="3">
                  <c:v>Chile</c:v>
                </c:pt>
                <c:pt idx="4">
                  <c:v>ASEAN</c:v>
                </c:pt>
                <c:pt idx="5">
                  <c:v>Malaysia</c:v>
                </c:pt>
                <c:pt idx="6">
                  <c:v>Korea</c:v>
                </c:pt>
              </c:strCache>
            </c:strRef>
          </c:cat>
          <c:val>
            <c:numRef>
              <c:f>Summary!$B$47:$H$47</c:f>
              <c:numCache>
                <c:formatCode>0</c:formatCode>
                <c:ptCount val="7"/>
                <c:pt idx="0">
                  <c:v>2.8662420382165608</c:v>
                </c:pt>
                <c:pt idx="1">
                  <c:v>1.8906840838776213</c:v>
                </c:pt>
                <c:pt idx="2">
                  <c:v>16.224489795918366</c:v>
                </c:pt>
                <c:pt idx="3">
                  <c:v>6.6714234748483774</c:v>
                </c:pt>
                <c:pt idx="4">
                  <c:v>72.018052869116701</c:v>
                </c:pt>
                <c:pt idx="5">
                  <c:v>86.644093303235508</c:v>
                </c:pt>
                <c:pt idx="6">
                  <c:v>22.478386167146976</c:v>
                </c:pt>
              </c:numCache>
            </c:numRef>
          </c:val>
        </c:ser>
        <c:ser>
          <c:idx val="1"/>
          <c:order val="2"/>
          <c:tx>
            <c:strRef>
              <c:f>Summary!$A$46</c:f>
              <c:strCache>
                <c:ptCount val="1"/>
                <c:pt idx="0">
                  <c:v>RVC only</c:v>
                </c:pt>
              </c:strCache>
            </c:strRef>
          </c:tx>
          <c:spPr>
            <a:solidFill>
              <a:schemeClr val="tx1"/>
            </a:solidFill>
            <a:ln>
              <a:noFill/>
            </a:ln>
          </c:spPr>
          <c:invertIfNegative val="0"/>
          <c:cat>
            <c:strRef>
              <c:f>Summary!$B$44:$H$44</c:f>
              <c:strCache>
                <c:ptCount val="7"/>
                <c:pt idx="0">
                  <c:v>New Zealand</c:v>
                </c:pt>
                <c:pt idx="1">
                  <c:v>Thailand</c:v>
                </c:pt>
                <c:pt idx="2">
                  <c:v>USA</c:v>
                </c:pt>
                <c:pt idx="3">
                  <c:v>Chile</c:v>
                </c:pt>
                <c:pt idx="4">
                  <c:v>ASEAN</c:v>
                </c:pt>
                <c:pt idx="5">
                  <c:v>Malaysia</c:v>
                </c:pt>
                <c:pt idx="6">
                  <c:v>Korea</c:v>
                </c:pt>
              </c:strCache>
            </c:strRef>
          </c:cat>
          <c:val>
            <c:numRef>
              <c:f>Summary!$B$46:$H$46</c:f>
              <c:numCache>
                <c:formatCode>General</c:formatCode>
                <c:ptCount val="7"/>
                <c:pt idx="0">
                  <c:v>0</c:v>
                </c:pt>
                <c:pt idx="1">
                  <c:v>0</c:v>
                </c:pt>
                <c:pt idx="2" formatCode="0">
                  <c:v>0.30612244897959184</c:v>
                </c:pt>
                <c:pt idx="3">
                  <c:v>0</c:v>
                </c:pt>
                <c:pt idx="4">
                  <c:v>2</c:v>
                </c:pt>
                <c:pt idx="5">
                  <c:v>0</c:v>
                </c:pt>
                <c:pt idx="6">
                  <c:v>0</c:v>
                </c:pt>
              </c:numCache>
            </c:numRef>
          </c:val>
        </c:ser>
        <c:ser>
          <c:idx val="3"/>
          <c:order val="3"/>
          <c:tx>
            <c:strRef>
              <c:f>Summary!$A$48</c:f>
              <c:strCache>
                <c:ptCount val="1"/>
                <c:pt idx="0">
                  <c:v>Other  </c:v>
                </c:pt>
              </c:strCache>
            </c:strRef>
          </c:tx>
          <c:spPr>
            <a:solidFill>
              <a:srgbClr val="B4C98B"/>
            </a:solidFill>
            <a:ln>
              <a:noFill/>
            </a:ln>
          </c:spPr>
          <c:invertIfNegative val="0"/>
          <c:cat>
            <c:strRef>
              <c:f>Summary!$B$44:$H$44</c:f>
              <c:strCache>
                <c:ptCount val="7"/>
                <c:pt idx="0">
                  <c:v>New Zealand</c:v>
                </c:pt>
                <c:pt idx="1">
                  <c:v>Thailand</c:v>
                </c:pt>
                <c:pt idx="2">
                  <c:v>USA</c:v>
                </c:pt>
                <c:pt idx="3">
                  <c:v>Chile</c:v>
                </c:pt>
                <c:pt idx="4">
                  <c:v>ASEAN</c:v>
                </c:pt>
                <c:pt idx="5">
                  <c:v>Malaysia</c:v>
                </c:pt>
                <c:pt idx="6">
                  <c:v>Korea</c:v>
                </c:pt>
              </c:strCache>
            </c:strRef>
          </c:cat>
          <c:val>
            <c:numRef>
              <c:f>Summary!$B$48:$H$48</c:f>
              <c:numCache>
                <c:formatCode>0</c:formatCode>
                <c:ptCount val="7"/>
                <c:pt idx="0">
                  <c:v>27.176220806794056</c:v>
                </c:pt>
                <c:pt idx="1">
                  <c:v>30.044688896528015</c:v>
                </c:pt>
                <c:pt idx="2">
                  <c:v>5.5102040816326534</c:v>
                </c:pt>
                <c:pt idx="3">
                  <c:v>12.665001783803067</c:v>
                </c:pt>
                <c:pt idx="4">
                  <c:v>14.66795615731786</c:v>
                </c:pt>
                <c:pt idx="5">
                  <c:v>2.6711813393528971</c:v>
                </c:pt>
                <c:pt idx="6">
                  <c:v>18.021133525456293</c:v>
                </c:pt>
              </c:numCache>
            </c:numRef>
          </c:val>
        </c:ser>
        <c:dLbls>
          <c:showLegendKey val="0"/>
          <c:showVal val="0"/>
          <c:showCatName val="0"/>
          <c:showSerName val="0"/>
          <c:showPercent val="0"/>
          <c:showBubbleSize val="0"/>
        </c:dLbls>
        <c:gapWidth val="76"/>
        <c:overlap val="100"/>
        <c:axId val="179440256"/>
        <c:axId val="179450240"/>
      </c:barChart>
      <c:catAx>
        <c:axId val="179440256"/>
        <c:scaling>
          <c:orientation val="minMax"/>
        </c:scaling>
        <c:delete val="0"/>
        <c:axPos val="b"/>
        <c:majorTickMark val="out"/>
        <c:minorTickMark val="none"/>
        <c:tickLblPos val="nextTo"/>
        <c:crossAx val="179450240"/>
        <c:crosses val="autoZero"/>
        <c:auto val="1"/>
        <c:lblAlgn val="ctr"/>
        <c:lblOffset val="100"/>
        <c:noMultiLvlLbl val="0"/>
      </c:catAx>
      <c:valAx>
        <c:axId val="179450240"/>
        <c:scaling>
          <c:orientation val="minMax"/>
          <c:max val="100"/>
        </c:scaling>
        <c:delete val="0"/>
        <c:axPos val="l"/>
        <c:majorGridlines>
          <c:spPr>
            <a:ln>
              <a:solidFill>
                <a:schemeClr val="bg1">
                  <a:lumMod val="85000"/>
                </a:schemeClr>
              </a:solidFill>
            </a:ln>
          </c:spPr>
        </c:majorGridlines>
        <c:minorGridlines>
          <c:spPr>
            <a:ln>
              <a:noFill/>
            </a:ln>
          </c:spPr>
        </c:minorGridlines>
        <c:title>
          <c:tx>
            <c:rich>
              <a:bodyPr rot="-5400000" vert="horz"/>
              <a:lstStyle/>
              <a:p>
                <a:pPr>
                  <a:defRPr/>
                </a:pPr>
                <a:r>
                  <a:rPr lang="en-AU"/>
                  <a:t>per cent</a:t>
                </a:r>
              </a:p>
            </c:rich>
          </c:tx>
          <c:overlay val="0"/>
        </c:title>
        <c:numFmt formatCode="0" sourceLinked="1"/>
        <c:majorTickMark val="out"/>
        <c:minorTickMark val="none"/>
        <c:tickLblPos val="nextTo"/>
        <c:crossAx val="179440256"/>
        <c:crosses val="autoZero"/>
        <c:crossBetween val="between"/>
        <c:majorUnit val="20"/>
        <c:minorUnit val="10"/>
      </c:valAx>
    </c:plotArea>
    <c:legend>
      <c:legendPos val="b"/>
      <c:layout>
        <c:manualLayout>
          <c:xMode val="edge"/>
          <c:yMode val="edge"/>
          <c:x val="0.14951609056407983"/>
          <c:y val="0.90629865768572493"/>
          <c:w val="0.78309301110996576"/>
          <c:h val="9.370134231427503E-2"/>
        </c:manualLayout>
      </c:layout>
      <c:overlay val="0"/>
    </c:legend>
    <c:plotVisOnly val="1"/>
    <c:dispBlanksAs val="gap"/>
    <c:showDLblsOverMax val="0"/>
  </c:chart>
  <c:spPr>
    <a:ln>
      <a:noFill/>
    </a:ln>
  </c:spPr>
  <c:txPr>
    <a:bodyPr/>
    <a:lstStyle/>
    <a:p>
      <a:pPr>
        <a:defRPr sz="900">
          <a:latin typeface="Arial" panose="020B0604020202020204" pitchFamily="34" charset="0"/>
          <a:cs typeface="Arial" panose="020B0604020202020204" pitchFamily="34" charset="0"/>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671382986908489"/>
          <c:y val="2.8375856993559895E-2"/>
          <c:w val="0.82835757820853106"/>
          <c:h val="0.69030078900859593"/>
        </c:manualLayout>
      </c:layout>
      <c:barChart>
        <c:barDir val="col"/>
        <c:grouping val="stacked"/>
        <c:varyColors val="0"/>
        <c:ser>
          <c:idx val="0"/>
          <c:order val="0"/>
          <c:tx>
            <c:strRef>
              <c:f>Summary!$A$35</c:f>
              <c:strCache>
                <c:ptCount val="1"/>
                <c:pt idx="0">
                  <c:v>Chapter 2 digit</c:v>
                </c:pt>
              </c:strCache>
            </c:strRef>
          </c:tx>
          <c:spPr>
            <a:solidFill>
              <a:srgbClr val="344893"/>
            </a:solidFill>
          </c:spPr>
          <c:invertIfNegative val="0"/>
          <c:cat>
            <c:strRef>
              <c:f>Summary!$B$33:$H$34</c:f>
              <c:strCache>
                <c:ptCount val="7"/>
                <c:pt idx="0">
                  <c:v>New Zealand</c:v>
                </c:pt>
                <c:pt idx="1">
                  <c:v>Thailand</c:v>
                </c:pt>
                <c:pt idx="2">
                  <c:v>USA</c:v>
                </c:pt>
                <c:pt idx="3">
                  <c:v>Chile</c:v>
                </c:pt>
                <c:pt idx="4">
                  <c:v>ASEAN</c:v>
                </c:pt>
                <c:pt idx="5">
                  <c:v>Malaysia</c:v>
                </c:pt>
                <c:pt idx="6">
                  <c:v>Korea</c:v>
                </c:pt>
              </c:strCache>
            </c:strRef>
          </c:cat>
          <c:val>
            <c:numRef>
              <c:f>Summary!$B$35:$H$35</c:f>
              <c:numCache>
                <c:formatCode>0</c:formatCode>
                <c:ptCount val="7"/>
                <c:pt idx="0">
                  <c:v>11.76056338028169</c:v>
                </c:pt>
                <c:pt idx="1">
                  <c:v>13.034482758620689</c:v>
                </c:pt>
                <c:pt idx="2" formatCode="General">
                  <c:v>23</c:v>
                </c:pt>
                <c:pt idx="3">
                  <c:v>14.689063616869191</c:v>
                </c:pt>
                <c:pt idx="4">
                  <c:v>40.504939626783752</c:v>
                </c:pt>
                <c:pt idx="5">
                  <c:v>14.221218961625281</c:v>
                </c:pt>
                <c:pt idx="6">
                  <c:v>19.411032766486937</c:v>
                </c:pt>
              </c:numCache>
            </c:numRef>
          </c:val>
        </c:ser>
        <c:ser>
          <c:idx val="1"/>
          <c:order val="1"/>
          <c:tx>
            <c:strRef>
              <c:f>Summary!$A$36</c:f>
              <c:strCache>
                <c:ptCount val="1"/>
                <c:pt idx="0">
                  <c:v>Heading 4 digit</c:v>
                </c:pt>
              </c:strCache>
            </c:strRef>
          </c:tx>
          <c:spPr>
            <a:solidFill>
              <a:srgbClr val="78A22F"/>
            </a:solidFill>
          </c:spPr>
          <c:invertIfNegative val="0"/>
          <c:cat>
            <c:strRef>
              <c:f>Summary!$B$33:$H$34</c:f>
              <c:strCache>
                <c:ptCount val="7"/>
                <c:pt idx="0">
                  <c:v>New Zealand</c:v>
                </c:pt>
                <c:pt idx="1">
                  <c:v>Thailand</c:v>
                </c:pt>
                <c:pt idx="2">
                  <c:v>USA</c:v>
                </c:pt>
                <c:pt idx="3">
                  <c:v>Chile</c:v>
                </c:pt>
                <c:pt idx="4">
                  <c:v>ASEAN</c:v>
                </c:pt>
                <c:pt idx="5">
                  <c:v>Malaysia</c:v>
                </c:pt>
                <c:pt idx="6">
                  <c:v>Korea</c:v>
                </c:pt>
              </c:strCache>
            </c:strRef>
          </c:cat>
          <c:val>
            <c:numRef>
              <c:f>Summary!$B$36:$H$36</c:f>
              <c:numCache>
                <c:formatCode>0</c:formatCode>
                <c:ptCount val="7"/>
                <c:pt idx="0">
                  <c:v>34.225352112676056</c:v>
                </c:pt>
                <c:pt idx="1">
                  <c:v>34.896551724137929</c:v>
                </c:pt>
                <c:pt idx="2" formatCode="General">
                  <c:v>43</c:v>
                </c:pt>
                <c:pt idx="3">
                  <c:v>32.058613295210861</c:v>
                </c:pt>
                <c:pt idx="4">
                  <c:v>21.551408708379071</c:v>
                </c:pt>
                <c:pt idx="5">
                  <c:v>33.48382242287434</c:v>
                </c:pt>
                <c:pt idx="6">
                  <c:v>56.802156781418503</c:v>
                </c:pt>
              </c:numCache>
            </c:numRef>
          </c:val>
        </c:ser>
        <c:ser>
          <c:idx val="2"/>
          <c:order val="2"/>
          <c:tx>
            <c:strRef>
              <c:f>Summary!$A$37</c:f>
              <c:strCache>
                <c:ptCount val="1"/>
                <c:pt idx="0">
                  <c:v>Subheading 6 digit </c:v>
                </c:pt>
              </c:strCache>
            </c:strRef>
          </c:tx>
          <c:spPr>
            <a:solidFill>
              <a:srgbClr val="B4C98B"/>
            </a:solidFill>
          </c:spPr>
          <c:invertIfNegative val="0"/>
          <c:cat>
            <c:strRef>
              <c:f>Summary!$B$33:$H$34</c:f>
              <c:strCache>
                <c:ptCount val="7"/>
                <c:pt idx="0">
                  <c:v>New Zealand</c:v>
                </c:pt>
                <c:pt idx="1">
                  <c:v>Thailand</c:v>
                </c:pt>
                <c:pt idx="2">
                  <c:v>USA</c:v>
                </c:pt>
                <c:pt idx="3">
                  <c:v>Chile</c:v>
                </c:pt>
                <c:pt idx="4">
                  <c:v>ASEAN</c:v>
                </c:pt>
                <c:pt idx="5">
                  <c:v>Malaysia</c:v>
                </c:pt>
                <c:pt idx="6">
                  <c:v>Korea</c:v>
                </c:pt>
              </c:strCache>
            </c:strRef>
          </c:cat>
          <c:val>
            <c:numRef>
              <c:f>Summary!$B$37:$H$37</c:f>
              <c:numCache>
                <c:formatCode>0</c:formatCode>
                <c:ptCount val="7"/>
                <c:pt idx="0">
                  <c:v>54.014084507042249</c:v>
                </c:pt>
                <c:pt idx="1">
                  <c:v>52.068965517241381</c:v>
                </c:pt>
                <c:pt idx="2" formatCode="General">
                  <c:v>34</c:v>
                </c:pt>
                <c:pt idx="3">
                  <c:v>53.25232308791994</c:v>
                </c:pt>
                <c:pt idx="4">
                  <c:v>37.943651664837176</c:v>
                </c:pt>
                <c:pt idx="5">
                  <c:v>52.294958615500377</c:v>
                </c:pt>
                <c:pt idx="6">
                  <c:v>23.786810452094567</c:v>
                </c:pt>
              </c:numCache>
            </c:numRef>
          </c:val>
        </c:ser>
        <c:dLbls>
          <c:showLegendKey val="0"/>
          <c:showVal val="0"/>
          <c:showCatName val="0"/>
          <c:showSerName val="0"/>
          <c:showPercent val="0"/>
          <c:showBubbleSize val="0"/>
        </c:dLbls>
        <c:gapWidth val="76"/>
        <c:overlap val="100"/>
        <c:axId val="179459968"/>
        <c:axId val="179461504"/>
      </c:barChart>
      <c:catAx>
        <c:axId val="179459968"/>
        <c:scaling>
          <c:orientation val="minMax"/>
        </c:scaling>
        <c:delete val="0"/>
        <c:axPos val="b"/>
        <c:majorTickMark val="out"/>
        <c:minorTickMark val="none"/>
        <c:tickLblPos val="nextTo"/>
        <c:txPr>
          <a:bodyPr/>
          <a:lstStyle/>
          <a:p>
            <a:pPr>
              <a:defRPr sz="900">
                <a:latin typeface="Arial" panose="020B0604020202020204" pitchFamily="34" charset="0"/>
                <a:cs typeface="Arial" panose="020B0604020202020204" pitchFamily="34" charset="0"/>
              </a:defRPr>
            </a:pPr>
            <a:endParaRPr lang="en-US"/>
          </a:p>
        </c:txPr>
        <c:crossAx val="179461504"/>
        <c:crosses val="autoZero"/>
        <c:auto val="1"/>
        <c:lblAlgn val="ctr"/>
        <c:lblOffset val="100"/>
        <c:noMultiLvlLbl val="0"/>
      </c:catAx>
      <c:valAx>
        <c:axId val="179461504"/>
        <c:scaling>
          <c:orientation val="minMax"/>
          <c:max val="100"/>
          <c:min val="0"/>
        </c:scaling>
        <c:delete val="0"/>
        <c:axPos val="l"/>
        <c:majorGridlines>
          <c:spPr>
            <a:ln>
              <a:solidFill>
                <a:schemeClr val="bg1">
                  <a:lumMod val="85000"/>
                </a:schemeClr>
              </a:solidFill>
            </a:ln>
          </c:spPr>
        </c:majorGridlines>
        <c:title>
          <c:tx>
            <c:rich>
              <a:bodyPr rot="-5400000" vert="horz"/>
              <a:lstStyle/>
              <a:p>
                <a:pPr>
                  <a:defRPr/>
                </a:pPr>
                <a:r>
                  <a:rPr lang="en-AU" sz="900">
                    <a:latin typeface="Arial" panose="020B0604020202020204" pitchFamily="34" charset="0"/>
                    <a:cs typeface="Arial" panose="020B0604020202020204" pitchFamily="34" charset="0"/>
                  </a:rPr>
                  <a:t>per cent</a:t>
                </a:r>
              </a:p>
            </c:rich>
          </c:tx>
          <c:layout>
            <c:manualLayout>
              <c:xMode val="edge"/>
              <c:yMode val="edge"/>
              <c:x val="0"/>
              <c:y val="0.28447090735988534"/>
            </c:manualLayout>
          </c:layout>
          <c:overlay val="0"/>
        </c:title>
        <c:numFmt formatCode="0" sourceLinked="1"/>
        <c:majorTickMark val="out"/>
        <c:minorTickMark val="none"/>
        <c:tickLblPos val="nextTo"/>
        <c:txPr>
          <a:bodyPr/>
          <a:lstStyle/>
          <a:p>
            <a:pPr>
              <a:defRPr sz="900">
                <a:latin typeface="Arial" panose="020B0604020202020204" pitchFamily="34" charset="0"/>
                <a:cs typeface="Arial" panose="020B0604020202020204" pitchFamily="34" charset="0"/>
              </a:defRPr>
            </a:pPr>
            <a:endParaRPr lang="en-US"/>
          </a:p>
        </c:txPr>
        <c:crossAx val="179459968"/>
        <c:crosses val="autoZero"/>
        <c:crossBetween val="between"/>
        <c:majorUnit val="20"/>
        <c:minorUnit val="10"/>
      </c:valAx>
    </c:plotArea>
    <c:legend>
      <c:legendPos val="b"/>
      <c:layout>
        <c:manualLayout>
          <c:xMode val="edge"/>
          <c:yMode val="edge"/>
          <c:x val="0.15646216476711314"/>
          <c:y val="0.87984444164783515"/>
          <c:w val="0.84110646229742192"/>
          <c:h val="0.11581245451710157"/>
        </c:manualLayout>
      </c:layout>
      <c:overlay val="0"/>
      <c:txPr>
        <a:bodyPr/>
        <a:lstStyle/>
        <a:p>
          <a:pPr>
            <a:defRPr sz="900">
              <a:latin typeface="Arial" panose="020B0604020202020204" pitchFamily="34" charset="0"/>
              <a:cs typeface="Arial" panose="020B0604020202020204" pitchFamily="34" charset="0"/>
            </a:defRPr>
          </a:pPr>
          <a:endParaRPr lang="en-US"/>
        </a:p>
      </c:txPr>
    </c:legend>
    <c:plotVisOnly val="1"/>
    <c:dispBlanksAs val="gap"/>
    <c:showDLblsOverMax val="0"/>
  </c:chart>
  <c:spPr>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0.00353</cdr:x>
      <cdr:y>0.38034</cdr:y>
    </cdr:from>
    <cdr:to>
      <cdr:x>0.06703</cdr:x>
      <cdr:y>0.56203</cdr:y>
    </cdr:to>
    <cdr:sp macro="" textlink="">
      <cdr:nvSpPr>
        <cdr:cNvPr id="2" name="TextBox 1"/>
        <cdr:cNvSpPr txBox="1"/>
      </cdr:nvSpPr>
      <cdr:spPr>
        <a:xfrm xmlns:a="http://schemas.openxmlformats.org/drawingml/2006/main">
          <a:off x="19266" y="1430982"/>
          <a:ext cx="346572" cy="683569"/>
        </a:xfrm>
        <a:prstGeom xmlns:a="http://schemas.openxmlformats.org/drawingml/2006/main" prst="rect">
          <a:avLst/>
        </a:prstGeom>
      </cdr:spPr>
      <cdr:txBody>
        <a:bodyPr xmlns:a="http://schemas.openxmlformats.org/drawingml/2006/main" vertOverflow="clip" vert="vert270" wrap="square" rtlCol="0"/>
        <a:lstStyle xmlns:a="http://schemas.openxmlformats.org/drawingml/2006/main"/>
        <a:p xmlns:a="http://schemas.openxmlformats.org/drawingml/2006/main">
          <a:r>
            <a:rPr lang="en-AU" sz="900" b="1">
              <a:latin typeface="Arial" panose="020B0604020202020204" pitchFamily="34" charset="0"/>
              <a:cs typeface="Arial" panose="020B0604020202020204" pitchFamily="34" charset="0"/>
            </a:rPr>
            <a:t>$ billion</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2BFFF-703A-4154-9F5E-D2F909662087}">
  <ds:schemaRefs>
    <ds:schemaRef ds:uri="http://schemas.openxmlformats.org/officeDocument/2006/bibliography"/>
  </ds:schemaRefs>
</ds:datastoreItem>
</file>

<file path=customXml/itemProps2.xml><?xml version="1.0" encoding="utf-8"?>
<ds:datastoreItem xmlns:ds="http://schemas.openxmlformats.org/officeDocument/2006/customXml" ds:itemID="{0C85D52A-C98C-46AE-AC4B-CCC09161ED93}">
  <ds:schemaRefs>
    <ds:schemaRef ds:uri="http://schemas.openxmlformats.org/officeDocument/2006/bibliography"/>
  </ds:schemaRefs>
</ds:datastoreItem>
</file>

<file path=customXml/itemProps3.xml><?xml version="1.0" encoding="utf-8"?>
<ds:datastoreItem xmlns:ds="http://schemas.openxmlformats.org/officeDocument/2006/customXml" ds:itemID="{926A1E04-65DD-4217-BD43-2FB5A87B968D}">
  <ds:schemaRefs>
    <ds:schemaRef ds:uri="http://schemas.openxmlformats.org/officeDocument/2006/bibliography"/>
  </ds:schemaRefs>
</ds:datastoreItem>
</file>

<file path=customXml/itemProps4.xml><?xml version="1.0" encoding="utf-8"?>
<ds:datastoreItem xmlns:ds="http://schemas.openxmlformats.org/officeDocument/2006/customXml" ds:itemID="{A29CDA3F-67FB-4FFE-9509-04639D541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10</TotalTime>
  <Pages>12</Pages>
  <Words>2934</Words>
  <Characters>17189</Characters>
  <Application>Microsoft Office Word</Application>
  <DocSecurity>0</DocSecurity>
  <Lines>295</Lines>
  <Paragraphs>71</Paragraphs>
  <ScaleCrop>false</ScaleCrop>
  <HeadingPairs>
    <vt:vector size="2" baseType="variant">
      <vt:variant>
        <vt:lpstr>Title</vt:lpstr>
      </vt:variant>
      <vt:variant>
        <vt:i4>1</vt:i4>
      </vt:variant>
    </vt:vector>
  </HeadingPairs>
  <TitlesOfParts>
    <vt:vector size="1" baseType="lpstr">
      <vt:lpstr>Overview</vt:lpstr>
    </vt:vector>
  </TitlesOfParts>
  <Company>Productivity Commission</Company>
  <LinksUpToDate>false</LinksUpToDate>
  <CharactersWithSpaces>20106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subject>TRADE &amp; ASSISTANCE REVIEW 2012-13</dc:subject>
  <dc:creator>Productivity Commission</dc:creator>
  <dc:description>1.</dc:description>
  <cp:lastModifiedBy>Productivity Commission</cp:lastModifiedBy>
  <cp:revision>7</cp:revision>
  <cp:lastPrinted>2014-06-25T01:03:00Z</cp:lastPrinted>
  <dcterms:created xsi:type="dcterms:W3CDTF">2014-06-25T00:54:00Z</dcterms:created>
  <dcterms:modified xsi:type="dcterms:W3CDTF">2014-06-25T02:37:00Z</dcterms:modified>
</cp:coreProperties>
</file>