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211886" w:rsidP="00211886">
      <w:pPr>
        <w:pStyle w:val="Heading1"/>
        <w:spacing w:before="0"/>
      </w:pPr>
      <w:bookmarkStart w:id="0" w:name="ChapterNumber"/>
      <w:r>
        <w:t>4</w:t>
      </w:r>
      <w:bookmarkEnd w:id="0"/>
      <w:r>
        <w:tab/>
      </w:r>
      <w:bookmarkStart w:id="1" w:name="ChapterTitle"/>
      <w:r>
        <w:t>Methodological changes to the estimates</w:t>
      </w:r>
      <w:bookmarkEnd w:id="1"/>
    </w:p>
    <w:p w:rsidR="0096563C" w:rsidRPr="00F4305D" w:rsidRDefault="0096563C" w:rsidP="0096563C">
      <w:pPr>
        <w:rPr>
          <w:spacing w:val="-2"/>
          <w:szCs w:val="20"/>
        </w:rPr>
      </w:pPr>
      <w:bookmarkStart w:id="2" w:name="begin"/>
      <w:bookmarkEnd w:id="2"/>
      <w:r w:rsidRPr="001F4C56">
        <w:rPr>
          <w:spacing w:val="-4"/>
          <w:szCs w:val="20"/>
        </w:rPr>
        <w:t xml:space="preserve">This chapter summarises the methodological </w:t>
      </w:r>
      <w:r w:rsidR="00051F14" w:rsidRPr="001F4C56">
        <w:rPr>
          <w:spacing w:val="-4"/>
          <w:szCs w:val="20"/>
        </w:rPr>
        <w:t xml:space="preserve">changes </w:t>
      </w:r>
      <w:r w:rsidR="00A20E1C" w:rsidRPr="001F4C56">
        <w:rPr>
          <w:spacing w:val="-4"/>
          <w:szCs w:val="20"/>
        </w:rPr>
        <w:t>included in</w:t>
      </w:r>
      <w:r w:rsidRPr="001F4C56">
        <w:rPr>
          <w:spacing w:val="-4"/>
          <w:szCs w:val="20"/>
        </w:rPr>
        <w:t xml:space="preserve"> the assistance measurement</w:t>
      </w:r>
      <w:r w:rsidRPr="00F4305D">
        <w:rPr>
          <w:spacing w:val="-2"/>
          <w:szCs w:val="20"/>
        </w:rPr>
        <w:t xml:space="preserve"> system for the </w:t>
      </w:r>
      <w:r w:rsidRPr="00F4305D">
        <w:rPr>
          <w:i/>
          <w:spacing w:val="-2"/>
          <w:szCs w:val="20"/>
        </w:rPr>
        <w:t>Trade &amp; Assistance Review 201</w:t>
      </w:r>
      <w:r w:rsidR="00EB18C0" w:rsidRPr="00F4305D">
        <w:rPr>
          <w:i/>
          <w:spacing w:val="-2"/>
          <w:szCs w:val="20"/>
        </w:rPr>
        <w:t>3</w:t>
      </w:r>
      <w:r w:rsidR="00836A27" w:rsidRPr="00F4305D">
        <w:rPr>
          <w:i/>
          <w:spacing w:val="-2"/>
          <w:szCs w:val="20"/>
        </w:rPr>
        <w:noBreakHyphen/>
      </w:r>
      <w:r w:rsidRPr="00F4305D">
        <w:rPr>
          <w:i/>
          <w:spacing w:val="-2"/>
          <w:szCs w:val="20"/>
        </w:rPr>
        <w:t>1</w:t>
      </w:r>
      <w:r w:rsidR="00EB18C0" w:rsidRPr="00F4305D">
        <w:rPr>
          <w:i/>
          <w:spacing w:val="-2"/>
          <w:szCs w:val="20"/>
        </w:rPr>
        <w:t>4</w:t>
      </w:r>
      <w:r w:rsidRPr="00F4305D">
        <w:rPr>
          <w:spacing w:val="-2"/>
          <w:szCs w:val="20"/>
        </w:rPr>
        <w:t xml:space="preserve">. These adjustments </w:t>
      </w:r>
      <w:r w:rsidR="00EB18C0" w:rsidRPr="00F4305D">
        <w:rPr>
          <w:spacing w:val="-2"/>
          <w:szCs w:val="20"/>
        </w:rPr>
        <w:t>relate to</w:t>
      </w:r>
      <w:r w:rsidR="00836A27" w:rsidRPr="00F4305D">
        <w:rPr>
          <w:spacing w:val="-2"/>
          <w:szCs w:val="20"/>
        </w:rPr>
        <w:t>:</w:t>
      </w:r>
      <w:r w:rsidRPr="00F4305D">
        <w:rPr>
          <w:spacing w:val="-2"/>
          <w:szCs w:val="20"/>
        </w:rPr>
        <w:t xml:space="preserve"> </w:t>
      </w:r>
    </w:p>
    <w:p w:rsidR="00EB18C0" w:rsidRDefault="00EB18C0" w:rsidP="00836A27">
      <w:pPr>
        <w:pStyle w:val="ListBullet"/>
      </w:pPr>
      <w:r>
        <w:t xml:space="preserve">the </w:t>
      </w:r>
      <w:r w:rsidR="0094417E">
        <w:t>S</w:t>
      </w:r>
      <w:r>
        <w:t xml:space="preserve">mall </w:t>
      </w:r>
      <w:r w:rsidR="0094417E">
        <w:t>B</w:t>
      </w:r>
      <w:r>
        <w:t>usiness simplified depreciation rules</w:t>
      </w:r>
      <w:r w:rsidR="00B0331F">
        <w:t>;</w:t>
      </w:r>
      <w:r w:rsidR="00C66F6F">
        <w:t xml:space="preserve"> </w:t>
      </w:r>
    </w:p>
    <w:p w:rsidR="00F55CEC" w:rsidRDefault="00F55CEC" w:rsidP="00836A27">
      <w:pPr>
        <w:pStyle w:val="ListBullet"/>
      </w:pPr>
      <w:r>
        <w:t>Export Finance Insurance Corporation’s national interest business</w:t>
      </w:r>
      <w:r w:rsidR="00B0331F">
        <w:t>;</w:t>
      </w:r>
      <w:r>
        <w:t xml:space="preserve"> </w:t>
      </w:r>
    </w:p>
    <w:p w:rsidR="00EB18C0" w:rsidRDefault="00EB18C0" w:rsidP="00836A27">
      <w:pPr>
        <w:pStyle w:val="ListBullet"/>
      </w:pPr>
      <w:r>
        <w:t>income tax averaging provision for primary producers</w:t>
      </w:r>
      <w:r w:rsidR="00B0331F">
        <w:t>;</w:t>
      </w:r>
      <w:r w:rsidR="00C66F6F">
        <w:t xml:space="preserve"> </w:t>
      </w:r>
    </w:p>
    <w:p w:rsidR="00C66F6F" w:rsidRDefault="00C66F6F" w:rsidP="00836A27">
      <w:pPr>
        <w:pStyle w:val="ListBullet"/>
      </w:pPr>
      <w:r>
        <w:t>R&amp;D Tax Incentive</w:t>
      </w:r>
      <w:r w:rsidR="00B0331F">
        <w:t>; and</w:t>
      </w:r>
      <w:r>
        <w:t xml:space="preserve"> </w:t>
      </w:r>
    </w:p>
    <w:p w:rsidR="00211886" w:rsidRDefault="0094417E" w:rsidP="00836A27">
      <w:pPr>
        <w:pStyle w:val="ListBullet"/>
      </w:pPr>
      <w:r>
        <w:t>n</w:t>
      </w:r>
      <w:r w:rsidR="00211886">
        <w:t xml:space="preserve">egative tax </w:t>
      </w:r>
      <w:r>
        <w:t>concessions</w:t>
      </w:r>
      <w:r w:rsidR="00211886">
        <w:t xml:space="preserve">. </w:t>
      </w:r>
    </w:p>
    <w:p w:rsidR="00EB18C0" w:rsidRPr="00F4305D" w:rsidRDefault="00EB18C0" w:rsidP="001F4C56">
      <w:pPr>
        <w:pStyle w:val="Heading2nosectionno"/>
        <w:spacing w:before="360"/>
        <w:rPr>
          <w:sz w:val="26"/>
        </w:rPr>
      </w:pPr>
      <w:r w:rsidRPr="00F4305D">
        <w:rPr>
          <w:sz w:val="26"/>
        </w:rPr>
        <w:t xml:space="preserve">Small </w:t>
      </w:r>
      <w:r w:rsidR="00614F23" w:rsidRPr="00F4305D">
        <w:rPr>
          <w:sz w:val="26"/>
        </w:rPr>
        <w:t>B</w:t>
      </w:r>
      <w:r w:rsidRPr="00F4305D">
        <w:rPr>
          <w:sz w:val="26"/>
        </w:rPr>
        <w:t xml:space="preserve">usiness </w:t>
      </w:r>
      <w:r w:rsidR="0094417E" w:rsidRPr="00F4305D">
        <w:rPr>
          <w:sz w:val="26"/>
        </w:rPr>
        <w:t>s</w:t>
      </w:r>
      <w:r w:rsidRPr="00F4305D">
        <w:rPr>
          <w:sz w:val="26"/>
        </w:rPr>
        <w:t xml:space="preserve">implified </w:t>
      </w:r>
      <w:r w:rsidR="0094417E" w:rsidRPr="00F4305D">
        <w:rPr>
          <w:sz w:val="26"/>
        </w:rPr>
        <w:t>d</w:t>
      </w:r>
      <w:r w:rsidRPr="00F4305D">
        <w:rPr>
          <w:sz w:val="26"/>
        </w:rPr>
        <w:t xml:space="preserve">epreciation </w:t>
      </w:r>
      <w:r w:rsidR="0094417E" w:rsidRPr="00F4305D">
        <w:rPr>
          <w:sz w:val="26"/>
        </w:rPr>
        <w:t>r</w:t>
      </w:r>
      <w:r w:rsidRPr="00F4305D">
        <w:rPr>
          <w:sz w:val="26"/>
        </w:rPr>
        <w:t>ules</w:t>
      </w:r>
    </w:p>
    <w:p w:rsidR="00822A8C" w:rsidRDefault="00822A8C" w:rsidP="00EB18C0">
      <w:pPr>
        <w:pStyle w:val="BodyText"/>
      </w:pPr>
      <w:r>
        <w:t xml:space="preserve">The </w:t>
      </w:r>
      <w:r w:rsidR="00614F23">
        <w:t>S</w:t>
      </w:r>
      <w:r>
        <w:t xml:space="preserve">mall </w:t>
      </w:r>
      <w:r w:rsidR="00614F23">
        <w:t>B</w:t>
      </w:r>
      <w:r>
        <w:t xml:space="preserve">usiness </w:t>
      </w:r>
      <w:r w:rsidR="0094417E">
        <w:t>s</w:t>
      </w:r>
      <w:r>
        <w:t xml:space="preserve">implified </w:t>
      </w:r>
      <w:r w:rsidR="0094417E">
        <w:t>d</w:t>
      </w:r>
      <w:r>
        <w:t xml:space="preserve">epreciation </w:t>
      </w:r>
      <w:r w:rsidR="0094417E">
        <w:t>r</w:t>
      </w:r>
      <w:r>
        <w:t xml:space="preserve">ules scheme is a tax concession that </w:t>
      </w:r>
      <w:r w:rsidR="00FD11E9">
        <w:t>enables s</w:t>
      </w:r>
      <w:r w:rsidRPr="00822A8C">
        <w:t>mall business entities with an aggregated annual turnover of less than $2</w:t>
      </w:r>
      <w:r w:rsidR="00FD11E9">
        <w:t> </w:t>
      </w:r>
      <w:r w:rsidRPr="00822A8C">
        <w:t xml:space="preserve">million </w:t>
      </w:r>
      <w:r w:rsidR="00FD11E9">
        <w:t xml:space="preserve">to </w:t>
      </w:r>
      <w:r w:rsidRPr="00822A8C">
        <w:t>access concessional depreciation arrangements for business assets. Under the concessions, small business</w:t>
      </w:r>
      <w:r w:rsidR="00AC45F0">
        <w:t>es</w:t>
      </w:r>
      <w:r w:rsidRPr="00822A8C">
        <w:t xml:space="preserve"> can immediately write-off assets that cost less than $1</w:t>
      </w:r>
      <w:r w:rsidR="00FD11E9">
        <w:t> </w:t>
      </w:r>
      <w:r w:rsidRPr="00822A8C">
        <w:t>000. Assets above $1</w:t>
      </w:r>
      <w:r w:rsidR="00FD11E9">
        <w:t> </w:t>
      </w:r>
      <w:r w:rsidRPr="00822A8C">
        <w:t>000 are depreciated through simplified pooling arrangements at a rate of 30</w:t>
      </w:r>
      <w:r w:rsidR="00FD11E9">
        <w:t> </w:t>
      </w:r>
      <w:r w:rsidRPr="00822A8C">
        <w:t>per</w:t>
      </w:r>
      <w:r w:rsidR="00FD11E9">
        <w:t> </w:t>
      </w:r>
      <w:r w:rsidRPr="00822A8C">
        <w:t>cent (15</w:t>
      </w:r>
      <w:r w:rsidR="00FD11E9">
        <w:t> </w:t>
      </w:r>
      <w:r w:rsidRPr="00822A8C">
        <w:t>per</w:t>
      </w:r>
      <w:r w:rsidR="00FD11E9">
        <w:t> </w:t>
      </w:r>
      <w:r w:rsidRPr="00822A8C">
        <w:t>cent in the first year). The general small business pool can be immediately deducted at the end of the income year if its value is less than $1000 (before deducting depreciation for the year)</w:t>
      </w:r>
      <w:r w:rsidR="00FD11E9">
        <w:t xml:space="preserve"> (Australian Government 2015)</w:t>
      </w:r>
      <w:r w:rsidRPr="00822A8C">
        <w:t>.</w:t>
      </w:r>
      <w:r w:rsidR="00FD11E9">
        <w:t xml:space="preserve"> </w:t>
      </w:r>
    </w:p>
    <w:p w:rsidR="00AC45F0" w:rsidRDefault="0094417E" w:rsidP="00EB18C0">
      <w:pPr>
        <w:pStyle w:val="BodyText"/>
      </w:pPr>
      <w:r>
        <w:t>Previously, i</w:t>
      </w:r>
      <w:r w:rsidR="007A0C67">
        <w:t>n June 2013, the then Australian Government announced a number of taxation measures intended to help small</w:t>
      </w:r>
      <w:r w:rsidR="00F17A50">
        <w:t xml:space="preserve"> businesses (those with turnover of less than $2 million) (</w:t>
      </w:r>
      <w:r w:rsidR="006C3CA1">
        <w:t>PC 2014</w:t>
      </w:r>
      <w:r w:rsidR="00F17A50">
        <w:t>).</w:t>
      </w:r>
      <w:r w:rsidR="007A0C67">
        <w:t xml:space="preserve"> These measures applied between 1</w:t>
      </w:r>
      <w:r w:rsidR="00F17A50">
        <w:t> </w:t>
      </w:r>
      <w:r w:rsidR="007A0C67">
        <w:t>July 2012 and 31</w:t>
      </w:r>
      <w:r w:rsidR="00F17A50">
        <w:t> </w:t>
      </w:r>
      <w:r w:rsidR="007A0C67">
        <w:t>December 2013</w:t>
      </w:r>
      <w:r w:rsidR="00F17A50">
        <w:t>,</w:t>
      </w:r>
      <w:r w:rsidR="007A0C67">
        <w:t xml:space="preserve"> and included:</w:t>
      </w:r>
    </w:p>
    <w:p w:rsidR="007A0C67" w:rsidRDefault="00F17A50" w:rsidP="00F17A50">
      <w:pPr>
        <w:pStyle w:val="ListBullet"/>
      </w:pPr>
      <w:r>
        <w:t>a</w:t>
      </w:r>
      <w:r w:rsidR="001F4C56">
        <w:t xml:space="preserve"> $65</w:t>
      </w:r>
      <w:r w:rsidR="007A0C67">
        <w:t>00</w:t>
      </w:r>
      <w:r>
        <w:t xml:space="preserve"> instant write-off for purchases of new equipment</w:t>
      </w:r>
      <w:r w:rsidR="00B0331F">
        <w:t>;</w:t>
      </w:r>
      <w:r>
        <w:t xml:space="preserve"> </w:t>
      </w:r>
    </w:p>
    <w:p w:rsidR="00F17A50" w:rsidRDefault="00F17A50" w:rsidP="00F17A50">
      <w:pPr>
        <w:pStyle w:val="ListBullet"/>
      </w:pPr>
      <w:r>
        <w:t>an immediate deduction for the first $5000 of motor vehicle purchases</w:t>
      </w:r>
      <w:r w:rsidR="00B0331F">
        <w:t>; and</w:t>
      </w:r>
    </w:p>
    <w:p w:rsidR="00F17A50" w:rsidRDefault="00F17A50" w:rsidP="00F17A50">
      <w:pPr>
        <w:pStyle w:val="ListBullet"/>
      </w:pPr>
      <w:r>
        <w:t xml:space="preserve">the ability to ‘carry back’ losses to offset past profits. </w:t>
      </w:r>
    </w:p>
    <w:p w:rsidR="00E5247B" w:rsidRDefault="00E5247B" w:rsidP="00EB18C0">
      <w:pPr>
        <w:pStyle w:val="BodyText"/>
      </w:pPr>
      <w:r>
        <w:t xml:space="preserve">Following the change in </w:t>
      </w:r>
      <w:r w:rsidR="007152BD">
        <w:t>arrangements applying to the scheme between 2012</w:t>
      </w:r>
      <w:r w:rsidR="007152BD">
        <w:noBreakHyphen/>
        <w:t>13 and the first half of 2013</w:t>
      </w:r>
      <w:r w:rsidR="007152BD">
        <w:noBreakHyphen/>
        <w:t xml:space="preserve">14, </w:t>
      </w:r>
      <w:r>
        <w:t xml:space="preserve">revenue foregone under the </w:t>
      </w:r>
      <w:r w:rsidR="007152BD">
        <w:t xml:space="preserve">tax concession </w:t>
      </w:r>
      <w:r>
        <w:t>increased significantly from negative $40 million</w:t>
      </w:r>
      <w:r w:rsidR="007152BD">
        <w:t xml:space="preserve"> in 2012</w:t>
      </w:r>
      <w:r w:rsidR="007152BD">
        <w:noBreakHyphen/>
        <w:t>13</w:t>
      </w:r>
      <w:r>
        <w:t xml:space="preserve"> to positive $1.4 billion</w:t>
      </w:r>
      <w:r w:rsidR="007152BD">
        <w:t xml:space="preserve"> in 2013</w:t>
      </w:r>
      <w:r w:rsidR="007152BD">
        <w:noBreakHyphen/>
        <w:t>14</w:t>
      </w:r>
      <w:r>
        <w:t xml:space="preserve">. </w:t>
      </w:r>
    </w:p>
    <w:p w:rsidR="008B4864" w:rsidRDefault="00D300B7" w:rsidP="00EB18C0">
      <w:pPr>
        <w:pStyle w:val="BodyText"/>
      </w:pPr>
      <w:r>
        <w:lastRenderedPageBreak/>
        <w:t>Prior to 2013</w:t>
      </w:r>
      <w:r>
        <w:noBreakHyphen/>
        <w:t>14, i</w:t>
      </w:r>
      <w:r w:rsidR="008B4864">
        <w:t xml:space="preserve">nformation on the specific industry incidence of the </w:t>
      </w:r>
      <w:r w:rsidR="005D587C">
        <w:t xml:space="preserve">scheme </w:t>
      </w:r>
      <w:r w:rsidR="00C66F6F">
        <w:t xml:space="preserve">had </w:t>
      </w:r>
      <w:r w:rsidR="008B4864">
        <w:t xml:space="preserve">not been readily available. Accordingly, the tax concession </w:t>
      </w:r>
      <w:r w:rsidR="00DE57BD">
        <w:t xml:space="preserve">was </w:t>
      </w:r>
      <w:r>
        <w:t xml:space="preserve">classified to the </w:t>
      </w:r>
      <w:r w:rsidRPr="00D300B7">
        <w:rPr>
          <w:i/>
        </w:rPr>
        <w:t>Unallocated other</w:t>
      </w:r>
      <w:r>
        <w:t xml:space="preserve"> industry grouping in the Commission’s ANZSIC-based classification. </w:t>
      </w:r>
    </w:p>
    <w:p w:rsidR="000D750E" w:rsidRDefault="00D300B7" w:rsidP="00D300B7">
      <w:pPr>
        <w:pStyle w:val="BodyText"/>
      </w:pPr>
      <w:r>
        <w:t>For the 2013</w:t>
      </w:r>
      <w:r>
        <w:noBreakHyphen/>
        <w:t xml:space="preserve">14 </w:t>
      </w:r>
      <w:r w:rsidRPr="003B0CF6">
        <w:rPr>
          <w:i/>
        </w:rPr>
        <w:t>Review</w:t>
      </w:r>
      <w:r>
        <w:t xml:space="preserve">, </w:t>
      </w:r>
      <w:r w:rsidR="00C66F6F">
        <w:t>partly in response to the significant increase in revenue foregone</w:t>
      </w:r>
      <w:r w:rsidR="0094417E">
        <w:t xml:space="preserve"> under the scheme</w:t>
      </w:r>
      <w:r w:rsidR="00C66F6F">
        <w:t xml:space="preserve"> in 2013</w:t>
      </w:r>
      <w:r w:rsidR="00C66F6F">
        <w:noBreakHyphen/>
        <w:t xml:space="preserve">14, </w:t>
      </w:r>
      <w:r>
        <w:t xml:space="preserve">information from the ABS publication </w:t>
      </w:r>
      <w:r w:rsidRPr="00D300B7">
        <w:rPr>
          <w:i/>
        </w:rPr>
        <w:t xml:space="preserve">Counts of Australian </w:t>
      </w:r>
      <w:r>
        <w:rPr>
          <w:i/>
        </w:rPr>
        <w:t>B</w:t>
      </w:r>
      <w:r w:rsidRPr="00D300B7">
        <w:rPr>
          <w:i/>
        </w:rPr>
        <w:t xml:space="preserve">usinesses, including entries and exits </w:t>
      </w:r>
      <w:r>
        <w:t xml:space="preserve">(Cat. No. 8165) was used to allocate </w:t>
      </w:r>
      <w:r w:rsidR="0094417E">
        <w:t xml:space="preserve">the concession </w:t>
      </w:r>
      <w:r w:rsidR="00C66F6F">
        <w:t>to the Commission’s ANZSIC-based industry classification (table 4.1).</w:t>
      </w:r>
      <w:r>
        <w:t xml:space="preserve"> </w:t>
      </w:r>
      <w:r w:rsidR="00B0331F">
        <w:t>Under this approach</w:t>
      </w:r>
      <w:r w:rsidR="007963D1">
        <w:t>, t</w:t>
      </w:r>
      <w:r w:rsidR="00A34978">
        <w:t>he a</w:t>
      </w:r>
      <w:r w:rsidR="000D750E">
        <w:t>verage number of small businesses</w:t>
      </w:r>
      <w:r w:rsidR="00A34978">
        <w:t xml:space="preserve"> in operation</w:t>
      </w:r>
      <w:r w:rsidR="000D750E">
        <w:t xml:space="preserve"> over the </w:t>
      </w:r>
      <w:r w:rsidR="00A34978">
        <w:t>12</w:t>
      </w:r>
      <w:r w:rsidR="00B0331F">
        <w:t> </w:t>
      </w:r>
      <w:r w:rsidR="00A34978">
        <w:t xml:space="preserve">month </w:t>
      </w:r>
      <w:r w:rsidR="000D750E">
        <w:t xml:space="preserve">period </w:t>
      </w:r>
      <w:r w:rsidR="00A34978">
        <w:t>to June</w:t>
      </w:r>
      <w:r w:rsidR="00B0331F">
        <w:t> </w:t>
      </w:r>
      <w:r w:rsidR="00A34978">
        <w:t xml:space="preserve">2012 </w:t>
      </w:r>
      <w:r w:rsidR="007963D1">
        <w:t xml:space="preserve">and </w:t>
      </w:r>
      <w:r w:rsidR="00A34978">
        <w:t>with an</w:t>
      </w:r>
      <w:r w:rsidR="000D750E">
        <w:t xml:space="preserve"> annual turnover of less than $2 million</w:t>
      </w:r>
      <w:r w:rsidR="00A34978">
        <w:t xml:space="preserve">, </w:t>
      </w:r>
      <w:r w:rsidR="007963D1">
        <w:t>was used to allocate the tax concession across the Commission’s ANZSIC-based industry groupings. Using this approach, it was found that over 80 per cent of the value of the concession was estimated to accrue to service industries in 2013</w:t>
      </w:r>
      <w:r w:rsidR="007963D1">
        <w:noBreakHyphen/>
        <w:t>14.</w:t>
      </w:r>
      <w:r w:rsidR="00A34978">
        <w:t xml:space="preserve"> </w:t>
      </w:r>
    </w:p>
    <w:p w:rsidR="00BF7BF0" w:rsidRPr="00F4305D" w:rsidRDefault="00BF7BF0" w:rsidP="001F4C56">
      <w:pPr>
        <w:pStyle w:val="Heading2nosectionno"/>
        <w:rPr>
          <w:sz w:val="26"/>
        </w:rPr>
      </w:pPr>
      <w:r w:rsidRPr="00F4305D">
        <w:rPr>
          <w:sz w:val="26"/>
        </w:rPr>
        <w:t>Export Finance Insurance Corporation’s national interest business</w:t>
      </w:r>
    </w:p>
    <w:p w:rsidR="00BF7BF0" w:rsidRDefault="00BF7BF0" w:rsidP="00BF7BF0">
      <w:pPr>
        <w:pStyle w:val="BodyText"/>
      </w:pPr>
      <w:r>
        <w:t>The Export Finance and Insurance Corporation (EFIC) is an Australian Government statutory authority which provides a range of credit and finance services to exporters. These services are provided through</w:t>
      </w:r>
      <w:r w:rsidR="002B0B28">
        <w:t xml:space="preserve"> a</w:t>
      </w:r>
      <w:r>
        <w:t>:</w:t>
      </w:r>
    </w:p>
    <w:p w:rsidR="00BF7BF0" w:rsidRDefault="00BF7BF0" w:rsidP="00BF7BF0">
      <w:pPr>
        <w:pStyle w:val="ListBullet"/>
      </w:pPr>
      <w:r>
        <w:t>Commercial Account, in which the Government guarantees all EFIC businesses (although to date EFIC has been self-funded, building up its own reserves, and has not called on this guarantee)</w:t>
      </w:r>
      <w:r w:rsidR="00B0331F">
        <w:t>; and</w:t>
      </w:r>
    </w:p>
    <w:p w:rsidR="00BF7BF0" w:rsidRDefault="00BF7BF0" w:rsidP="00BF7BF0">
      <w:pPr>
        <w:pStyle w:val="ListBullet"/>
      </w:pPr>
      <w:r>
        <w:t xml:space="preserve">National Interest Account, in which EFIC is directed to undertake transactions which the Government considers to be in the ‘national interest’ (in these cases, the Government directly bears the costs if export payments are in default). </w:t>
      </w:r>
    </w:p>
    <w:p w:rsidR="00BF7BF0" w:rsidRDefault="00BF7BF0" w:rsidP="00BF7BF0">
      <w:pPr>
        <w:pStyle w:val="BodyText"/>
      </w:pPr>
      <w:r>
        <w:t xml:space="preserve">As EFIC receives no funding from the government to support its Commercial Account activities, these have not been </w:t>
      </w:r>
      <w:r w:rsidR="009F552A">
        <w:t xml:space="preserve">treated </w:t>
      </w:r>
      <w:r>
        <w:t>as providing assistance to industry</w:t>
      </w:r>
      <w:r w:rsidR="009F552A">
        <w:t>, although it is recognised that the Government guarantee could afford a pecuniary benefit to the operations of EFIC</w:t>
      </w:r>
      <w:r w:rsidR="00356EB7">
        <w:t xml:space="preserve"> that flow on to the clients of EFIC</w:t>
      </w:r>
      <w:r>
        <w:t xml:space="preserve">. </w:t>
      </w:r>
    </w:p>
    <w:p w:rsidR="00BF7BF0" w:rsidRDefault="00BF7BF0" w:rsidP="00BF7BF0">
      <w:pPr>
        <w:pStyle w:val="BodyText"/>
      </w:pPr>
      <w:r>
        <w:t xml:space="preserve">The National Interest Account has been used on an ad hoc basis, predominately by commodity exporters. The account has also been used to accommodate debts accrued under a discontinued AusAid scheme — the Development Import Finance Facility (DIFF). From these activities, EFIC has built up a stock of debt and the government provides funding to EFIC for administering these debts. </w:t>
      </w:r>
    </w:p>
    <w:p w:rsidR="007A6E77" w:rsidRPr="001F4C56" w:rsidRDefault="00BF7BF0" w:rsidP="00D300B7">
      <w:pPr>
        <w:pStyle w:val="BodyText"/>
        <w:rPr>
          <w:spacing w:val="-2"/>
        </w:rPr>
      </w:pPr>
      <w:r>
        <w:t xml:space="preserve">For past editions of the </w:t>
      </w:r>
      <w:r w:rsidRPr="00BA18C7">
        <w:rPr>
          <w:i/>
        </w:rPr>
        <w:t>Trade &amp; Assistance Review</w:t>
      </w:r>
      <w:r>
        <w:t xml:space="preserve">, </w:t>
      </w:r>
      <w:r w:rsidR="002B0B28">
        <w:t xml:space="preserve">the Commission has used information from the line item in EFIC’s annual reports </w:t>
      </w:r>
      <w:r>
        <w:t xml:space="preserve">to allocate funding to the industries that initially benefited from insurance payouts, or other payments in the case of the DIFF debts. </w:t>
      </w:r>
    </w:p>
    <w:p w:rsidR="00614F23" w:rsidRDefault="00614F23" w:rsidP="00C058F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614F23" w:rsidTr="00C058F9">
        <w:tc>
          <w:tcPr>
            <w:tcW w:w="8771" w:type="dxa"/>
            <w:tcBorders>
              <w:top w:val="single" w:sz="6" w:space="0" w:color="78A22F"/>
              <w:left w:val="nil"/>
              <w:bottom w:val="nil"/>
              <w:right w:val="nil"/>
            </w:tcBorders>
            <w:shd w:val="clear" w:color="auto" w:fill="auto"/>
          </w:tcPr>
          <w:p w:rsidR="00614F23" w:rsidRDefault="00614F23" w:rsidP="00C058F9">
            <w:pPr>
              <w:pStyle w:val="TableTitle"/>
            </w:pPr>
            <w:r>
              <w:rPr>
                <w:b w:val="0"/>
              </w:rPr>
              <w:t>Table 4.</w:t>
            </w:r>
            <w:r w:rsidR="007A6E77">
              <w:rPr>
                <w:b w:val="0"/>
                <w:noProof/>
              </w:rPr>
              <w:t>1</w:t>
            </w:r>
            <w:r>
              <w:tab/>
              <w:t>Allocation of Small Business Simplified Depreciation Rules to industry, 2008</w:t>
            </w:r>
            <w:r>
              <w:noBreakHyphen/>
              <w:t>09 to 2013</w:t>
            </w:r>
            <w:r>
              <w:noBreakHyphen/>
              <w:t>14</w:t>
            </w:r>
          </w:p>
          <w:p w:rsidR="00614F23" w:rsidRPr="00784A05" w:rsidRDefault="00614F23" w:rsidP="006A14E5">
            <w:pPr>
              <w:pStyle w:val="Subtitle"/>
            </w:pPr>
            <w:r>
              <w:t>$</w:t>
            </w:r>
            <w:r w:rsidR="006A14E5">
              <w:t> </w:t>
            </w:r>
            <w:r>
              <w:t>million (nominal)</w:t>
            </w:r>
          </w:p>
        </w:tc>
      </w:tr>
      <w:tr w:rsidR="00614F23" w:rsidTr="00C058F9">
        <w:trPr>
          <w:cantSplit/>
        </w:trPr>
        <w:tc>
          <w:tcPr>
            <w:tcW w:w="8771" w:type="dxa"/>
            <w:tcBorders>
              <w:top w:val="nil"/>
              <w:left w:val="nil"/>
              <w:bottom w:val="nil"/>
              <w:right w:val="nil"/>
            </w:tcBorders>
            <w:shd w:val="clear" w:color="auto" w:fill="auto"/>
          </w:tcPr>
          <w:tbl>
            <w:tblPr>
              <w:tblW w:w="8487" w:type="dxa"/>
              <w:tblCellMar>
                <w:top w:w="28" w:type="dxa"/>
                <w:left w:w="0" w:type="dxa"/>
                <w:right w:w="0" w:type="dxa"/>
              </w:tblCellMar>
              <w:tblLook w:val="0000" w:firstRow="0" w:lastRow="0" w:firstColumn="0" w:lastColumn="0" w:noHBand="0" w:noVBand="0"/>
            </w:tblPr>
            <w:tblGrid>
              <w:gridCol w:w="3231"/>
              <w:gridCol w:w="876"/>
              <w:gridCol w:w="876"/>
              <w:gridCol w:w="876"/>
              <w:gridCol w:w="876"/>
              <w:gridCol w:w="876"/>
              <w:gridCol w:w="876"/>
            </w:tblGrid>
            <w:tr w:rsidR="00B8554F" w:rsidTr="00B8554F">
              <w:tc>
                <w:tcPr>
                  <w:tcW w:w="1903" w:type="pct"/>
                  <w:tcBorders>
                    <w:top w:val="single" w:sz="6" w:space="0" w:color="BFBFBF"/>
                    <w:bottom w:val="single" w:sz="6" w:space="0" w:color="BFBFBF"/>
                  </w:tcBorders>
                  <w:shd w:val="clear" w:color="auto" w:fill="auto"/>
                  <w:tcMar>
                    <w:top w:w="28" w:type="dxa"/>
                  </w:tcMar>
                </w:tcPr>
                <w:p w:rsidR="00B8554F" w:rsidRDefault="00B8554F" w:rsidP="00BF7BF0">
                  <w:pPr>
                    <w:pStyle w:val="TableColumnHeading"/>
                    <w:jc w:val="left"/>
                  </w:pPr>
                  <w:r>
                    <w:t>Industry grouping</w:t>
                  </w:r>
                </w:p>
              </w:tc>
              <w:tc>
                <w:tcPr>
                  <w:tcW w:w="516" w:type="pct"/>
                  <w:tcBorders>
                    <w:top w:val="single" w:sz="6" w:space="0" w:color="BFBFBF"/>
                    <w:bottom w:val="single" w:sz="6" w:space="0" w:color="BFBFBF"/>
                  </w:tcBorders>
                </w:tcPr>
                <w:p w:rsidR="00B8554F" w:rsidRPr="002B6A72" w:rsidRDefault="00B8554F" w:rsidP="00BF7BF0">
                  <w:pPr>
                    <w:pStyle w:val="TableColumnHeading"/>
                    <w:ind w:left="0" w:right="57"/>
                    <w:rPr>
                      <w:szCs w:val="18"/>
                    </w:rPr>
                  </w:pPr>
                  <w:r w:rsidRPr="002B6A72">
                    <w:rPr>
                      <w:szCs w:val="18"/>
                    </w:rPr>
                    <w:t>2008-09</w:t>
                  </w:r>
                </w:p>
              </w:tc>
              <w:tc>
                <w:tcPr>
                  <w:tcW w:w="516" w:type="pct"/>
                  <w:tcBorders>
                    <w:top w:val="single" w:sz="6" w:space="0" w:color="BFBFBF"/>
                    <w:bottom w:val="single" w:sz="6" w:space="0" w:color="BFBFBF"/>
                  </w:tcBorders>
                </w:tcPr>
                <w:p w:rsidR="00B8554F" w:rsidRPr="002B6A72" w:rsidRDefault="00B8554F" w:rsidP="00BF7BF0">
                  <w:pPr>
                    <w:pStyle w:val="TableColumnHeading"/>
                    <w:ind w:left="0" w:right="57"/>
                    <w:rPr>
                      <w:szCs w:val="18"/>
                    </w:rPr>
                  </w:pPr>
                  <w:r w:rsidRPr="002B6A72">
                    <w:rPr>
                      <w:szCs w:val="18"/>
                    </w:rPr>
                    <w:t>2009-10</w:t>
                  </w:r>
                </w:p>
              </w:tc>
              <w:tc>
                <w:tcPr>
                  <w:tcW w:w="516" w:type="pct"/>
                  <w:tcBorders>
                    <w:top w:val="single" w:sz="6" w:space="0" w:color="BFBFBF"/>
                    <w:bottom w:val="single" w:sz="6" w:space="0" w:color="BFBFBF"/>
                  </w:tcBorders>
                </w:tcPr>
                <w:p w:rsidR="00B8554F" w:rsidRPr="002B6A72" w:rsidRDefault="00B8554F" w:rsidP="00BF7BF0">
                  <w:pPr>
                    <w:pStyle w:val="TableColumnHeading"/>
                    <w:ind w:left="0" w:right="57"/>
                    <w:rPr>
                      <w:szCs w:val="18"/>
                    </w:rPr>
                  </w:pPr>
                  <w:r w:rsidRPr="002B6A72">
                    <w:rPr>
                      <w:szCs w:val="18"/>
                    </w:rPr>
                    <w:t>2010-11</w:t>
                  </w:r>
                </w:p>
              </w:tc>
              <w:tc>
                <w:tcPr>
                  <w:tcW w:w="516" w:type="pct"/>
                  <w:tcBorders>
                    <w:top w:val="single" w:sz="6" w:space="0" w:color="BFBFBF"/>
                    <w:bottom w:val="single" w:sz="6" w:space="0" w:color="BFBFBF"/>
                  </w:tcBorders>
                </w:tcPr>
                <w:p w:rsidR="00B8554F" w:rsidRPr="002B6A72" w:rsidRDefault="00B8554F" w:rsidP="00BF7BF0">
                  <w:pPr>
                    <w:pStyle w:val="TableColumnHeading"/>
                    <w:ind w:left="0" w:right="57"/>
                    <w:rPr>
                      <w:szCs w:val="18"/>
                    </w:rPr>
                  </w:pPr>
                  <w:r w:rsidRPr="002B6A72">
                    <w:rPr>
                      <w:szCs w:val="18"/>
                    </w:rPr>
                    <w:t>2011-12</w:t>
                  </w:r>
                </w:p>
              </w:tc>
              <w:tc>
                <w:tcPr>
                  <w:tcW w:w="516" w:type="pct"/>
                  <w:tcBorders>
                    <w:top w:val="single" w:sz="6" w:space="0" w:color="BFBFBF"/>
                    <w:bottom w:val="single" w:sz="6" w:space="0" w:color="BFBFBF"/>
                  </w:tcBorders>
                  <w:shd w:val="clear" w:color="auto" w:fill="auto"/>
                  <w:tcMar>
                    <w:top w:w="28" w:type="dxa"/>
                  </w:tcMar>
                </w:tcPr>
                <w:p w:rsidR="00B8554F" w:rsidRPr="002B6A72" w:rsidRDefault="00B8554F" w:rsidP="00BF7BF0">
                  <w:pPr>
                    <w:pStyle w:val="TableColumnHeading"/>
                    <w:ind w:left="0" w:right="57"/>
                    <w:rPr>
                      <w:szCs w:val="18"/>
                    </w:rPr>
                  </w:pPr>
                  <w:r w:rsidRPr="002B6A72">
                    <w:rPr>
                      <w:szCs w:val="18"/>
                    </w:rPr>
                    <w:t>2012-13</w:t>
                  </w:r>
                </w:p>
              </w:tc>
              <w:tc>
                <w:tcPr>
                  <w:tcW w:w="516" w:type="pct"/>
                  <w:tcBorders>
                    <w:top w:val="single" w:sz="6" w:space="0" w:color="BFBFBF"/>
                    <w:bottom w:val="single" w:sz="6" w:space="0" w:color="BFBFBF"/>
                  </w:tcBorders>
                  <w:shd w:val="clear" w:color="auto" w:fill="auto"/>
                  <w:tcMar>
                    <w:top w:w="28" w:type="dxa"/>
                  </w:tcMar>
                </w:tcPr>
                <w:p w:rsidR="00B8554F" w:rsidRPr="002B6A72" w:rsidRDefault="00B8554F" w:rsidP="00BF7BF0">
                  <w:pPr>
                    <w:pStyle w:val="TableColumnHeading"/>
                    <w:ind w:left="0" w:right="57"/>
                    <w:rPr>
                      <w:szCs w:val="18"/>
                    </w:rPr>
                  </w:pPr>
                  <w:r w:rsidRPr="002B6A72">
                    <w:rPr>
                      <w:szCs w:val="18"/>
                    </w:rPr>
                    <w:t>2013-14</w:t>
                  </w:r>
                </w:p>
              </w:tc>
            </w:tr>
            <w:tr w:rsidR="00B5034D" w:rsidRPr="00BF7BF0" w:rsidTr="00C058F9">
              <w:tc>
                <w:tcPr>
                  <w:tcW w:w="1903" w:type="pct"/>
                  <w:vAlign w:val="center"/>
                </w:tcPr>
                <w:p w:rsidR="00B5034D" w:rsidRPr="00BF7BF0" w:rsidRDefault="00B5034D" w:rsidP="00BF7BF0">
                  <w:pPr>
                    <w:pStyle w:val="TableBodyText"/>
                    <w:spacing w:before="40"/>
                    <w:jc w:val="left"/>
                    <w:rPr>
                      <w:b/>
                    </w:rPr>
                  </w:pPr>
                  <w:r w:rsidRPr="00BF7BF0">
                    <w:rPr>
                      <w:b/>
                    </w:rPr>
                    <w:t>Primary production</w:t>
                  </w:r>
                </w:p>
              </w:tc>
              <w:tc>
                <w:tcPr>
                  <w:tcW w:w="516" w:type="pct"/>
                  <w:vAlign w:val="bottom"/>
                </w:tcPr>
                <w:p w:rsidR="00B5034D" w:rsidRPr="00BF7BF0" w:rsidRDefault="00B5034D" w:rsidP="00BF7BF0">
                  <w:pPr>
                    <w:pStyle w:val="TableBodyText"/>
                    <w:spacing w:before="40"/>
                    <w:ind w:left="0" w:right="57"/>
                    <w:rPr>
                      <w:b/>
                    </w:rPr>
                  </w:pPr>
                  <w:r w:rsidRPr="00BF7BF0">
                    <w:rPr>
                      <w:b/>
                    </w:rPr>
                    <w:t>5.7</w:t>
                  </w:r>
                </w:p>
              </w:tc>
              <w:tc>
                <w:tcPr>
                  <w:tcW w:w="516" w:type="pct"/>
                  <w:vAlign w:val="bottom"/>
                </w:tcPr>
                <w:p w:rsidR="00B5034D" w:rsidRPr="00BF7BF0" w:rsidRDefault="00B5034D" w:rsidP="00BF7BF0">
                  <w:pPr>
                    <w:pStyle w:val="TableBodyText"/>
                    <w:spacing w:before="40"/>
                    <w:ind w:left="0" w:right="57"/>
                    <w:rPr>
                      <w:b/>
                    </w:rPr>
                  </w:pPr>
                  <w:r w:rsidRPr="00BF7BF0">
                    <w:rPr>
                      <w:b/>
                    </w:rPr>
                    <w:t>7.6</w:t>
                  </w:r>
                </w:p>
              </w:tc>
              <w:tc>
                <w:tcPr>
                  <w:tcW w:w="516" w:type="pct"/>
                  <w:vAlign w:val="bottom"/>
                </w:tcPr>
                <w:p w:rsidR="00B5034D" w:rsidRPr="00BF7BF0" w:rsidRDefault="00B5034D" w:rsidP="00BF7BF0">
                  <w:pPr>
                    <w:pStyle w:val="TableBodyText"/>
                    <w:spacing w:before="40"/>
                    <w:ind w:left="0" w:right="57"/>
                    <w:rPr>
                      <w:b/>
                    </w:rPr>
                  </w:pPr>
                  <w:r w:rsidRPr="00BF7BF0">
                    <w:rPr>
                      <w:b/>
                    </w:rPr>
                    <w:t>12.3</w:t>
                  </w:r>
                </w:p>
              </w:tc>
              <w:tc>
                <w:tcPr>
                  <w:tcW w:w="516" w:type="pct"/>
                  <w:vAlign w:val="bottom"/>
                </w:tcPr>
                <w:p w:rsidR="00B5034D" w:rsidRPr="00BF7BF0" w:rsidRDefault="00B5034D" w:rsidP="00BF7BF0">
                  <w:pPr>
                    <w:pStyle w:val="TableBodyText"/>
                    <w:spacing w:before="40"/>
                    <w:ind w:left="0" w:right="57"/>
                    <w:rPr>
                      <w:b/>
                    </w:rPr>
                  </w:pPr>
                  <w:r w:rsidRPr="00BF7BF0">
                    <w:rPr>
                      <w:b/>
                    </w:rPr>
                    <w:t>0.9</w:t>
                  </w:r>
                </w:p>
              </w:tc>
              <w:tc>
                <w:tcPr>
                  <w:tcW w:w="516" w:type="pct"/>
                  <w:vAlign w:val="bottom"/>
                </w:tcPr>
                <w:p w:rsidR="00B5034D" w:rsidRPr="00BF7BF0" w:rsidRDefault="00B5034D" w:rsidP="00BF7BF0">
                  <w:pPr>
                    <w:pStyle w:val="TableBodyText"/>
                    <w:spacing w:before="40"/>
                    <w:ind w:left="0" w:right="57"/>
                    <w:rPr>
                      <w:b/>
                    </w:rPr>
                  </w:pPr>
                  <w:r w:rsidRPr="00BF7BF0">
                    <w:rPr>
                      <w:b/>
                    </w:rPr>
                    <w:t>-3.8</w:t>
                  </w:r>
                </w:p>
              </w:tc>
              <w:tc>
                <w:tcPr>
                  <w:tcW w:w="516" w:type="pct"/>
                  <w:vAlign w:val="bottom"/>
                </w:tcPr>
                <w:p w:rsidR="00B5034D" w:rsidRPr="00BF7BF0" w:rsidRDefault="00B5034D" w:rsidP="00BF7BF0">
                  <w:pPr>
                    <w:pStyle w:val="TableBodyText"/>
                    <w:spacing w:before="40"/>
                    <w:ind w:left="0" w:right="57"/>
                    <w:rPr>
                      <w:b/>
                    </w:rPr>
                  </w:pPr>
                  <w:r w:rsidRPr="00BF7BF0">
                    <w:rPr>
                      <w:b/>
                    </w:rPr>
                    <w:t>134.3</w:t>
                  </w:r>
                </w:p>
              </w:tc>
            </w:tr>
            <w:tr w:rsidR="00B5034D" w:rsidTr="00C058F9">
              <w:tc>
                <w:tcPr>
                  <w:tcW w:w="1903" w:type="pct"/>
                  <w:vAlign w:val="center"/>
                </w:tcPr>
                <w:p w:rsidR="00B5034D" w:rsidRDefault="00B5034D" w:rsidP="00B5034D">
                  <w:pPr>
                    <w:pStyle w:val="TableBodyText"/>
                    <w:spacing w:after="0"/>
                    <w:jc w:val="left"/>
                  </w:pPr>
                  <w:r>
                    <w:t>Horticulture and fruit growing</w:t>
                  </w:r>
                </w:p>
              </w:tc>
              <w:tc>
                <w:tcPr>
                  <w:tcW w:w="516" w:type="pct"/>
                  <w:vAlign w:val="bottom"/>
                </w:tcPr>
                <w:p w:rsidR="00B5034D" w:rsidRDefault="00B5034D" w:rsidP="00B5034D">
                  <w:pPr>
                    <w:pStyle w:val="TableBodyText"/>
                    <w:spacing w:after="0"/>
                    <w:ind w:left="0" w:right="57"/>
                  </w:pPr>
                  <w:r>
                    <w:t>0.8</w:t>
                  </w:r>
                </w:p>
              </w:tc>
              <w:tc>
                <w:tcPr>
                  <w:tcW w:w="516" w:type="pct"/>
                  <w:vAlign w:val="bottom"/>
                </w:tcPr>
                <w:p w:rsidR="00B5034D" w:rsidRDefault="00B5034D" w:rsidP="00B5034D">
                  <w:pPr>
                    <w:pStyle w:val="TableBodyText"/>
                    <w:spacing w:after="0"/>
                    <w:ind w:left="0" w:right="57"/>
                  </w:pPr>
                  <w:r>
                    <w:t>1.1</w:t>
                  </w:r>
                </w:p>
              </w:tc>
              <w:tc>
                <w:tcPr>
                  <w:tcW w:w="516" w:type="pct"/>
                  <w:vAlign w:val="bottom"/>
                </w:tcPr>
                <w:p w:rsidR="00B5034D" w:rsidRDefault="00B5034D" w:rsidP="00B5034D">
                  <w:pPr>
                    <w:pStyle w:val="TableBodyText"/>
                    <w:spacing w:after="0"/>
                    <w:ind w:left="0" w:right="57"/>
                  </w:pPr>
                  <w:r>
                    <w:t>1.7</w:t>
                  </w:r>
                </w:p>
              </w:tc>
              <w:tc>
                <w:tcPr>
                  <w:tcW w:w="516" w:type="pct"/>
                  <w:vAlign w:val="bottom"/>
                </w:tcPr>
                <w:p w:rsidR="00B5034D" w:rsidRDefault="00B5034D" w:rsidP="00B5034D">
                  <w:pPr>
                    <w:pStyle w:val="TableBodyText"/>
                    <w:spacing w:after="0"/>
                    <w:ind w:left="0" w:right="57"/>
                  </w:pPr>
                  <w:r>
                    <w:t>0.1</w:t>
                  </w:r>
                </w:p>
              </w:tc>
              <w:tc>
                <w:tcPr>
                  <w:tcW w:w="516" w:type="pct"/>
                  <w:vAlign w:val="bottom"/>
                </w:tcPr>
                <w:p w:rsidR="00B5034D" w:rsidRDefault="00B5034D" w:rsidP="00B5034D">
                  <w:pPr>
                    <w:pStyle w:val="TableBodyText"/>
                    <w:spacing w:after="0"/>
                    <w:ind w:left="0" w:right="57"/>
                  </w:pPr>
                  <w:r>
                    <w:t>-0.5</w:t>
                  </w:r>
                </w:p>
              </w:tc>
              <w:tc>
                <w:tcPr>
                  <w:tcW w:w="516" w:type="pct"/>
                  <w:vAlign w:val="bottom"/>
                </w:tcPr>
                <w:p w:rsidR="00B5034D" w:rsidRDefault="00B5034D" w:rsidP="00B5034D">
                  <w:pPr>
                    <w:pStyle w:val="TableBodyText"/>
                    <w:spacing w:after="0"/>
                    <w:ind w:left="0" w:right="57"/>
                  </w:pPr>
                  <w:r>
                    <w:t>19.0</w:t>
                  </w:r>
                </w:p>
              </w:tc>
            </w:tr>
            <w:tr w:rsidR="00B5034D" w:rsidTr="00C058F9">
              <w:tc>
                <w:tcPr>
                  <w:tcW w:w="1903" w:type="pct"/>
                  <w:vAlign w:val="center"/>
                </w:tcPr>
                <w:p w:rsidR="00B5034D" w:rsidRDefault="00B5034D" w:rsidP="00B5034D">
                  <w:pPr>
                    <w:pStyle w:val="TableBodyText"/>
                    <w:spacing w:after="0"/>
                    <w:jc w:val="left"/>
                  </w:pPr>
                  <w:r>
                    <w:t>Sheep, beef cattle and grain farming</w:t>
                  </w:r>
                </w:p>
              </w:tc>
              <w:tc>
                <w:tcPr>
                  <w:tcW w:w="516" w:type="pct"/>
                  <w:vAlign w:val="bottom"/>
                </w:tcPr>
                <w:p w:rsidR="00B5034D" w:rsidRDefault="00B5034D" w:rsidP="00B5034D">
                  <w:pPr>
                    <w:pStyle w:val="TableBodyText"/>
                    <w:spacing w:after="0"/>
                    <w:ind w:left="0" w:right="57"/>
                  </w:pPr>
                  <w:r>
                    <w:t>3.1</w:t>
                  </w:r>
                </w:p>
              </w:tc>
              <w:tc>
                <w:tcPr>
                  <w:tcW w:w="516" w:type="pct"/>
                  <w:vAlign w:val="bottom"/>
                </w:tcPr>
                <w:p w:rsidR="00B5034D" w:rsidRDefault="00B5034D" w:rsidP="00B5034D">
                  <w:pPr>
                    <w:pStyle w:val="TableBodyText"/>
                    <w:spacing w:after="0"/>
                    <w:ind w:left="0" w:right="57"/>
                  </w:pPr>
                  <w:r>
                    <w:t>4.1</w:t>
                  </w:r>
                </w:p>
              </w:tc>
              <w:tc>
                <w:tcPr>
                  <w:tcW w:w="516" w:type="pct"/>
                  <w:vAlign w:val="bottom"/>
                </w:tcPr>
                <w:p w:rsidR="00B5034D" w:rsidRDefault="00B5034D" w:rsidP="00B5034D">
                  <w:pPr>
                    <w:pStyle w:val="TableBodyText"/>
                    <w:spacing w:after="0"/>
                    <w:ind w:left="0" w:right="57"/>
                  </w:pPr>
                  <w:r>
                    <w:t>6.7</w:t>
                  </w:r>
                </w:p>
              </w:tc>
              <w:tc>
                <w:tcPr>
                  <w:tcW w:w="516" w:type="pct"/>
                  <w:vAlign w:val="bottom"/>
                </w:tcPr>
                <w:p w:rsidR="00B5034D" w:rsidRDefault="00B5034D" w:rsidP="00B5034D">
                  <w:pPr>
                    <w:pStyle w:val="TableBodyText"/>
                    <w:spacing w:after="0"/>
                    <w:ind w:left="0" w:right="57"/>
                  </w:pPr>
                  <w:r>
                    <w:t>0.5</w:t>
                  </w:r>
                </w:p>
              </w:tc>
              <w:tc>
                <w:tcPr>
                  <w:tcW w:w="516" w:type="pct"/>
                  <w:vAlign w:val="bottom"/>
                </w:tcPr>
                <w:p w:rsidR="00B5034D" w:rsidRDefault="00B5034D" w:rsidP="00B5034D">
                  <w:pPr>
                    <w:pStyle w:val="TableBodyText"/>
                    <w:spacing w:after="0"/>
                    <w:ind w:left="0" w:right="57"/>
                  </w:pPr>
                  <w:r>
                    <w:t>-2.1</w:t>
                  </w:r>
                </w:p>
              </w:tc>
              <w:tc>
                <w:tcPr>
                  <w:tcW w:w="516" w:type="pct"/>
                  <w:vAlign w:val="bottom"/>
                </w:tcPr>
                <w:p w:rsidR="00B5034D" w:rsidRDefault="00B5034D" w:rsidP="00B5034D">
                  <w:pPr>
                    <w:pStyle w:val="TableBodyText"/>
                    <w:spacing w:after="0"/>
                    <w:ind w:left="0" w:right="57"/>
                  </w:pPr>
                  <w:r>
                    <w:t>73.1</w:t>
                  </w:r>
                </w:p>
              </w:tc>
            </w:tr>
            <w:tr w:rsidR="00B5034D" w:rsidTr="00C058F9">
              <w:tc>
                <w:tcPr>
                  <w:tcW w:w="1903" w:type="pct"/>
                  <w:vAlign w:val="center"/>
                </w:tcPr>
                <w:p w:rsidR="00B5034D" w:rsidRDefault="00B5034D" w:rsidP="00B5034D">
                  <w:pPr>
                    <w:pStyle w:val="TableBodyText"/>
                    <w:spacing w:after="0"/>
                    <w:jc w:val="left"/>
                  </w:pPr>
                  <w:r>
                    <w:t>Other crop growing</w:t>
                  </w:r>
                </w:p>
              </w:tc>
              <w:tc>
                <w:tcPr>
                  <w:tcW w:w="516" w:type="pct"/>
                  <w:vAlign w:val="bottom"/>
                </w:tcPr>
                <w:p w:rsidR="00B5034D" w:rsidRDefault="00B5034D" w:rsidP="00B5034D">
                  <w:pPr>
                    <w:pStyle w:val="TableBodyText"/>
                    <w:spacing w:after="0"/>
                    <w:ind w:left="0" w:right="57"/>
                  </w:pPr>
                  <w:r>
                    <w:t>0.3</w:t>
                  </w:r>
                </w:p>
              </w:tc>
              <w:tc>
                <w:tcPr>
                  <w:tcW w:w="516" w:type="pct"/>
                  <w:vAlign w:val="bottom"/>
                </w:tcPr>
                <w:p w:rsidR="00B5034D" w:rsidRDefault="00B5034D" w:rsidP="00B5034D">
                  <w:pPr>
                    <w:pStyle w:val="TableBodyText"/>
                    <w:spacing w:after="0"/>
                    <w:ind w:left="0" w:right="57"/>
                  </w:pPr>
                  <w:r>
                    <w:t>0.3</w:t>
                  </w:r>
                </w:p>
              </w:tc>
              <w:tc>
                <w:tcPr>
                  <w:tcW w:w="516" w:type="pct"/>
                  <w:vAlign w:val="bottom"/>
                </w:tcPr>
                <w:p w:rsidR="00B5034D" w:rsidRDefault="00B5034D" w:rsidP="00B5034D">
                  <w:pPr>
                    <w:pStyle w:val="TableBodyText"/>
                    <w:spacing w:after="0"/>
                    <w:ind w:left="0" w:right="57"/>
                  </w:pPr>
                  <w:r>
                    <w:t>0.5</w:t>
                  </w:r>
                </w:p>
              </w:tc>
              <w:tc>
                <w:tcPr>
                  <w:tcW w:w="516" w:type="pct"/>
                  <w:vAlign w:val="bottom"/>
                </w:tcPr>
                <w:p w:rsidR="00B5034D" w:rsidRDefault="00B5034D" w:rsidP="00B5034D">
                  <w:pPr>
                    <w:pStyle w:val="TableBodyText"/>
                    <w:spacing w:after="0"/>
                    <w:ind w:left="0" w:right="57"/>
                  </w:pPr>
                  <w:r>
                    <w:t>&lt;0.1</w:t>
                  </w:r>
                </w:p>
              </w:tc>
              <w:tc>
                <w:tcPr>
                  <w:tcW w:w="516" w:type="pct"/>
                  <w:vAlign w:val="bottom"/>
                </w:tcPr>
                <w:p w:rsidR="00B5034D" w:rsidRDefault="00B5034D" w:rsidP="00B5034D">
                  <w:pPr>
                    <w:pStyle w:val="TableBodyText"/>
                    <w:spacing w:after="0"/>
                    <w:ind w:left="0" w:right="57"/>
                  </w:pPr>
                  <w:r>
                    <w:t>-0.2</w:t>
                  </w:r>
                </w:p>
              </w:tc>
              <w:tc>
                <w:tcPr>
                  <w:tcW w:w="516" w:type="pct"/>
                  <w:vAlign w:val="bottom"/>
                </w:tcPr>
                <w:p w:rsidR="00B5034D" w:rsidRDefault="00B5034D" w:rsidP="00B5034D">
                  <w:pPr>
                    <w:pStyle w:val="TableBodyText"/>
                    <w:spacing w:after="0"/>
                    <w:ind w:left="0" w:right="57"/>
                  </w:pPr>
                  <w:r>
                    <w:t>6.0</w:t>
                  </w:r>
                </w:p>
              </w:tc>
            </w:tr>
            <w:tr w:rsidR="00B5034D" w:rsidTr="00C058F9">
              <w:tc>
                <w:tcPr>
                  <w:tcW w:w="1903" w:type="pct"/>
                  <w:vAlign w:val="center"/>
                </w:tcPr>
                <w:p w:rsidR="00B5034D" w:rsidRDefault="00B5034D" w:rsidP="00B5034D">
                  <w:pPr>
                    <w:pStyle w:val="TableBodyText"/>
                    <w:spacing w:after="0"/>
                    <w:jc w:val="left"/>
                  </w:pPr>
                  <w:r>
                    <w:t>Dairy cattle farming</w:t>
                  </w:r>
                </w:p>
              </w:tc>
              <w:tc>
                <w:tcPr>
                  <w:tcW w:w="516" w:type="pct"/>
                  <w:vAlign w:val="bottom"/>
                </w:tcPr>
                <w:p w:rsidR="00B5034D" w:rsidRDefault="00B5034D" w:rsidP="00B5034D">
                  <w:pPr>
                    <w:pStyle w:val="TableBodyText"/>
                    <w:spacing w:after="0"/>
                    <w:ind w:left="0" w:right="57"/>
                  </w:pPr>
                  <w:r>
                    <w:t>0.4</w:t>
                  </w:r>
                </w:p>
              </w:tc>
              <w:tc>
                <w:tcPr>
                  <w:tcW w:w="516" w:type="pct"/>
                  <w:vAlign w:val="bottom"/>
                </w:tcPr>
                <w:p w:rsidR="00B5034D" w:rsidRDefault="00B5034D" w:rsidP="00B5034D">
                  <w:pPr>
                    <w:pStyle w:val="TableBodyText"/>
                    <w:spacing w:after="0"/>
                    <w:ind w:left="0" w:right="57"/>
                  </w:pPr>
                  <w:r>
                    <w:t>0.5</w:t>
                  </w:r>
                </w:p>
              </w:tc>
              <w:tc>
                <w:tcPr>
                  <w:tcW w:w="516" w:type="pct"/>
                  <w:vAlign w:val="bottom"/>
                </w:tcPr>
                <w:p w:rsidR="00B5034D" w:rsidRDefault="00B5034D" w:rsidP="00B5034D">
                  <w:pPr>
                    <w:pStyle w:val="TableBodyText"/>
                    <w:spacing w:after="0"/>
                    <w:ind w:left="0" w:right="57"/>
                  </w:pPr>
                  <w:r>
                    <w:t>0.8</w:t>
                  </w:r>
                </w:p>
              </w:tc>
              <w:tc>
                <w:tcPr>
                  <w:tcW w:w="516" w:type="pct"/>
                  <w:vAlign w:val="bottom"/>
                </w:tcPr>
                <w:p w:rsidR="00B5034D" w:rsidRDefault="00B5034D" w:rsidP="00B5034D">
                  <w:pPr>
                    <w:pStyle w:val="TableBodyText"/>
                    <w:spacing w:after="0"/>
                    <w:ind w:left="0" w:right="57"/>
                  </w:pPr>
                  <w:r>
                    <w:t>0.1</w:t>
                  </w:r>
                </w:p>
              </w:tc>
              <w:tc>
                <w:tcPr>
                  <w:tcW w:w="516" w:type="pct"/>
                  <w:vAlign w:val="bottom"/>
                </w:tcPr>
                <w:p w:rsidR="00B5034D" w:rsidRDefault="00B5034D" w:rsidP="00B5034D">
                  <w:pPr>
                    <w:pStyle w:val="TableBodyText"/>
                    <w:spacing w:after="0"/>
                    <w:ind w:left="0" w:right="57"/>
                  </w:pPr>
                  <w:r>
                    <w:t>-0.2</w:t>
                  </w:r>
                </w:p>
              </w:tc>
              <w:tc>
                <w:tcPr>
                  <w:tcW w:w="516" w:type="pct"/>
                  <w:vAlign w:val="bottom"/>
                </w:tcPr>
                <w:p w:rsidR="00B5034D" w:rsidRDefault="00B5034D" w:rsidP="00B5034D">
                  <w:pPr>
                    <w:pStyle w:val="TableBodyText"/>
                    <w:spacing w:after="0"/>
                    <w:ind w:left="0" w:right="57"/>
                  </w:pPr>
                  <w:r>
                    <w:t>8.4</w:t>
                  </w:r>
                </w:p>
              </w:tc>
            </w:tr>
            <w:tr w:rsidR="00B5034D" w:rsidTr="00C058F9">
              <w:tc>
                <w:tcPr>
                  <w:tcW w:w="1903" w:type="pct"/>
                  <w:vAlign w:val="center"/>
                </w:tcPr>
                <w:p w:rsidR="00B5034D" w:rsidRDefault="00B5034D" w:rsidP="00B5034D">
                  <w:pPr>
                    <w:pStyle w:val="TableBodyText"/>
                    <w:spacing w:after="0"/>
                    <w:jc w:val="left"/>
                  </w:pPr>
                  <w:r>
                    <w:t>Other livestock farming</w:t>
                  </w:r>
                </w:p>
              </w:tc>
              <w:tc>
                <w:tcPr>
                  <w:tcW w:w="516" w:type="pct"/>
                  <w:vAlign w:val="bottom"/>
                </w:tcPr>
                <w:p w:rsidR="00B5034D" w:rsidRDefault="00B5034D" w:rsidP="00B5034D">
                  <w:pPr>
                    <w:pStyle w:val="TableBodyText"/>
                    <w:spacing w:after="0"/>
                    <w:ind w:left="0" w:right="57"/>
                  </w:pPr>
                  <w:r>
                    <w:t>0.3</w:t>
                  </w:r>
                </w:p>
              </w:tc>
              <w:tc>
                <w:tcPr>
                  <w:tcW w:w="516" w:type="pct"/>
                  <w:vAlign w:val="bottom"/>
                </w:tcPr>
                <w:p w:rsidR="00B5034D" w:rsidRDefault="00B5034D" w:rsidP="00B5034D">
                  <w:pPr>
                    <w:pStyle w:val="TableBodyText"/>
                    <w:spacing w:after="0"/>
                    <w:ind w:left="0" w:right="57"/>
                  </w:pPr>
                  <w:r>
                    <w:t>0.4</w:t>
                  </w:r>
                </w:p>
              </w:tc>
              <w:tc>
                <w:tcPr>
                  <w:tcW w:w="516" w:type="pct"/>
                  <w:vAlign w:val="bottom"/>
                </w:tcPr>
                <w:p w:rsidR="00B5034D" w:rsidRDefault="00B5034D" w:rsidP="00B5034D">
                  <w:pPr>
                    <w:pStyle w:val="TableBodyText"/>
                    <w:spacing w:after="0"/>
                    <w:ind w:left="0" w:right="57"/>
                  </w:pPr>
                  <w:r>
                    <w:t>0.6</w:t>
                  </w:r>
                </w:p>
              </w:tc>
              <w:tc>
                <w:tcPr>
                  <w:tcW w:w="516" w:type="pct"/>
                  <w:vAlign w:val="bottom"/>
                </w:tcPr>
                <w:p w:rsidR="00B5034D" w:rsidRDefault="00B5034D" w:rsidP="00B5034D">
                  <w:pPr>
                    <w:pStyle w:val="TableBodyText"/>
                    <w:spacing w:after="0"/>
                    <w:ind w:left="0" w:right="57"/>
                  </w:pPr>
                  <w:r>
                    <w:t>&lt;0.1</w:t>
                  </w:r>
                </w:p>
              </w:tc>
              <w:tc>
                <w:tcPr>
                  <w:tcW w:w="516" w:type="pct"/>
                  <w:vAlign w:val="bottom"/>
                </w:tcPr>
                <w:p w:rsidR="00B5034D" w:rsidRDefault="00B5034D" w:rsidP="00B5034D">
                  <w:pPr>
                    <w:pStyle w:val="TableBodyText"/>
                    <w:spacing w:after="0"/>
                    <w:ind w:left="0" w:right="57"/>
                  </w:pPr>
                  <w:r>
                    <w:t>-0.2</w:t>
                  </w:r>
                </w:p>
              </w:tc>
              <w:tc>
                <w:tcPr>
                  <w:tcW w:w="516" w:type="pct"/>
                  <w:vAlign w:val="bottom"/>
                </w:tcPr>
                <w:p w:rsidR="00B5034D" w:rsidRDefault="00B5034D" w:rsidP="00B5034D">
                  <w:pPr>
                    <w:pStyle w:val="TableBodyText"/>
                    <w:spacing w:after="0"/>
                    <w:ind w:left="0" w:right="57"/>
                  </w:pPr>
                  <w:r>
                    <w:t>6.6</w:t>
                  </w:r>
                </w:p>
              </w:tc>
            </w:tr>
            <w:tr w:rsidR="00B5034D" w:rsidTr="00C058F9">
              <w:tc>
                <w:tcPr>
                  <w:tcW w:w="1903" w:type="pct"/>
                  <w:vAlign w:val="center"/>
                </w:tcPr>
                <w:p w:rsidR="00B5034D" w:rsidRDefault="00B5034D" w:rsidP="00B5034D">
                  <w:pPr>
                    <w:pStyle w:val="TableBodyText"/>
                    <w:spacing w:after="0"/>
                    <w:jc w:val="left"/>
                  </w:pPr>
                  <w:r>
                    <w:t>Aquaculture and fishing</w:t>
                  </w:r>
                </w:p>
              </w:tc>
              <w:tc>
                <w:tcPr>
                  <w:tcW w:w="516" w:type="pct"/>
                  <w:vAlign w:val="bottom"/>
                </w:tcPr>
                <w:p w:rsidR="00B5034D" w:rsidRDefault="00B5034D" w:rsidP="00B5034D">
                  <w:pPr>
                    <w:pStyle w:val="TableBodyText"/>
                    <w:spacing w:after="0"/>
                    <w:ind w:left="0" w:right="57"/>
                  </w:pPr>
                  <w:r>
                    <w:t>0.2</w:t>
                  </w:r>
                </w:p>
              </w:tc>
              <w:tc>
                <w:tcPr>
                  <w:tcW w:w="516" w:type="pct"/>
                  <w:vAlign w:val="bottom"/>
                </w:tcPr>
                <w:p w:rsidR="00B5034D" w:rsidRDefault="00B5034D" w:rsidP="00B5034D">
                  <w:pPr>
                    <w:pStyle w:val="TableBodyText"/>
                    <w:spacing w:after="0"/>
                    <w:ind w:left="0" w:right="57"/>
                  </w:pPr>
                  <w:r>
                    <w:t>0.3</w:t>
                  </w:r>
                </w:p>
              </w:tc>
              <w:tc>
                <w:tcPr>
                  <w:tcW w:w="516" w:type="pct"/>
                  <w:vAlign w:val="bottom"/>
                </w:tcPr>
                <w:p w:rsidR="00B5034D" w:rsidRDefault="00B5034D" w:rsidP="00B5034D">
                  <w:pPr>
                    <w:pStyle w:val="TableBodyText"/>
                    <w:spacing w:after="0"/>
                    <w:ind w:left="0" w:right="57"/>
                  </w:pPr>
                  <w:r>
                    <w:t>0.5</w:t>
                  </w:r>
                </w:p>
              </w:tc>
              <w:tc>
                <w:tcPr>
                  <w:tcW w:w="516" w:type="pct"/>
                  <w:vAlign w:val="bottom"/>
                </w:tcPr>
                <w:p w:rsidR="00B5034D" w:rsidRDefault="00B5034D" w:rsidP="00B5034D">
                  <w:pPr>
                    <w:pStyle w:val="TableBodyText"/>
                    <w:spacing w:after="0"/>
                    <w:ind w:left="0" w:right="57"/>
                  </w:pPr>
                  <w:r>
                    <w:t>&lt;0.1</w:t>
                  </w:r>
                </w:p>
              </w:tc>
              <w:tc>
                <w:tcPr>
                  <w:tcW w:w="516" w:type="pct"/>
                  <w:vAlign w:val="bottom"/>
                </w:tcPr>
                <w:p w:rsidR="00B5034D" w:rsidRDefault="00B5034D" w:rsidP="00B5034D">
                  <w:pPr>
                    <w:pStyle w:val="TableBodyText"/>
                    <w:spacing w:after="0"/>
                    <w:ind w:left="0" w:right="57"/>
                  </w:pPr>
                  <w:r>
                    <w:t>-0.1</w:t>
                  </w:r>
                </w:p>
              </w:tc>
              <w:tc>
                <w:tcPr>
                  <w:tcW w:w="516" w:type="pct"/>
                  <w:vAlign w:val="bottom"/>
                </w:tcPr>
                <w:p w:rsidR="00B5034D" w:rsidRDefault="00B5034D" w:rsidP="00B5034D">
                  <w:pPr>
                    <w:pStyle w:val="TableBodyText"/>
                    <w:spacing w:after="0"/>
                    <w:ind w:left="0" w:right="57"/>
                  </w:pPr>
                  <w:r>
                    <w:t>5.3</w:t>
                  </w:r>
                </w:p>
              </w:tc>
            </w:tr>
            <w:tr w:rsidR="00B5034D" w:rsidTr="00C058F9">
              <w:tc>
                <w:tcPr>
                  <w:tcW w:w="1903" w:type="pct"/>
                  <w:vAlign w:val="center"/>
                </w:tcPr>
                <w:p w:rsidR="00B5034D" w:rsidRDefault="00B5034D" w:rsidP="00B5034D">
                  <w:pPr>
                    <w:pStyle w:val="TableBodyText"/>
                    <w:spacing w:after="0"/>
                    <w:jc w:val="left"/>
                  </w:pPr>
                  <w:r>
                    <w:t>Forestry and logging</w:t>
                  </w:r>
                </w:p>
              </w:tc>
              <w:tc>
                <w:tcPr>
                  <w:tcW w:w="516" w:type="pct"/>
                  <w:vAlign w:val="bottom"/>
                </w:tcPr>
                <w:p w:rsidR="00B5034D" w:rsidRDefault="00B5034D" w:rsidP="00B5034D">
                  <w:pPr>
                    <w:pStyle w:val="TableBodyText"/>
                    <w:spacing w:after="0"/>
                    <w:ind w:left="0" w:right="57"/>
                  </w:pPr>
                  <w:r>
                    <w:t>0.3</w:t>
                  </w:r>
                </w:p>
              </w:tc>
              <w:tc>
                <w:tcPr>
                  <w:tcW w:w="516" w:type="pct"/>
                  <w:vAlign w:val="bottom"/>
                </w:tcPr>
                <w:p w:rsidR="00B5034D" w:rsidRDefault="00B5034D" w:rsidP="00B5034D">
                  <w:pPr>
                    <w:pStyle w:val="TableBodyText"/>
                    <w:spacing w:after="0"/>
                    <w:ind w:left="0" w:right="57"/>
                  </w:pPr>
                  <w:r>
                    <w:t>0.4</w:t>
                  </w:r>
                </w:p>
              </w:tc>
              <w:tc>
                <w:tcPr>
                  <w:tcW w:w="516" w:type="pct"/>
                  <w:vAlign w:val="bottom"/>
                </w:tcPr>
                <w:p w:rsidR="00B5034D" w:rsidRDefault="00B5034D" w:rsidP="00B5034D">
                  <w:pPr>
                    <w:pStyle w:val="TableBodyText"/>
                    <w:spacing w:after="0"/>
                    <w:ind w:left="0" w:right="57"/>
                  </w:pPr>
                  <w:r>
                    <w:t>0.6</w:t>
                  </w:r>
                </w:p>
              </w:tc>
              <w:tc>
                <w:tcPr>
                  <w:tcW w:w="516" w:type="pct"/>
                  <w:vAlign w:val="bottom"/>
                </w:tcPr>
                <w:p w:rsidR="00B5034D" w:rsidRDefault="00B5034D" w:rsidP="00B5034D">
                  <w:pPr>
                    <w:pStyle w:val="TableBodyText"/>
                    <w:spacing w:after="0"/>
                    <w:ind w:left="0" w:right="57"/>
                  </w:pPr>
                  <w:r>
                    <w:t>&lt;0.1</w:t>
                  </w:r>
                </w:p>
              </w:tc>
              <w:tc>
                <w:tcPr>
                  <w:tcW w:w="516" w:type="pct"/>
                  <w:vAlign w:val="bottom"/>
                </w:tcPr>
                <w:p w:rsidR="00B5034D" w:rsidRDefault="00B5034D" w:rsidP="00B5034D">
                  <w:pPr>
                    <w:pStyle w:val="TableBodyText"/>
                    <w:spacing w:after="0"/>
                    <w:ind w:left="0" w:right="57"/>
                  </w:pPr>
                  <w:r>
                    <w:t>-0.2</w:t>
                  </w:r>
                </w:p>
              </w:tc>
              <w:tc>
                <w:tcPr>
                  <w:tcW w:w="516" w:type="pct"/>
                  <w:vAlign w:val="bottom"/>
                </w:tcPr>
                <w:p w:rsidR="00B5034D" w:rsidRDefault="00B5034D" w:rsidP="00B5034D">
                  <w:pPr>
                    <w:pStyle w:val="TableBodyText"/>
                    <w:spacing w:after="0"/>
                    <w:ind w:left="0" w:right="57"/>
                  </w:pPr>
                  <w:r>
                    <w:t>6.9</w:t>
                  </w:r>
                </w:p>
              </w:tc>
            </w:tr>
            <w:tr w:rsidR="00B5034D" w:rsidTr="00C058F9">
              <w:tc>
                <w:tcPr>
                  <w:tcW w:w="1903" w:type="pct"/>
                  <w:vAlign w:val="center"/>
                </w:tcPr>
                <w:p w:rsidR="00B5034D" w:rsidRDefault="00B5034D" w:rsidP="00B5034D">
                  <w:pPr>
                    <w:pStyle w:val="TableBodyText"/>
                    <w:spacing w:after="0"/>
                    <w:jc w:val="left"/>
                  </w:pPr>
                  <w:r>
                    <w:t>Primary production support services</w:t>
                  </w:r>
                </w:p>
              </w:tc>
              <w:tc>
                <w:tcPr>
                  <w:tcW w:w="516" w:type="pct"/>
                  <w:vAlign w:val="bottom"/>
                </w:tcPr>
                <w:p w:rsidR="00B5034D" w:rsidRDefault="00B5034D" w:rsidP="00B5034D">
                  <w:pPr>
                    <w:pStyle w:val="TableBodyText"/>
                    <w:spacing w:after="0"/>
                    <w:ind w:left="0" w:right="57"/>
                  </w:pPr>
                  <w:r>
                    <w:t>0.4</w:t>
                  </w:r>
                </w:p>
              </w:tc>
              <w:tc>
                <w:tcPr>
                  <w:tcW w:w="516" w:type="pct"/>
                  <w:vAlign w:val="bottom"/>
                </w:tcPr>
                <w:p w:rsidR="00B5034D" w:rsidRDefault="00B5034D" w:rsidP="00B5034D">
                  <w:pPr>
                    <w:pStyle w:val="TableBodyText"/>
                    <w:spacing w:after="0"/>
                    <w:ind w:left="0" w:right="57"/>
                  </w:pPr>
                  <w:r>
                    <w:t>0.5</w:t>
                  </w:r>
                </w:p>
              </w:tc>
              <w:tc>
                <w:tcPr>
                  <w:tcW w:w="516" w:type="pct"/>
                  <w:vAlign w:val="bottom"/>
                </w:tcPr>
                <w:p w:rsidR="00B5034D" w:rsidRDefault="00B5034D" w:rsidP="00B5034D">
                  <w:pPr>
                    <w:pStyle w:val="TableBodyText"/>
                    <w:spacing w:after="0"/>
                    <w:ind w:left="0" w:right="57"/>
                  </w:pPr>
                  <w:r>
                    <w:t>0.8</w:t>
                  </w:r>
                </w:p>
              </w:tc>
              <w:tc>
                <w:tcPr>
                  <w:tcW w:w="516" w:type="pct"/>
                  <w:vAlign w:val="bottom"/>
                </w:tcPr>
                <w:p w:rsidR="00B5034D" w:rsidRDefault="00B5034D" w:rsidP="00B5034D">
                  <w:pPr>
                    <w:pStyle w:val="TableBodyText"/>
                    <w:spacing w:after="0"/>
                    <w:ind w:left="0" w:right="57"/>
                  </w:pPr>
                  <w:r>
                    <w:t>0.1</w:t>
                  </w:r>
                </w:p>
              </w:tc>
              <w:tc>
                <w:tcPr>
                  <w:tcW w:w="516" w:type="pct"/>
                  <w:vAlign w:val="bottom"/>
                </w:tcPr>
                <w:p w:rsidR="00B5034D" w:rsidRDefault="00B5034D" w:rsidP="00B5034D">
                  <w:pPr>
                    <w:pStyle w:val="TableBodyText"/>
                    <w:spacing w:after="0"/>
                    <w:ind w:left="0" w:right="57"/>
                  </w:pPr>
                  <w:r>
                    <w:t>-0.3</w:t>
                  </w:r>
                </w:p>
              </w:tc>
              <w:tc>
                <w:tcPr>
                  <w:tcW w:w="516" w:type="pct"/>
                  <w:vAlign w:val="bottom"/>
                </w:tcPr>
                <w:p w:rsidR="00B5034D" w:rsidRDefault="00B5034D" w:rsidP="00B5034D">
                  <w:pPr>
                    <w:pStyle w:val="TableBodyText"/>
                    <w:spacing w:after="0"/>
                    <w:ind w:left="0" w:right="57"/>
                  </w:pPr>
                  <w:r>
                    <w:t>9.0</w:t>
                  </w:r>
                </w:p>
              </w:tc>
            </w:tr>
            <w:tr w:rsidR="00B5034D" w:rsidRPr="00BF7BF0" w:rsidTr="00C058F9">
              <w:tc>
                <w:tcPr>
                  <w:tcW w:w="1903" w:type="pct"/>
                  <w:vAlign w:val="center"/>
                </w:tcPr>
                <w:p w:rsidR="00B5034D" w:rsidRPr="00BF7BF0" w:rsidRDefault="00B5034D" w:rsidP="00BF7BF0">
                  <w:pPr>
                    <w:pStyle w:val="TableBodyText"/>
                    <w:spacing w:before="40"/>
                    <w:jc w:val="left"/>
                    <w:rPr>
                      <w:b/>
                    </w:rPr>
                  </w:pPr>
                  <w:r w:rsidRPr="00BF7BF0">
                    <w:rPr>
                      <w:b/>
                    </w:rPr>
                    <w:t>Mining</w:t>
                  </w:r>
                </w:p>
              </w:tc>
              <w:tc>
                <w:tcPr>
                  <w:tcW w:w="516" w:type="pct"/>
                  <w:vAlign w:val="bottom"/>
                </w:tcPr>
                <w:p w:rsidR="00B5034D" w:rsidRPr="00BF7BF0" w:rsidRDefault="00B5034D" w:rsidP="00BF7BF0">
                  <w:pPr>
                    <w:pStyle w:val="TableBodyText"/>
                    <w:spacing w:before="40"/>
                    <w:ind w:left="0" w:right="57"/>
                    <w:rPr>
                      <w:b/>
                    </w:rPr>
                  </w:pPr>
                  <w:r w:rsidRPr="00BF7BF0">
                    <w:rPr>
                      <w:b/>
                    </w:rPr>
                    <w:t>0.2</w:t>
                  </w:r>
                </w:p>
              </w:tc>
              <w:tc>
                <w:tcPr>
                  <w:tcW w:w="516" w:type="pct"/>
                  <w:vAlign w:val="bottom"/>
                </w:tcPr>
                <w:p w:rsidR="00B5034D" w:rsidRPr="00BF7BF0" w:rsidRDefault="00B5034D" w:rsidP="00BF7BF0">
                  <w:pPr>
                    <w:pStyle w:val="TableBodyText"/>
                    <w:spacing w:before="40"/>
                    <w:ind w:left="0" w:right="57"/>
                    <w:rPr>
                      <w:b/>
                    </w:rPr>
                  </w:pPr>
                  <w:r w:rsidRPr="00BF7BF0">
                    <w:rPr>
                      <w:b/>
                    </w:rPr>
                    <w:t>0.3</w:t>
                  </w:r>
                </w:p>
              </w:tc>
              <w:tc>
                <w:tcPr>
                  <w:tcW w:w="516" w:type="pct"/>
                  <w:vAlign w:val="bottom"/>
                </w:tcPr>
                <w:p w:rsidR="00B5034D" w:rsidRPr="00BF7BF0" w:rsidRDefault="00B5034D" w:rsidP="00BF7BF0">
                  <w:pPr>
                    <w:pStyle w:val="TableBodyText"/>
                    <w:spacing w:before="40"/>
                    <w:ind w:left="0" w:right="57"/>
                    <w:rPr>
                      <w:b/>
                    </w:rPr>
                  </w:pPr>
                  <w:r w:rsidRPr="00BF7BF0">
                    <w:rPr>
                      <w:b/>
                    </w:rPr>
                    <w:t>0.5</w:t>
                  </w:r>
                </w:p>
              </w:tc>
              <w:tc>
                <w:tcPr>
                  <w:tcW w:w="516" w:type="pct"/>
                  <w:vAlign w:val="bottom"/>
                </w:tcPr>
                <w:p w:rsidR="00B5034D" w:rsidRPr="00BF7BF0" w:rsidRDefault="00B5034D" w:rsidP="00BF7BF0">
                  <w:pPr>
                    <w:pStyle w:val="TableBodyText"/>
                    <w:spacing w:before="40"/>
                    <w:ind w:left="0" w:right="57"/>
                    <w:rPr>
                      <w:b/>
                    </w:rPr>
                  </w:pPr>
                  <w:r w:rsidRPr="00BF7BF0">
                    <w:rPr>
                      <w:b/>
                    </w:rPr>
                    <w:t>&lt;0.1</w:t>
                  </w:r>
                </w:p>
              </w:tc>
              <w:tc>
                <w:tcPr>
                  <w:tcW w:w="516" w:type="pct"/>
                  <w:vAlign w:val="bottom"/>
                </w:tcPr>
                <w:p w:rsidR="00B5034D" w:rsidRPr="00BF7BF0" w:rsidRDefault="00B5034D" w:rsidP="00BF7BF0">
                  <w:pPr>
                    <w:pStyle w:val="TableBodyText"/>
                    <w:spacing w:before="40"/>
                    <w:ind w:left="0" w:right="57"/>
                    <w:rPr>
                      <w:b/>
                    </w:rPr>
                  </w:pPr>
                  <w:r w:rsidRPr="00BF7BF0">
                    <w:rPr>
                      <w:b/>
                    </w:rPr>
                    <w:t>-0.1</w:t>
                  </w:r>
                </w:p>
              </w:tc>
              <w:tc>
                <w:tcPr>
                  <w:tcW w:w="516" w:type="pct"/>
                  <w:vAlign w:val="bottom"/>
                </w:tcPr>
                <w:p w:rsidR="00B5034D" w:rsidRPr="00BF7BF0" w:rsidRDefault="00B5034D" w:rsidP="00BF7BF0">
                  <w:pPr>
                    <w:pStyle w:val="TableBodyText"/>
                    <w:spacing w:before="40"/>
                    <w:ind w:left="0" w:right="57"/>
                    <w:rPr>
                      <w:b/>
                    </w:rPr>
                  </w:pPr>
                  <w:r w:rsidRPr="00BF7BF0">
                    <w:rPr>
                      <w:b/>
                    </w:rPr>
                    <w:t>5.0</w:t>
                  </w:r>
                </w:p>
              </w:tc>
            </w:tr>
            <w:tr w:rsidR="00B5034D" w:rsidRPr="00BF7BF0" w:rsidTr="00C058F9">
              <w:tc>
                <w:tcPr>
                  <w:tcW w:w="1903" w:type="pct"/>
                  <w:vAlign w:val="center"/>
                </w:tcPr>
                <w:p w:rsidR="00B5034D" w:rsidRPr="00BF7BF0" w:rsidRDefault="00B5034D" w:rsidP="00BF7BF0">
                  <w:pPr>
                    <w:pStyle w:val="TableBodyText"/>
                    <w:spacing w:before="40"/>
                    <w:jc w:val="left"/>
                    <w:rPr>
                      <w:b/>
                    </w:rPr>
                  </w:pPr>
                  <w:r w:rsidRPr="00BF7BF0">
                    <w:rPr>
                      <w:b/>
                    </w:rPr>
                    <w:t>Manufacturing</w:t>
                  </w:r>
                </w:p>
              </w:tc>
              <w:tc>
                <w:tcPr>
                  <w:tcW w:w="516" w:type="pct"/>
                  <w:vAlign w:val="bottom"/>
                </w:tcPr>
                <w:p w:rsidR="00B5034D" w:rsidRPr="00BF7BF0" w:rsidRDefault="00B5034D" w:rsidP="00BF7BF0">
                  <w:pPr>
                    <w:pStyle w:val="TableBodyText"/>
                    <w:spacing w:before="40"/>
                    <w:ind w:left="0" w:right="57"/>
                    <w:rPr>
                      <w:b/>
                    </w:rPr>
                  </w:pPr>
                  <w:r w:rsidRPr="00BF7BF0">
                    <w:rPr>
                      <w:b/>
                    </w:rPr>
                    <w:t>2.3</w:t>
                  </w:r>
                </w:p>
              </w:tc>
              <w:tc>
                <w:tcPr>
                  <w:tcW w:w="516" w:type="pct"/>
                  <w:vAlign w:val="bottom"/>
                </w:tcPr>
                <w:p w:rsidR="00B5034D" w:rsidRPr="00BF7BF0" w:rsidRDefault="00B5034D" w:rsidP="00BF7BF0">
                  <w:pPr>
                    <w:pStyle w:val="TableBodyText"/>
                    <w:spacing w:before="40"/>
                    <w:ind w:left="0" w:right="57"/>
                    <w:rPr>
                      <w:b/>
                    </w:rPr>
                  </w:pPr>
                  <w:r w:rsidRPr="00BF7BF0">
                    <w:rPr>
                      <w:b/>
                    </w:rPr>
                    <w:t>3.1</w:t>
                  </w:r>
                </w:p>
              </w:tc>
              <w:tc>
                <w:tcPr>
                  <w:tcW w:w="516" w:type="pct"/>
                  <w:vAlign w:val="bottom"/>
                </w:tcPr>
                <w:p w:rsidR="00B5034D" w:rsidRPr="00BF7BF0" w:rsidRDefault="00B5034D" w:rsidP="00BF7BF0">
                  <w:pPr>
                    <w:pStyle w:val="TableBodyText"/>
                    <w:spacing w:before="40"/>
                    <w:ind w:left="0" w:right="57"/>
                    <w:rPr>
                      <w:b/>
                    </w:rPr>
                  </w:pPr>
                  <w:r w:rsidRPr="00BF7BF0">
                    <w:rPr>
                      <w:b/>
                    </w:rPr>
                    <w:t>5.0</w:t>
                  </w:r>
                </w:p>
              </w:tc>
              <w:tc>
                <w:tcPr>
                  <w:tcW w:w="516" w:type="pct"/>
                  <w:vAlign w:val="bottom"/>
                </w:tcPr>
                <w:p w:rsidR="00B5034D" w:rsidRPr="00BF7BF0" w:rsidRDefault="00B5034D" w:rsidP="00BF7BF0">
                  <w:pPr>
                    <w:pStyle w:val="TableBodyText"/>
                    <w:spacing w:before="40"/>
                    <w:ind w:left="0" w:right="57"/>
                    <w:rPr>
                      <w:b/>
                    </w:rPr>
                  </w:pPr>
                  <w:r w:rsidRPr="00BF7BF0">
                    <w:rPr>
                      <w:b/>
                    </w:rPr>
                    <w:t>0.4</w:t>
                  </w:r>
                </w:p>
              </w:tc>
              <w:tc>
                <w:tcPr>
                  <w:tcW w:w="516" w:type="pct"/>
                  <w:vAlign w:val="bottom"/>
                </w:tcPr>
                <w:p w:rsidR="00B5034D" w:rsidRPr="00BF7BF0" w:rsidRDefault="00B5034D" w:rsidP="00BF7BF0">
                  <w:pPr>
                    <w:pStyle w:val="TableBodyText"/>
                    <w:spacing w:before="40"/>
                    <w:ind w:left="0" w:right="57"/>
                    <w:rPr>
                      <w:b/>
                    </w:rPr>
                  </w:pPr>
                  <w:r w:rsidRPr="00BF7BF0">
                    <w:rPr>
                      <w:b/>
                    </w:rPr>
                    <w:t>-1.5</w:t>
                  </w:r>
                </w:p>
              </w:tc>
              <w:tc>
                <w:tcPr>
                  <w:tcW w:w="516" w:type="pct"/>
                  <w:vAlign w:val="bottom"/>
                </w:tcPr>
                <w:p w:rsidR="00B5034D" w:rsidRPr="00BF7BF0" w:rsidRDefault="00B5034D" w:rsidP="00BF7BF0">
                  <w:pPr>
                    <w:pStyle w:val="TableBodyText"/>
                    <w:spacing w:before="40"/>
                    <w:ind w:left="0" w:right="57"/>
                    <w:rPr>
                      <w:b/>
                    </w:rPr>
                  </w:pPr>
                  <w:r w:rsidRPr="00BF7BF0">
                    <w:rPr>
                      <w:b/>
                    </w:rPr>
                    <w:t>54.2</w:t>
                  </w:r>
                </w:p>
              </w:tc>
            </w:tr>
            <w:tr w:rsidR="00B5034D" w:rsidTr="00C058F9">
              <w:tc>
                <w:tcPr>
                  <w:tcW w:w="1903" w:type="pct"/>
                  <w:vAlign w:val="center"/>
                </w:tcPr>
                <w:p w:rsidR="00B5034D" w:rsidRDefault="00B5034D" w:rsidP="00B5034D">
                  <w:pPr>
                    <w:pStyle w:val="TableBodyText"/>
                    <w:spacing w:after="0"/>
                    <w:jc w:val="left"/>
                  </w:pPr>
                  <w:r>
                    <w:t>Food, beverages and tobacco</w:t>
                  </w:r>
                </w:p>
              </w:tc>
              <w:tc>
                <w:tcPr>
                  <w:tcW w:w="516" w:type="pct"/>
                  <w:vAlign w:val="bottom"/>
                </w:tcPr>
                <w:p w:rsidR="00B5034D" w:rsidRDefault="00B5034D" w:rsidP="00B5034D">
                  <w:pPr>
                    <w:pStyle w:val="TableBodyText"/>
                    <w:spacing w:after="0"/>
                    <w:ind w:left="0" w:right="57"/>
                  </w:pPr>
                  <w:r>
                    <w:t>0.3</w:t>
                  </w:r>
                </w:p>
              </w:tc>
              <w:tc>
                <w:tcPr>
                  <w:tcW w:w="516" w:type="pct"/>
                  <w:vAlign w:val="bottom"/>
                </w:tcPr>
                <w:p w:rsidR="00B5034D" w:rsidRDefault="00B5034D" w:rsidP="00B5034D">
                  <w:pPr>
                    <w:pStyle w:val="TableBodyText"/>
                    <w:spacing w:after="0"/>
                    <w:ind w:left="0" w:right="57"/>
                  </w:pPr>
                  <w:r>
                    <w:t>0.4</w:t>
                  </w:r>
                </w:p>
              </w:tc>
              <w:tc>
                <w:tcPr>
                  <w:tcW w:w="516" w:type="pct"/>
                  <w:vAlign w:val="bottom"/>
                </w:tcPr>
                <w:p w:rsidR="00B5034D" w:rsidRDefault="00B5034D" w:rsidP="00B5034D">
                  <w:pPr>
                    <w:pStyle w:val="TableBodyText"/>
                    <w:spacing w:after="0"/>
                    <w:ind w:left="0" w:right="57"/>
                  </w:pPr>
                  <w:r>
                    <w:t>0.7</w:t>
                  </w:r>
                </w:p>
              </w:tc>
              <w:tc>
                <w:tcPr>
                  <w:tcW w:w="516" w:type="pct"/>
                  <w:vAlign w:val="bottom"/>
                </w:tcPr>
                <w:p w:rsidR="00B5034D" w:rsidRDefault="00B5034D" w:rsidP="00B5034D">
                  <w:pPr>
                    <w:pStyle w:val="TableBodyText"/>
                    <w:spacing w:after="0"/>
                    <w:ind w:left="0" w:right="57"/>
                  </w:pPr>
                  <w:r>
                    <w:t>0.1</w:t>
                  </w:r>
                </w:p>
              </w:tc>
              <w:tc>
                <w:tcPr>
                  <w:tcW w:w="516" w:type="pct"/>
                  <w:vAlign w:val="bottom"/>
                </w:tcPr>
                <w:p w:rsidR="00B5034D" w:rsidRDefault="00B5034D" w:rsidP="00B5034D">
                  <w:pPr>
                    <w:pStyle w:val="TableBodyText"/>
                    <w:spacing w:after="0"/>
                    <w:ind w:left="0" w:right="57"/>
                  </w:pPr>
                  <w:r>
                    <w:t>-0.2</w:t>
                  </w:r>
                </w:p>
              </w:tc>
              <w:tc>
                <w:tcPr>
                  <w:tcW w:w="516" w:type="pct"/>
                  <w:vAlign w:val="bottom"/>
                </w:tcPr>
                <w:p w:rsidR="00B5034D" w:rsidRDefault="00B5034D" w:rsidP="00B5034D">
                  <w:pPr>
                    <w:pStyle w:val="TableBodyText"/>
                    <w:spacing w:after="0"/>
                    <w:ind w:left="0" w:right="57"/>
                  </w:pPr>
                  <w:r>
                    <w:t>8.0</w:t>
                  </w:r>
                </w:p>
              </w:tc>
            </w:tr>
            <w:tr w:rsidR="00B5034D" w:rsidTr="00C058F9">
              <w:tc>
                <w:tcPr>
                  <w:tcW w:w="1903" w:type="pct"/>
                  <w:vAlign w:val="center"/>
                </w:tcPr>
                <w:p w:rsidR="00B5034D" w:rsidRDefault="00B5034D" w:rsidP="00B5034D">
                  <w:pPr>
                    <w:pStyle w:val="TableBodyText"/>
                    <w:spacing w:after="0"/>
                    <w:jc w:val="left"/>
                  </w:pPr>
                  <w:r>
                    <w:t>Textiles, leather, clothing and footwear</w:t>
                  </w:r>
                </w:p>
              </w:tc>
              <w:tc>
                <w:tcPr>
                  <w:tcW w:w="516" w:type="pct"/>
                  <w:vAlign w:val="bottom"/>
                </w:tcPr>
                <w:p w:rsidR="00B5034D" w:rsidRDefault="00B5034D" w:rsidP="00B5034D">
                  <w:pPr>
                    <w:pStyle w:val="TableBodyText"/>
                    <w:spacing w:after="0"/>
                    <w:ind w:left="0" w:right="57"/>
                  </w:pPr>
                  <w:r>
                    <w:t>0.2</w:t>
                  </w:r>
                </w:p>
              </w:tc>
              <w:tc>
                <w:tcPr>
                  <w:tcW w:w="516" w:type="pct"/>
                  <w:vAlign w:val="bottom"/>
                </w:tcPr>
                <w:p w:rsidR="00B5034D" w:rsidRDefault="00B5034D" w:rsidP="00B5034D">
                  <w:pPr>
                    <w:pStyle w:val="TableBodyText"/>
                    <w:spacing w:after="0"/>
                    <w:ind w:left="0" w:right="57"/>
                  </w:pPr>
                  <w:r>
                    <w:t>0.3</w:t>
                  </w:r>
                </w:p>
              </w:tc>
              <w:tc>
                <w:tcPr>
                  <w:tcW w:w="516" w:type="pct"/>
                  <w:vAlign w:val="bottom"/>
                </w:tcPr>
                <w:p w:rsidR="00B5034D" w:rsidRDefault="00B5034D" w:rsidP="00B5034D">
                  <w:pPr>
                    <w:pStyle w:val="TableBodyText"/>
                    <w:spacing w:after="0"/>
                    <w:ind w:left="0" w:right="57"/>
                  </w:pPr>
                  <w:r>
                    <w:t>0.5</w:t>
                  </w:r>
                </w:p>
              </w:tc>
              <w:tc>
                <w:tcPr>
                  <w:tcW w:w="516" w:type="pct"/>
                  <w:vAlign w:val="bottom"/>
                </w:tcPr>
                <w:p w:rsidR="00B5034D" w:rsidRDefault="00B5034D" w:rsidP="00B5034D">
                  <w:pPr>
                    <w:pStyle w:val="TableBodyText"/>
                    <w:spacing w:after="0"/>
                    <w:ind w:left="0" w:right="57"/>
                  </w:pPr>
                  <w:r>
                    <w:t>&lt;0.1</w:t>
                  </w:r>
                </w:p>
              </w:tc>
              <w:tc>
                <w:tcPr>
                  <w:tcW w:w="516" w:type="pct"/>
                  <w:vAlign w:val="bottom"/>
                </w:tcPr>
                <w:p w:rsidR="00B5034D" w:rsidRDefault="00B5034D" w:rsidP="00B5034D">
                  <w:pPr>
                    <w:pStyle w:val="TableBodyText"/>
                    <w:spacing w:after="0"/>
                    <w:ind w:left="0" w:right="57"/>
                  </w:pPr>
                  <w:r>
                    <w:t>-0.1</w:t>
                  </w:r>
                </w:p>
              </w:tc>
              <w:tc>
                <w:tcPr>
                  <w:tcW w:w="516" w:type="pct"/>
                  <w:vAlign w:val="bottom"/>
                </w:tcPr>
                <w:p w:rsidR="00B5034D" w:rsidRDefault="00B5034D" w:rsidP="00B5034D">
                  <w:pPr>
                    <w:pStyle w:val="TableBodyText"/>
                    <w:spacing w:after="0"/>
                    <w:ind w:left="0" w:right="57"/>
                  </w:pPr>
                  <w:r>
                    <w:t>5.3</w:t>
                  </w:r>
                </w:p>
              </w:tc>
            </w:tr>
            <w:tr w:rsidR="00B5034D" w:rsidTr="00C058F9">
              <w:tc>
                <w:tcPr>
                  <w:tcW w:w="1903" w:type="pct"/>
                  <w:vAlign w:val="center"/>
                </w:tcPr>
                <w:p w:rsidR="00B5034D" w:rsidRDefault="00B5034D" w:rsidP="00B5034D">
                  <w:pPr>
                    <w:pStyle w:val="TableBodyText"/>
                    <w:spacing w:after="0"/>
                    <w:jc w:val="left"/>
                  </w:pPr>
                  <w:r>
                    <w:t>Wood and paper products</w:t>
                  </w:r>
                </w:p>
              </w:tc>
              <w:tc>
                <w:tcPr>
                  <w:tcW w:w="516" w:type="pct"/>
                  <w:vAlign w:val="bottom"/>
                </w:tcPr>
                <w:p w:rsidR="00B5034D" w:rsidRDefault="00B5034D" w:rsidP="00B5034D">
                  <w:pPr>
                    <w:pStyle w:val="TableBodyText"/>
                    <w:spacing w:after="0"/>
                    <w:ind w:left="0" w:right="57"/>
                  </w:pPr>
                  <w:r>
                    <w:t>0.2</w:t>
                  </w:r>
                </w:p>
              </w:tc>
              <w:tc>
                <w:tcPr>
                  <w:tcW w:w="516" w:type="pct"/>
                  <w:vAlign w:val="bottom"/>
                </w:tcPr>
                <w:p w:rsidR="00B5034D" w:rsidRDefault="00B5034D" w:rsidP="00B5034D">
                  <w:pPr>
                    <w:pStyle w:val="TableBodyText"/>
                    <w:spacing w:after="0"/>
                    <w:ind w:left="0" w:right="57"/>
                  </w:pPr>
                  <w:r>
                    <w:t>0.2</w:t>
                  </w:r>
                </w:p>
              </w:tc>
              <w:tc>
                <w:tcPr>
                  <w:tcW w:w="516" w:type="pct"/>
                  <w:vAlign w:val="bottom"/>
                </w:tcPr>
                <w:p w:rsidR="00B5034D" w:rsidRDefault="00B5034D" w:rsidP="00B5034D">
                  <w:pPr>
                    <w:pStyle w:val="TableBodyText"/>
                    <w:spacing w:after="0"/>
                    <w:ind w:left="0" w:right="57"/>
                  </w:pPr>
                  <w:r>
                    <w:t>0.4</w:t>
                  </w:r>
                </w:p>
              </w:tc>
              <w:tc>
                <w:tcPr>
                  <w:tcW w:w="516" w:type="pct"/>
                  <w:vAlign w:val="bottom"/>
                </w:tcPr>
                <w:p w:rsidR="00B5034D" w:rsidRDefault="00B5034D" w:rsidP="00B5034D">
                  <w:pPr>
                    <w:pStyle w:val="TableBodyText"/>
                    <w:spacing w:after="0"/>
                    <w:ind w:left="0" w:right="57"/>
                  </w:pPr>
                  <w:r>
                    <w:t>&lt;0.1</w:t>
                  </w:r>
                </w:p>
              </w:tc>
              <w:tc>
                <w:tcPr>
                  <w:tcW w:w="516" w:type="pct"/>
                  <w:vAlign w:val="bottom"/>
                </w:tcPr>
                <w:p w:rsidR="00B5034D" w:rsidRDefault="00B5034D" w:rsidP="00B5034D">
                  <w:pPr>
                    <w:pStyle w:val="TableBodyText"/>
                    <w:spacing w:after="0"/>
                    <w:ind w:left="0" w:right="57"/>
                  </w:pPr>
                  <w:r>
                    <w:t>-0.1</w:t>
                  </w:r>
                </w:p>
              </w:tc>
              <w:tc>
                <w:tcPr>
                  <w:tcW w:w="516" w:type="pct"/>
                  <w:vAlign w:val="bottom"/>
                </w:tcPr>
                <w:p w:rsidR="00B5034D" w:rsidRDefault="00B5034D" w:rsidP="00B5034D">
                  <w:pPr>
                    <w:pStyle w:val="TableBodyText"/>
                    <w:spacing w:after="0"/>
                    <w:ind w:left="0" w:right="57"/>
                  </w:pPr>
                  <w:r>
                    <w:t>4.1</w:t>
                  </w:r>
                </w:p>
              </w:tc>
            </w:tr>
            <w:tr w:rsidR="00B5034D" w:rsidTr="00C058F9">
              <w:tc>
                <w:tcPr>
                  <w:tcW w:w="1903" w:type="pct"/>
                  <w:vAlign w:val="center"/>
                </w:tcPr>
                <w:p w:rsidR="00B5034D" w:rsidRDefault="00B5034D" w:rsidP="00B5034D">
                  <w:pPr>
                    <w:pStyle w:val="TableBodyText"/>
                    <w:spacing w:after="0"/>
                    <w:jc w:val="left"/>
                  </w:pPr>
                  <w:r>
                    <w:t>Printing and recorded media</w:t>
                  </w:r>
                </w:p>
              </w:tc>
              <w:tc>
                <w:tcPr>
                  <w:tcW w:w="516" w:type="pct"/>
                  <w:vAlign w:val="bottom"/>
                </w:tcPr>
                <w:p w:rsidR="00B5034D" w:rsidRDefault="00B5034D" w:rsidP="00B5034D">
                  <w:pPr>
                    <w:pStyle w:val="TableBodyText"/>
                    <w:spacing w:after="0"/>
                    <w:ind w:left="0" w:right="57"/>
                  </w:pPr>
                  <w:r>
                    <w:t>0.2</w:t>
                  </w:r>
                </w:p>
              </w:tc>
              <w:tc>
                <w:tcPr>
                  <w:tcW w:w="516" w:type="pct"/>
                  <w:vAlign w:val="bottom"/>
                </w:tcPr>
                <w:p w:rsidR="00B5034D" w:rsidRDefault="00B5034D" w:rsidP="00B5034D">
                  <w:pPr>
                    <w:pStyle w:val="TableBodyText"/>
                    <w:spacing w:after="0"/>
                    <w:ind w:left="0" w:right="57"/>
                  </w:pPr>
                  <w:r>
                    <w:t>0.3</w:t>
                  </w:r>
                </w:p>
              </w:tc>
              <w:tc>
                <w:tcPr>
                  <w:tcW w:w="516" w:type="pct"/>
                  <w:vAlign w:val="bottom"/>
                </w:tcPr>
                <w:p w:rsidR="00B5034D" w:rsidRDefault="00B5034D" w:rsidP="00B5034D">
                  <w:pPr>
                    <w:pStyle w:val="TableBodyText"/>
                    <w:spacing w:after="0"/>
                    <w:ind w:left="0" w:right="57"/>
                  </w:pPr>
                  <w:r>
                    <w:t>0.4</w:t>
                  </w:r>
                </w:p>
              </w:tc>
              <w:tc>
                <w:tcPr>
                  <w:tcW w:w="516" w:type="pct"/>
                  <w:vAlign w:val="bottom"/>
                </w:tcPr>
                <w:p w:rsidR="00B5034D" w:rsidRDefault="00B5034D" w:rsidP="00B5034D">
                  <w:pPr>
                    <w:pStyle w:val="TableBodyText"/>
                    <w:spacing w:after="0"/>
                    <w:ind w:left="0" w:right="57"/>
                  </w:pPr>
                  <w:r>
                    <w:t>&lt;0.1</w:t>
                  </w:r>
                </w:p>
              </w:tc>
              <w:tc>
                <w:tcPr>
                  <w:tcW w:w="516" w:type="pct"/>
                  <w:vAlign w:val="bottom"/>
                </w:tcPr>
                <w:p w:rsidR="00B5034D" w:rsidRDefault="00B5034D" w:rsidP="00B5034D">
                  <w:pPr>
                    <w:pStyle w:val="TableBodyText"/>
                    <w:spacing w:after="0"/>
                    <w:ind w:left="0" w:right="57"/>
                  </w:pPr>
                  <w:r>
                    <w:t>-0.1</w:t>
                  </w:r>
                </w:p>
              </w:tc>
              <w:tc>
                <w:tcPr>
                  <w:tcW w:w="516" w:type="pct"/>
                  <w:vAlign w:val="bottom"/>
                </w:tcPr>
                <w:p w:rsidR="00B5034D" w:rsidRDefault="00B5034D" w:rsidP="00B5034D">
                  <w:pPr>
                    <w:pStyle w:val="TableBodyText"/>
                    <w:spacing w:after="0"/>
                    <w:ind w:left="0" w:right="57"/>
                  </w:pPr>
                  <w:r>
                    <w:t>4.5</w:t>
                  </w:r>
                </w:p>
              </w:tc>
            </w:tr>
            <w:tr w:rsidR="00B5034D" w:rsidTr="00C058F9">
              <w:tc>
                <w:tcPr>
                  <w:tcW w:w="1903" w:type="pct"/>
                  <w:vAlign w:val="center"/>
                </w:tcPr>
                <w:p w:rsidR="00B5034D" w:rsidRDefault="00B5034D" w:rsidP="00B5034D">
                  <w:pPr>
                    <w:pStyle w:val="TableBodyText"/>
                    <w:spacing w:after="0"/>
                    <w:jc w:val="left"/>
                  </w:pPr>
                  <w:r>
                    <w:t>Petroleum, coal, chemical and rubber</w:t>
                  </w:r>
                </w:p>
              </w:tc>
              <w:tc>
                <w:tcPr>
                  <w:tcW w:w="516" w:type="pct"/>
                  <w:vAlign w:val="bottom"/>
                </w:tcPr>
                <w:p w:rsidR="00B5034D" w:rsidRDefault="00B5034D" w:rsidP="00B5034D">
                  <w:pPr>
                    <w:pStyle w:val="TableBodyText"/>
                    <w:spacing w:after="0"/>
                    <w:ind w:left="0" w:right="57"/>
                  </w:pPr>
                  <w:r>
                    <w:t>0.1</w:t>
                  </w:r>
                </w:p>
              </w:tc>
              <w:tc>
                <w:tcPr>
                  <w:tcW w:w="516" w:type="pct"/>
                  <w:vAlign w:val="bottom"/>
                </w:tcPr>
                <w:p w:rsidR="00B5034D" w:rsidRDefault="00B5034D" w:rsidP="00B5034D">
                  <w:pPr>
                    <w:pStyle w:val="TableBodyText"/>
                    <w:spacing w:after="0"/>
                    <w:ind w:left="0" w:right="57"/>
                  </w:pPr>
                  <w:r>
                    <w:t>0.2</w:t>
                  </w:r>
                </w:p>
              </w:tc>
              <w:tc>
                <w:tcPr>
                  <w:tcW w:w="516" w:type="pct"/>
                  <w:vAlign w:val="bottom"/>
                </w:tcPr>
                <w:p w:rsidR="00B5034D" w:rsidRDefault="00B5034D" w:rsidP="00B5034D">
                  <w:pPr>
                    <w:pStyle w:val="TableBodyText"/>
                    <w:spacing w:after="0"/>
                    <w:ind w:left="0" w:right="57"/>
                  </w:pPr>
                  <w:r>
                    <w:t>0.3</w:t>
                  </w:r>
                </w:p>
              </w:tc>
              <w:tc>
                <w:tcPr>
                  <w:tcW w:w="516" w:type="pct"/>
                  <w:vAlign w:val="bottom"/>
                </w:tcPr>
                <w:p w:rsidR="00B5034D" w:rsidRDefault="00B5034D" w:rsidP="00B5034D">
                  <w:pPr>
                    <w:pStyle w:val="TableBodyText"/>
                    <w:spacing w:after="0"/>
                    <w:ind w:left="0" w:right="57"/>
                  </w:pPr>
                  <w:r>
                    <w:t>&lt;0.1</w:t>
                  </w:r>
                </w:p>
              </w:tc>
              <w:tc>
                <w:tcPr>
                  <w:tcW w:w="516" w:type="pct"/>
                  <w:vAlign w:val="bottom"/>
                </w:tcPr>
                <w:p w:rsidR="00B5034D" w:rsidRDefault="00B5034D" w:rsidP="00B5034D">
                  <w:pPr>
                    <w:pStyle w:val="TableBodyText"/>
                    <w:spacing w:after="0"/>
                    <w:ind w:left="0" w:right="57"/>
                  </w:pPr>
                  <w:r>
                    <w:t>-0.1</w:t>
                  </w:r>
                </w:p>
              </w:tc>
              <w:tc>
                <w:tcPr>
                  <w:tcW w:w="516" w:type="pct"/>
                  <w:vAlign w:val="bottom"/>
                </w:tcPr>
                <w:p w:rsidR="00B5034D" w:rsidRDefault="00B5034D" w:rsidP="00B5034D">
                  <w:pPr>
                    <w:pStyle w:val="TableBodyText"/>
                    <w:spacing w:after="0"/>
                    <w:ind w:left="0" w:right="57"/>
                  </w:pPr>
                  <w:r>
                    <w:t>3.3</w:t>
                  </w:r>
                </w:p>
              </w:tc>
            </w:tr>
            <w:tr w:rsidR="00B5034D" w:rsidTr="00C058F9">
              <w:tc>
                <w:tcPr>
                  <w:tcW w:w="1903" w:type="pct"/>
                  <w:vAlign w:val="center"/>
                </w:tcPr>
                <w:p w:rsidR="00B5034D" w:rsidRDefault="00B5034D" w:rsidP="00B5034D">
                  <w:pPr>
                    <w:pStyle w:val="TableBodyText"/>
                    <w:spacing w:after="0"/>
                    <w:jc w:val="left"/>
                  </w:pPr>
                  <w:r>
                    <w:t>Non-metallic mineral products</w:t>
                  </w:r>
                </w:p>
              </w:tc>
              <w:tc>
                <w:tcPr>
                  <w:tcW w:w="516" w:type="pct"/>
                  <w:vAlign w:val="bottom"/>
                </w:tcPr>
                <w:p w:rsidR="00B5034D" w:rsidRDefault="00B5034D" w:rsidP="00B5034D">
                  <w:pPr>
                    <w:pStyle w:val="TableBodyText"/>
                    <w:spacing w:after="0"/>
                    <w:ind w:left="0" w:right="57"/>
                  </w:pPr>
                  <w:r>
                    <w:t>0.1</w:t>
                  </w:r>
                </w:p>
              </w:tc>
              <w:tc>
                <w:tcPr>
                  <w:tcW w:w="516" w:type="pct"/>
                  <w:vAlign w:val="bottom"/>
                </w:tcPr>
                <w:p w:rsidR="00B5034D" w:rsidRDefault="00B5034D" w:rsidP="00B5034D">
                  <w:pPr>
                    <w:pStyle w:val="TableBodyText"/>
                    <w:spacing w:after="0"/>
                    <w:ind w:left="0" w:right="57"/>
                  </w:pPr>
                  <w:r>
                    <w:t>0.1</w:t>
                  </w:r>
                </w:p>
              </w:tc>
              <w:tc>
                <w:tcPr>
                  <w:tcW w:w="516" w:type="pct"/>
                  <w:vAlign w:val="bottom"/>
                </w:tcPr>
                <w:p w:rsidR="00B5034D" w:rsidRDefault="00B5034D" w:rsidP="00B5034D">
                  <w:pPr>
                    <w:pStyle w:val="TableBodyText"/>
                    <w:spacing w:after="0"/>
                    <w:ind w:left="0" w:right="57"/>
                  </w:pPr>
                  <w:r>
                    <w:t>0.2</w:t>
                  </w:r>
                </w:p>
              </w:tc>
              <w:tc>
                <w:tcPr>
                  <w:tcW w:w="516" w:type="pct"/>
                  <w:vAlign w:val="bottom"/>
                </w:tcPr>
                <w:p w:rsidR="00B5034D" w:rsidRDefault="00B5034D" w:rsidP="00B5034D">
                  <w:pPr>
                    <w:pStyle w:val="TableBodyText"/>
                    <w:spacing w:after="0"/>
                    <w:ind w:left="0" w:right="57"/>
                  </w:pPr>
                  <w:r>
                    <w:t>&lt;0.1</w:t>
                  </w:r>
                </w:p>
              </w:tc>
              <w:tc>
                <w:tcPr>
                  <w:tcW w:w="516" w:type="pct"/>
                  <w:vAlign w:val="bottom"/>
                </w:tcPr>
                <w:p w:rsidR="00B5034D" w:rsidRDefault="00B5034D" w:rsidP="00B5034D">
                  <w:pPr>
                    <w:pStyle w:val="TableBodyText"/>
                    <w:spacing w:after="0"/>
                    <w:ind w:left="0" w:right="57"/>
                  </w:pPr>
                  <w:r>
                    <w:t>-0.1</w:t>
                  </w:r>
                </w:p>
              </w:tc>
              <w:tc>
                <w:tcPr>
                  <w:tcW w:w="516" w:type="pct"/>
                  <w:vAlign w:val="bottom"/>
                </w:tcPr>
                <w:p w:rsidR="00B5034D" w:rsidRDefault="00B5034D" w:rsidP="00B5034D">
                  <w:pPr>
                    <w:pStyle w:val="TableBodyText"/>
                    <w:spacing w:after="0"/>
                    <w:ind w:left="0" w:right="57"/>
                  </w:pPr>
                  <w:r>
                    <w:t>2.2</w:t>
                  </w:r>
                </w:p>
              </w:tc>
            </w:tr>
            <w:tr w:rsidR="00B5034D" w:rsidTr="00C058F9">
              <w:tc>
                <w:tcPr>
                  <w:tcW w:w="1903" w:type="pct"/>
                  <w:vAlign w:val="center"/>
                </w:tcPr>
                <w:p w:rsidR="00B5034D" w:rsidRDefault="00B5034D" w:rsidP="00B5034D">
                  <w:pPr>
                    <w:pStyle w:val="TableBodyText"/>
                    <w:spacing w:after="0"/>
                    <w:jc w:val="left"/>
                  </w:pPr>
                  <w:r>
                    <w:t>Metal and fabricated metal products</w:t>
                  </w:r>
                </w:p>
              </w:tc>
              <w:tc>
                <w:tcPr>
                  <w:tcW w:w="516" w:type="pct"/>
                  <w:vAlign w:val="bottom"/>
                </w:tcPr>
                <w:p w:rsidR="00B5034D" w:rsidRDefault="00B5034D" w:rsidP="00B5034D">
                  <w:pPr>
                    <w:pStyle w:val="TableBodyText"/>
                    <w:spacing w:after="0"/>
                    <w:ind w:left="0" w:right="57"/>
                  </w:pPr>
                  <w:r>
                    <w:t>0.4</w:t>
                  </w:r>
                </w:p>
              </w:tc>
              <w:tc>
                <w:tcPr>
                  <w:tcW w:w="516" w:type="pct"/>
                  <w:vAlign w:val="bottom"/>
                </w:tcPr>
                <w:p w:rsidR="00B5034D" w:rsidRDefault="00B5034D" w:rsidP="00B5034D">
                  <w:pPr>
                    <w:pStyle w:val="TableBodyText"/>
                    <w:spacing w:after="0"/>
                    <w:ind w:left="0" w:right="57"/>
                  </w:pPr>
                  <w:r>
                    <w:t>0.6</w:t>
                  </w:r>
                </w:p>
              </w:tc>
              <w:tc>
                <w:tcPr>
                  <w:tcW w:w="516" w:type="pct"/>
                  <w:vAlign w:val="bottom"/>
                </w:tcPr>
                <w:p w:rsidR="00B5034D" w:rsidRDefault="00B5034D" w:rsidP="00B5034D">
                  <w:pPr>
                    <w:pStyle w:val="TableBodyText"/>
                    <w:spacing w:after="0"/>
                    <w:ind w:left="0" w:right="57"/>
                  </w:pPr>
                  <w:r>
                    <w:t>1.0</w:t>
                  </w:r>
                </w:p>
              </w:tc>
              <w:tc>
                <w:tcPr>
                  <w:tcW w:w="516" w:type="pct"/>
                  <w:vAlign w:val="bottom"/>
                </w:tcPr>
                <w:p w:rsidR="00B5034D" w:rsidRDefault="00B5034D" w:rsidP="00B5034D">
                  <w:pPr>
                    <w:pStyle w:val="TableBodyText"/>
                    <w:spacing w:after="0"/>
                    <w:ind w:left="0" w:right="57"/>
                  </w:pPr>
                  <w:r>
                    <w:t>0.1</w:t>
                  </w:r>
                </w:p>
              </w:tc>
              <w:tc>
                <w:tcPr>
                  <w:tcW w:w="516" w:type="pct"/>
                  <w:vAlign w:val="bottom"/>
                </w:tcPr>
                <w:p w:rsidR="00B5034D" w:rsidRDefault="00B5034D" w:rsidP="00B5034D">
                  <w:pPr>
                    <w:pStyle w:val="TableBodyText"/>
                    <w:spacing w:after="0"/>
                    <w:ind w:left="0" w:right="57"/>
                  </w:pPr>
                  <w:r>
                    <w:t>-0.3</w:t>
                  </w:r>
                </w:p>
              </w:tc>
              <w:tc>
                <w:tcPr>
                  <w:tcW w:w="516" w:type="pct"/>
                  <w:vAlign w:val="bottom"/>
                </w:tcPr>
                <w:p w:rsidR="00B5034D" w:rsidRDefault="00B5034D" w:rsidP="00B5034D">
                  <w:pPr>
                    <w:pStyle w:val="TableBodyText"/>
                    <w:spacing w:after="0"/>
                    <w:ind w:left="0" w:right="57"/>
                  </w:pPr>
                  <w:r>
                    <w:t>10.6</w:t>
                  </w:r>
                </w:p>
              </w:tc>
            </w:tr>
            <w:tr w:rsidR="00B5034D" w:rsidTr="00C058F9">
              <w:tc>
                <w:tcPr>
                  <w:tcW w:w="1903" w:type="pct"/>
                  <w:vAlign w:val="center"/>
                </w:tcPr>
                <w:p w:rsidR="00B5034D" w:rsidRDefault="00B5034D" w:rsidP="00B5034D">
                  <w:pPr>
                    <w:pStyle w:val="TableBodyText"/>
                    <w:spacing w:after="0"/>
                    <w:jc w:val="left"/>
                  </w:pPr>
                  <w:r>
                    <w:t>Motor vehicles and parts</w:t>
                  </w:r>
                </w:p>
              </w:tc>
              <w:tc>
                <w:tcPr>
                  <w:tcW w:w="516" w:type="pct"/>
                  <w:vAlign w:val="bottom"/>
                </w:tcPr>
                <w:p w:rsidR="00B5034D" w:rsidRDefault="00B5034D" w:rsidP="00B5034D">
                  <w:pPr>
                    <w:pStyle w:val="TableBodyText"/>
                    <w:spacing w:after="0"/>
                    <w:ind w:left="0" w:right="57"/>
                  </w:pPr>
                  <w:r>
                    <w:t>0.1</w:t>
                  </w:r>
                </w:p>
              </w:tc>
              <w:tc>
                <w:tcPr>
                  <w:tcW w:w="516" w:type="pct"/>
                  <w:vAlign w:val="bottom"/>
                </w:tcPr>
                <w:p w:rsidR="00B5034D" w:rsidRDefault="00B5034D" w:rsidP="00B5034D">
                  <w:pPr>
                    <w:pStyle w:val="TableBodyText"/>
                    <w:spacing w:after="0"/>
                    <w:ind w:left="0" w:right="57"/>
                  </w:pPr>
                  <w:r>
                    <w:t>0.1</w:t>
                  </w:r>
                </w:p>
              </w:tc>
              <w:tc>
                <w:tcPr>
                  <w:tcW w:w="516" w:type="pct"/>
                  <w:vAlign w:val="bottom"/>
                </w:tcPr>
                <w:p w:rsidR="00B5034D" w:rsidRDefault="00B5034D" w:rsidP="00B5034D">
                  <w:pPr>
                    <w:pStyle w:val="TableBodyText"/>
                    <w:spacing w:after="0"/>
                    <w:ind w:left="0" w:right="57"/>
                  </w:pPr>
                  <w:r>
                    <w:t>0.2</w:t>
                  </w:r>
                </w:p>
              </w:tc>
              <w:tc>
                <w:tcPr>
                  <w:tcW w:w="516" w:type="pct"/>
                  <w:vAlign w:val="bottom"/>
                </w:tcPr>
                <w:p w:rsidR="00B5034D" w:rsidRDefault="00B5034D" w:rsidP="00B5034D">
                  <w:pPr>
                    <w:pStyle w:val="TableBodyText"/>
                    <w:spacing w:after="0"/>
                    <w:ind w:left="0" w:right="57"/>
                  </w:pPr>
                  <w:r>
                    <w:t>&lt;0.1</w:t>
                  </w:r>
                </w:p>
              </w:tc>
              <w:tc>
                <w:tcPr>
                  <w:tcW w:w="516" w:type="pct"/>
                  <w:vAlign w:val="bottom"/>
                </w:tcPr>
                <w:p w:rsidR="00B5034D" w:rsidRDefault="00B5034D" w:rsidP="00B5034D">
                  <w:pPr>
                    <w:pStyle w:val="TableBodyText"/>
                    <w:spacing w:after="0"/>
                    <w:ind w:left="0" w:right="57"/>
                  </w:pPr>
                  <w:r>
                    <w:t>-0.1</w:t>
                  </w:r>
                </w:p>
              </w:tc>
              <w:tc>
                <w:tcPr>
                  <w:tcW w:w="516" w:type="pct"/>
                  <w:vAlign w:val="bottom"/>
                </w:tcPr>
                <w:p w:rsidR="00B5034D" w:rsidRDefault="00B5034D" w:rsidP="00B5034D">
                  <w:pPr>
                    <w:pStyle w:val="TableBodyText"/>
                    <w:spacing w:after="0"/>
                    <w:ind w:left="0" w:right="57"/>
                  </w:pPr>
                  <w:r>
                    <w:t>1.8</w:t>
                  </w:r>
                </w:p>
              </w:tc>
            </w:tr>
            <w:tr w:rsidR="00B5034D" w:rsidTr="00C058F9">
              <w:tc>
                <w:tcPr>
                  <w:tcW w:w="1903" w:type="pct"/>
                  <w:vAlign w:val="center"/>
                </w:tcPr>
                <w:p w:rsidR="00B5034D" w:rsidRDefault="00B5034D" w:rsidP="00B5034D">
                  <w:pPr>
                    <w:pStyle w:val="TableBodyText"/>
                    <w:spacing w:after="0"/>
                    <w:jc w:val="left"/>
                  </w:pPr>
                  <w:r>
                    <w:t>Other transport equipment</w:t>
                  </w:r>
                </w:p>
              </w:tc>
              <w:tc>
                <w:tcPr>
                  <w:tcW w:w="516" w:type="pct"/>
                  <w:vAlign w:val="bottom"/>
                </w:tcPr>
                <w:p w:rsidR="00B5034D" w:rsidRDefault="00B5034D" w:rsidP="00B5034D">
                  <w:pPr>
                    <w:pStyle w:val="TableBodyText"/>
                    <w:spacing w:after="0"/>
                    <w:ind w:left="0" w:right="57"/>
                  </w:pPr>
                  <w:r>
                    <w:t>0.1</w:t>
                  </w:r>
                </w:p>
              </w:tc>
              <w:tc>
                <w:tcPr>
                  <w:tcW w:w="516" w:type="pct"/>
                  <w:vAlign w:val="bottom"/>
                </w:tcPr>
                <w:p w:rsidR="00B5034D" w:rsidRDefault="00B5034D" w:rsidP="00B5034D">
                  <w:pPr>
                    <w:pStyle w:val="TableBodyText"/>
                    <w:spacing w:after="0"/>
                    <w:ind w:left="0" w:right="57"/>
                  </w:pPr>
                  <w:r>
                    <w:t>0.1</w:t>
                  </w:r>
                </w:p>
              </w:tc>
              <w:tc>
                <w:tcPr>
                  <w:tcW w:w="516" w:type="pct"/>
                  <w:vAlign w:val="bottom"/>
                </w:tcPr>
                <w:p w:rsidR="00B5034D" w:rsidRDefault="00B5034D" w:rsidP="00B5034D">
                  <w:pPr>
                    <w:pStyle w:val="TableBodyText"/>
                    <w:spacing w:after="0"/>
                    <w:ind w:left="0" w:right="57"/>
                  </w:pPr>
                  <w:r>
                    <w:t>0.2</w:t>
                  </w:r>
                </w:p>
              </w:tc>
              <w:tc>
                <w:tcPr>
                  <w:tcW w:w="516" w:type="pct"/>
                  <w:vAlign w:val="bottom"/>
                </w:tcPr>
                <w:p w:rsidR="00B5034D" w:rsidRDefault="00B5034D" w:rsidP="00B5034D">
                  <w:pPr>
                    <w:pStyle w:val="TableBodyText"/>
                    <w:spacing w:after="0"/>
                    <w:ind w:left="0" w:right="57"/>
                  </w:pPr>
                  <w:r>
                    <w:t>&lt;0.1</w:t>
                  </w:r>
                </w:p>
              </w:tc>
              <w:tc>
                <w:tcPr>
                  <w:tcW w:w="516" w:type="pct"/>
                  <w:vAlign w:val="bottom"/>
                </w:tcPr>
                <w:p w:rsidR="00B5034D" w:rsidRDefault="00B5034D" w:rsidP="00B5034D">
                  <w:pPr>
                    <w:pStyle w:val="TableBodyText"/>
                    <w:spacing w:after="0"/>
                    <w:ind w:left="0" w:right="57"/>
                  </w:pPr>
                  <w:r>
                    <w:t>-0.1</w:t>
                  </w:r>
                </w:p>
              </w:tc>
              <w:tc>
                <w:tcPr>
                  <w:tcW w:w="516" w:type="pct"/>
                  <w:vAlign w:val="bottom"/>
                </w:tcPr>
                <w:p w:rsidR="00B5034D" w:rsidRDefault="00B5034D" w:rsidP="00B5034D">
                  <w:pPr>
                    <w:pStyle w:val="TableBodyText"/>
                    <w:spacing w:after="0"/>
                    <w:ind w:left="0" w:right="57"/>
                  </w:pPr>
                  <w:r>
                    <w:t>2.4</w:t>
                  </w:r>
                </w:p>
              </w:tc>
            </w:tr>
            <w:tr w:rsidR="00B5034D" w:rsidTr="00C058F9">
              <w:tc>
                <w:tcPr>
                  <w:tcW w:w="1903" w:type="pct"/>
                  <w:vAlign w:val="center"/>
                </w:tcPr>
                <w:p w:rsidR="00B5034D" w:rsidRDefault="00B5034D" w:rsidP="00B5034D">
                  <w:pPr>
                    <w:pStyle w:val="TableBodyText"/>
                    <w:spacing w:after="0"/>
                    <w:jc w:val="left"/>
                  </w:pPr>
                  <w:r>
                    <w:t>Machinery &amp; equipment manufacturing</w:t>
                  </w:r>
                </w:p>
              </w:tc>
              <w:tc>
                <w:tcPr>
                  <w:tcW w:w="516" w:type="pct"/>
                  <w:vAlign w:val="bottom"/>
                </w:tcPr>
                <w:p w:rsidR="00B5034D" w:rsidRDefault="00B5034D" w:rsidP="00B5034D">
                  <w:pPr>
                    <w:pStyle w:val="TableBodyText"/>
                    <w:spacing w:after="0"/>
                    <w:ind w:left="0" w:right="57"/>
                  </w:pPr>
                  <w:r>
                    <w:t>0.3</w:t>
                  </w:r>
                </w:p>
              </w:tc>
              <w:tc>
                <w:tcPr>
                  <w:tcW w:w="516" w:type="pct"/>
                  <w:vAlign w:val="bottom"/>
                </w:tcPr>
                <w:p w:rsidR="00B5034D" w:rsidRDefault="00B5034D" w:rsidP="00B5034D">
                  <w:pPr>
                    <w:pStyle w:val="TableBodyText"/>
                    <w:spacing w:after="0"/>
                    <w:ind w:left="0" w:right="57"/>
                  </w:pPr>
                  <w:r>
                    <w:t>0.4</w:t>
                  </w:r>
                </w:p>
              </w:tc>
              <w:tc>
                <w:tcPr>
                  <w:tcW w:w="516" w:type="pct"/>
                  <w:vAlign w:val="bottom"/>
                </w:tcPr>
                <w:p w:rsidR="00B5034D" w:rsidRDefault="00B5034D" w:rsidP="00B5034D">
                  <w:pPr>
                    <w:pStyle w:val="TableBodyText"/>
                    <w:spacing w:after="0"/>
                    <w:ind w:left="0" w:right="57"/>
                  </w:pPr>
                  <w:r>
                    <w:t>0.6</w:t>
                  </w:r>
                </w:p>
              </w:tc>
              <w:tc>
                <w:tcPr>
                  <w:tcW w:w="516" w:type="pct"/>
                  <w:vAlign w:val="bottom"/>
                </w:tcPr>
                <w:p w:rsidR="00B5034D" w:rsidRDefault="00B5034D" w:rsidP="00B5034D">
                  <w:pPr>
                    <w:pStyle w:val="TableBodyText"/>
                    <w:spacing w:after="0"/>
                    <w:ind w:left="0" w:right="57"/>
                  </w:pPr>
                  <w:r>
                    <w:t>&lt;0.1</w:t>
                  </w:r>
                </w:p>
              </w:tc>
              <w:tc>
                <w:tcPr>
                  <w:tcW w:w="516" w:type="pct"/>
                  <w:vAlign w:val="bottom"/>
                </w:tcPr>
                <w:p w:rsidR="00B5034D" w:rsidRDefault="00B5034D" w:rsidP="00B5034D">
                  <w:pPr>
                    <w:pStyle w:val="TableBodyText"/>
                    <w:spacing w:after="0"/>
                    <w:ind w:left="0" w:right="57"/>
                  </w:pPr>
                  <w:r>
                    <w:t>-0.2</w:t>
                  </w:r>
                </w:p>
              </w:tc>
              <w:tc>
                <w:tcPr>
                  <w:tcW w:w="516" w:type="pct"/>
                  <w:vAlign w:val="bottom"/>
                </w:tcPr>
                <w:p w:rsidR="00B5034D" w:rsidRDefault="00B5034D" w:rsidP="00B5034D">
                  <w:pPr>
                    <w:pStyle w:val="TableBodyText"/>
                    <w:spacing w:after="0"/>
                    <w:ind w:left="0" w:right="57"/>
                  </w:pPr>
                  <w:r>
                    <w:t>6.4</w:t>
                  </w:r>
                </w:p>
              </w:tc>
            </w:tr>
            <w:tr w:rsidR="00B5034D" w:rsidTr="00C058F9">
              <w:tc>
                <w:tcPr>
                  <w:tcW w:w="1903" w:type="pct"/>
                  <w:vAlign w:val="center"/>
                </w:tcPr>
                <w:p w:rsidR="00B5034D" w:rsidRDefault="00B5034D" w:rsidP="00B5034D">
                  <w:pPr>
                    <w:pStyle w:val="TableBodyText"/>
                    <w:spacing w:after="0"/>
                    <w:jc w:val="left"/>
                  </w:pPr>
                  <w:r>
                    <w:t>Furniture and other manufacturing</w:t>
                  </w:r>
                </w:p>
              </w:tc>
              <w:tc>
                <w:tcPr>
                  <w:tcW w:w="516" w:type="pct"/>
                  <w:vAlign w:val="bottom"/>
                </w:tcPr>
                <w:p w:rsidR="00B5034D" w:rsidRDefault="00B5034D" w:rsidP="00B5034D">
                  <w:pPr>
                    <w:pStyle w:val="TableBodyText"/>
                    <w:spacing w:after="0"/>
                    <w:ind w:left="0" w:right="57"/>
                  </w:pPr>
                  <w:r>
                    <w:t>0.2</w:t>
                  </w:r>
                </w:p>
              </w:tc>
              <w:tc>
                <w:tcPr>
                  <w:tcW w:w="516" w:type="pct"/>
                  <w:vAlign w:val="bottom"/>
                </w:tcPr>
                <w:p w:rsidR="00B5034D" w:rsidRDefault="00B5034D" w:rsidP="00B5034D">
                  <w:pPr>
                    <w:pStyle w:val="TableBodyText"/>
                    <w:spacing w:after="0"/>
                    <w:ind w:left="0" w:right="57"/>
                  </w:pPr>
                  <w:r>
                    <w:t>0.3</w:t>
                  </w:r>
                </w:p>
              </w:tc>
              <w:tc>
                <w:tcPr>
                  <w:tcW w:w="516" w:type="pct"/>
                  <w:vAlign w:val="bottom"/>
                </w:tcPr>
                <w:p w:rsidR="00B5034D" w:rsidRDefault="00B5034D" w:rsidP="00B5034D">
                  <w:pPr>
                    <w:pStyle w:val="TableBodyText"/>
                    <w:spacing w:after="0"/>
                    <w:ind w:left="0" w:right="57"/>
                  </w:pPr>
                  <w:r>
                    <w:t>0.5</w:t>
                  </w:r>
                </w:p>
              </w:tc>
              <w:tc>
                <w:tcPr>
                  <w:tcW w:w="516" w:type="pct"/>
                  <w:vAlign w:val="bottom"/>
                </w:tcPr>
                <w:p w:rsidR="00B5034D" w:rsidRDefault="00B5034D" w:rsidP="00B5034D">
                  <w:pPr>
                    <w:pStyle w:val="TableBodyText"/>
                    <w:spacing w:after="0"/>
                    <w:ind w:left="0" w:right="57"/>
                  </w:pPr>
                  <w:r>
                    <w:t>&lt;0.1</w:t>
                  </w:r>
                </w:p>
              </w:tc>
              <w:tc>
                <w:tcPr>
                  <w:tcW w:w="516" w:type="pct"/>
                  <w:vAlign w:val="bottom"/>
                </w:tcPr>
                <w:p w:rsidR="00B5034D" w:rsidRDefault="00B5034D" w:rsidP="00B5034D">
                  <w:pPr>
                    <w:pStyle w:val="TableBodyText"/>
                    <w:spacing w:after="0"/>
                    <w:ind w:left="0" w:right="57"/>
                  </w:pPr>
                  <w:r>
                    <w:t>-0.2</w:t>
                  </w:r>
                </w:p>
              </w:tc>
              <w:tc>
                <w:tcPr>
                  <w:tcW w:w="516" w:type="pct"/>
                  <w:vAlign w:val="bottom"/>
                </w:tcPr>
                <w:p w:rsidR="00B5034D" w:rsidRDefault="00B5034D" w:rsidP="00B5034D">
                  <w:pPr>
                    <w:pStyle w:val="TableBodyText"/>
                    <w:spacing w:after="0"/>
                    <w:ind w:left="0" w:right="57"/>
                  </w:pPr>
                  <w:r>
                    <w:t>5.6</w:t>
                  </w:r>
                </w:p>
              </w:tc>
            </w:tr>
            <w:tr w:rsidR="00B5034D" w:rsidRPr="00BF7BF0" w:rsidTr="00C058F9">
              <w:tc>
                <w:tcPr>
                  <w:tcW w:w="1903" w:type="pct"/>
                  <w:vAlign w:val="center"/>
                </w:tcPr>
                <w:p w:rsidR="00B5034D" w:rsidRPr="00BF7BF0" w:rsidRDefault="00B5034D" w:rsidP="00BF7BF0">
                  <w:pPr>
                    <w:pStyle w:val="TableBodyText"/>
                    <w:spacing w:before="40"/>
                    <w:jc w:val="left"/>
                    <w:rPr>
                      <w:b/>
                    </w:rPr>
                  </w:pPr>
                  <w:r w:rsidRPr="00BF7BF0">
                    <w:rPr>
                      <w:b/>
                    </w:rPr>
                    <w:t>Services</w:t>
                  </w:r>
                </w:p>
              </w:tc>
              <w:tc>
                <w:tcPr>
                  <w:tcW w:w="516" w:type="pct"/>
                  <w:vAlign w:val="bottom"/>
                </w:tcPr>
                <w:p w:rsidR="00B5034D" w:rsidRPr="00BF7BF0" w:rsidRDefault="00B5034D" w:rsidP="00BF7BF0">
                  <w:pPr>
                    <w:pStyle w:val="TableBodyText"/>
                    <w:spacing w:before="40"/>
                    <w:ind w:left="0" w:right="57"/>
                    <w:rPr>
                      <w:b/>
                    </w:rPr>
                  </w:pPr>
                  <w:r w:rsidRPr="00BF7BF0">
                    <w:rPr>
                      <w:b/>
                    </w:rPr>
                    <w:t>50.2</w:t>
                  </w:r>
                </w:p>
              </w:tc>
              <w:tc>
                <w:tcPr>
                  <w:tcW w:w="516" w:type="pct"/>
                  <w:vAlign w:val="bottom"/>
                </w:tcPr>
                <w:p w:rsidR="00B5034D" w:rsidRPr="00BF7BF0" w:rsidRDefault="00B5034D" w:rsidP="00BF7BF0">
                  <w:pPr>
                    <w:pStyle w:val="TableBodyText"/>
                    <w:spacing w:before="40"/>
                    <w:ind w:left="0" w:right="57"/>
                    <w:rPr>
                      <w:b/>
                    </w:rPr>
                  </w:pPr>
                  <w:r w:rsidRPr="00BF7BF0">
                    <w:rPr>
                      <w:b/>
                    </w:rPr>
                    <w:t>67.0</w:t>
                  </w:r>
                </w:p>
              </w:tc>
              <w:tc>
                <w:tcPr>
                  <w:tcW w:w="516" w:type="pct"/>
                  <w:vAlign w:val="bottom"/>
                </w:tcPr>
                <w:p w:rsidR="00B5034D" w:rsidRPr="00BF7BF0" w:rsidRDefault="00B5034D" w:rsidP="00BF7BF0">
                  <w:pPr>
                    <w:pStyle w:val="TableBodyText"/>
                    <w:spacing w:before="40"/>
                    <w:ind w:left="0" w:right="57"/>
                    <w:rPr>
                      <w:b/>
                    </w:rPr>
                  </w:pPr>
                  <w:r w:rsidRPr="00BF7BF0">
                    <w:rPr>
                      <w:b/>
                    </w:rPr>
                    <w:t>108.8</w:t>
                  </w:r>
                </w:p>
              </w:tc>
              <w:tc>
                <w:tcPr>
                  <w:tcW w:w="516" w:type="pct"/>
                  <w:vAlign w:val="bottom"/>
                </w:tcPr>
                <w:p w:rsidR="00B5034D" w:rsidRPr="00BF7BF0" w:rsidRDefault="00B5034D" w:rsidP="00BF7BF0">
                  <w:pPr>
                    <w:pStyle w:val="TableBodyText"/>
                    <w:spacing w:before="40"/>
                    <w:ind w:left="0" w:right="57"/>
                    <w:rPr>
                      <w:b/>
                    </w:rPr>
                  </w:pPr>
                  <w:r w:rsidRPr="00BF7BF0">
                    <w:rPr>
                      <w:b/>
                    </w:rPr>
                    <w:t>8.4</w:t>
                  </w:r>
                </w:p>
              </w:tc>
              <w:tc>
                <w:tcPr>
                  <w:tcW w:w="516" w:type="pct"/>
                  <w:vAlign w:val="bottom"/>
                </w:tcPr>
                <w:p w:rsidR="00B5034D" w:rsidRPr="00BF7BF0" w:rsidRDefault="00B5034D" w:rsidP="00BF7BF0">
                  <w:pPr>
                    <w:pStyle w:val="TableBodyText"/>
                    <w:spacing w:before="40"/>
                    <w:ind w:left="0" w:right="57"/>
                    <w:rPr>
                      <w:b/>
                    </w:rPr>
                  </w:pPr>
                  <w:r w:rsidRPr="00BF7BF0">
                    <w:rPr>
                      <w:b/>
                    </w:rPr>
                    <w:t>-33.5</w:t>
                  </w:r>
                </w:p>
              </w:tc>
              <w:tc>
                <w:tcPr>
                  <w:tcW w:w="516" w:type="pct"/>
                  <w:vAlign w:val="bottom"/>
                </w:tcPr>
                <w:p w:rsidR="00B5034D" w:rsidRPr="00BF7BF0" w:rsidRDefault="00B5034D" w:rsidP="00BF7BF0">
                  <w:pPr>
                    <w:pStyle w:val="TableBodyText"/>
                    <w:spacing w:before="40"/>
                    <w:ind w:left="0" w:right="57"/>
                    <w:rPr>
                      <w:b/>
                    </w:rPr>
                  </w:pPr>
                  <w:r w:rsidRPr="00BF7BF0">
                    <w:rPr>
                      <w:b/>
                    </w:rPr>
                    <w:t>1188.5</w:t>
                  </w:r>
                </w:p>
              </w:tc>
            </w:tr>
            <w:tr w:rsidR="00B5034D" w:rsidTr="00C058F9">
              <w:tc>
                <w:tcPr>
                  <w:tcW w:w="1903" w:type="pct"/>
                  <w:vAlign w:val="center"/>
                </w:tcPr>
                <w:p w:rsidR="00B5034D" w:rsidRDefault="00B5034D" w:rsidP="00B5034D">
                  <w:pPr>
                    <w:pStyle w:val="TableBodyText"/>
                    <w:spacing w:after="0"/>
                    <w:jc w:val="left"/>
                  </w:pPr>
                  <w:r>
                    <w:t>Electricity, gas, water &amp; waste services</w:t>
                  </w:r>
                </w:p>
              </w:tc>
              <w:tc>
                <w:tcPr>
                  <w:tcW w:w="516" w:type="pct"/>
                  <w:vAlign w:val="bottom"/>
                </w:tcPr>
                <w:p w:rsidR="00B5034D" w:rsidRDefault="00B5034D" w:rsidP="00B5034D">
                  <w:pPr>
                    <w:pStyle w:val="TableBodyText"/>
                    <w:spacing w:after="0"/>
                    <w:ind w:left="0" w:right="57"/>
                  </w:pPr>
                  <w:r>
                    <w:t>0.2</w:t>
                  </w:r>
                </w:p>
              </w:tc>
              <w:tc>
                <w:tcPr>
                  <w:tcW w:w="516" w:type="pct"/>
                  <w:vAlign w:val="bottom"/>
                </w:tcPr>
                <w:p w:rsidR="00B5034D" w:rsidRDefault="00B5034D" w:rsidP="00B5034D">
                  <w:pPr>
                    <w:pStyle w:val="TableBodyText"/>
                    <w:spacing w:after="0"/>
                    <w:ind w:left="0" w:right="57"/>
                  </w:pPr>
                  <w:r>
                    <w:t>0.2</w:t>
                  </w:r>
                </w:p>
              </w:tc>
              <w:tc>
                <w:tcPr>
                  <w:tcW w:w="516" w:type="pct"/>
                  <w:vAlign w:val="bottom"/>
                </w:tcPr>
                <w:p w:rsidR="00B5034D" w:rsidRDefault="00B5034D" w:rsidP="00B5034D">
                  <w:pPr>
                    <w:pStyle w:val="TableBodyText"/>
                    <w:spacing w:after="0"/>
                    <w:ind w:left="0" w:right="57"/>
                  </w:pPr>
                  <w:r>
                    <w:t>0.3</w:t>
                  </w:r>
                </w:p>
              </w:tc>
              <w:tc>
                <w:tcPr>
                  <w:tcW w:w="516" w:type="pct"/>
                  <w:vAlign w:val="bottom"/>
                </w:tcPr>
                <w:p w:rsidR="00B5034D" w:rsidRDefault="00B5034D" w:rsidP="00B5034D">
                  <w:pPr>
                    <w:pStyle w:val="TableBodyText"/>
                    <w:spacing w:after="0"/>
                    <w:ind w:left="0" w:right="57"/>
                  </w:pPr>
                  <w:r>
                    <w:t>&lt;0.1</w:t>
                  </w:r>
                </w:p>
              </w:tc>
              <w:tc>
                <w:tcPr>
                  <w:tcW w:w="516" w:type="pct"/>
                  <w:vAlign w:val="bottom"/>
                </w:tcPr>
                <w:p w:rsidR="00B5034D" w:rsidRDefault="00B5034D" w:rsidP="00B5034D">
                  <w:pPr>
                    <w:pStyle w:val="TableBodyText"/>
                    <w:spacing w:after="0"/>
                    <w:ind w:left="0" w:right="57"/>
                  </w:pPr>
                  <w:r>
                    <w:t>-0.1</w:t>
                  </w:r>
                </w:p>
              </w:tc>
              <w:tc>
                <w:tcPr>
                  <w:tcW w:w="516" w:type="pct"/>
                  <w:vAlign w:val="bottom"/>
                </w:tcPr>
                <w:p w:rsidR="00B5034D" w:rsidRDefault="00B5034D" w:rsidP="00B5034D">
                  <w:pPr>
                    <w:pStyle w:val="TableBodyText"/>
                    <w:spacing w:after="0"/>
                    <w:ind w:left="0" w:right="57"/>
                  </w:pPr>
                  <w:r>
                    <w:t>3.6</w:t>
                  </w:r>
                </w:p>
              </w:tc>
            </w:tr>
            <w:tr w:rsidR="00B5034D" w:rsidTr="00C058F9">
              <w:tc>
                <w:tcPr>
                  <w:tcW w:w="1903" w:type="pct"/>
                  <w:vAlign w:val="center"/>
                </w:tcPr>
                <w:p w:rsidR="00B5034D" w:rsidRDefault="00B5034D" w:rsidP="00B5034D">
                  <w:pPr>
                    <w:pStyle w:val="TableBodyText"/>
                    <w:spacing w:after="0"/>
                    <w:jc w:val="left"/>
                  </w:pPr>
                  <w:r>
                    <w:t>Construction</w:t>
                  </w:r>
                </w:p>
              </w:tc>
              <w:tc>
                <w:tcPr>
                  <w:tcW w:w="516" w:type="pct"/>
                  <w:vAlign w:val="bottom"/>
                </w:tcPr>
                <w:p w:rsidR="00B5034D" w:rsidRDefault="00B5034D" w:rsidP="00B5034D">
                  <w:pPr>
                    <w:pStyle w:val="TableBodyText"/>
                    <w:spacing w:after="0"/>
                    <w:ind w:left="0" w:right="57"/>
                  </w:pPr>
                  <w:r>
                    <w:t>9.9</w:t>
                  </w:r>
                </w:p>
              </w:tc>
              <w:tc>
                <w:tcPr>
                  <w:tcW w:w="516" w:type="pct"/>
                  <w:vAlign w:val="bottom"/>
                </w:tcPr>
                <w:p w:rsidR="00B5034D" w:rsidRDefault="00B5034D" w:rsidP="00B5034D">
                  <w:pPr>
                    <w:pStyle w:val="TableBodyText"/>
                    <w:spacing w:after="0"/>
                    <w:ind w:left="0" w:right="57"/>
                  </w:pPr>
                  <w:r>
                    <w:t>13.2</w:t>
                  </w:r>
                </w:p>
              </w:tc>
              <w:tc>
                <w:tcPr>
                  <w:tcW w:w="516" w:type="pct"/>
                  <w:vAlign w:val="bottom"/>
                </w:tcPr>
                <w:p w:rsidR="00B5034D" w:rsidRDefault="00B5034D" w:rsidP="00B5034D">
                  <w:pPr>
                    <w:pStyle w:val="TableBodyText"/>
                    <w:spacing w:after="0"/>
                    <w:ind w:left="0" w:right="57"/>
                  </w:pPr>
                  <w:r>
                    <w:t>21.4</w:t>
                  </w:r>
                </w:p>
              </w:tc>
              <w:tc>
                <w:tcPr>
                  <w:tcW w:w="516" w:type="pct"/>
                  <w:vAlign w:val="bottom"/>
                </w:tcPr>
                <w:p w:rsidR="00B5034D" w:rsidRDefault="00B5034D" w:rsidP="00B5034D">
                  <w:pPr>
                    <w:pStyle w:val="TableBodyText"/>
                    <w:spacing w:after="0"/>
                    <w:ind w:left="0" w:right="57"/>
                  </w:pPr>
                  <w:r>
                    <w:t>1.6</w:t>
                  </w:r>
                </w:p>
              </w:tc>
              <w:tc>
                <w:tcPr>
                  <w:tcW w:w="516" w:type="pct"/>
                  <w:vAlign w:val="bottom"/>
                </w:tcPr>
                <w:p w:rsidR="00B5034D" w:rsidRDefault="00B5034D" w:rsidP="00B5034D">
                  <w:pPr>
                    <w:pStyle w:val="TableBodyText"/>
                    <w:spacing w:after="0"/>
                    <w:ind w:left="0" w:right="57"/>
                  </w:pPr>
                  <w:r>
                    <w:t>-6.6</w:t>
                  </w:r>
                </w:p>
              </w:tc>
              <w:tc>
                <w:tcPr>
                  <w:tcW w:w="516" w:type="pct"/>
                  <w:vAlign w:val="bottom"/>
                </w:tcPr>
                <w:p w:rsidR="00B5034D" w:rsidRDefault="00B5034D" w:rsidP="00B5034D">
                  <w:pPr>
                    <w:pStyle w:val="TableBodyText"/>
                    <w:spacing w:after="0"/>
                    <w:ind w:left="0" w:right="57"/>
                  </w:pPr>
                  <w:r>
                    <w:t>234.0</w:t>
                  </w:r>
                </w:p>
              </w:tc>
            </w:tr>
            <w:tr w:rsidR="00B5034D" w:rsidTr="00C058F9">
              <w:tc>
                <w:tcPr>
                  <w:tcW w:w="1903" w:type="pct"/>
                  <w:vAlign w:val="center"/>
                </w:tcPr>
                <w:p w:rsidR="00B5034D" w:rsidRDefault="00B5034D" w:rsidP="00B5034D">
                  <w:pPr>
                    <w:pStyle w:val="TableBodyText"/>
                    <w:spacing w:after="0"/>
                    <w:jc w:val="left"/>
                  </w:pPr>
                  <w:r>
                    <w:t>Wholesale trade</w:t>
                  </w:r>
                </w:p>
              </w:tc>
              <w:tc>
                <w:tcPr>
                  <w:tcW w:w="516" w:type="pct"/>
                  <w:vAlign w:val="bottom"/>
                </w:tcPr>
                <w:p w:rsidR="00B5034D" w:rsidRDefault="00B5034D" w:rsidP="00B5034D">
                  <w:pPr>
                    <w:pStyle w:val="TableBodyText"/>
                    <w:spacing w:after="0"/>
                    <w:ind w:left="0" w:right="57"/>
                  </w:pPr>
                  <w:r>
                    <w:t>1.9</w:t>
                  </w:r>
                </w:p>
              </w:tc>
              <w:tc>
                <w:tcPr>
                  <w:tcW w:w="516" w:type="pct"/>
                  <w:vAlign w:val="bottom"/>
                </w:tcPr>
                <w:p w:rsidR="00B5034D" w:rsidRDefault="00B5034D" w:rsidP="00B5034D">
                  <w:pPr>
                    <w:pStyle w:val="TableBodyText"/>
                    <w:spacing w:after="0"/>
                    <w:ind w:left="0" w:right="57"/>
                  </w:pPr>
                  <w:r>
                    <w:t>2.5</w:t>
                  </w:r>
                </w:p>
              </w:tc>
              <w:tc>
                <w:tcPr>
                  <w:tcW w:w="516" w:type="pct"/>
                  <w:vAlign w:val="bottom"/>
                </w:tcPr>
                <w:p w:rsidR="00B5034D" w:rsidRDefault="00B5034D" w:rsidP="00B5034D">
                  <w:pPr>
                    <w:pStyle w:val="TableBodyText"/>
                    <w:spacing w:after="0"/>
                    <w:ind w:left="0" w:right="57"/>
                  </w:pPr>
                  <w:r>
                    <w:t>4.1</w:t>
                  </w:r>
                </w:p>
              </w:tc>
              <w:tc>
                <w:tcPr>
                  <w:tcW w:w="516" w:type="pct"/>
                  <w:vAlign w:val="bottom"/>
                </w:tcPr>
                <w:p w:rsidR="00B5034D" w:rsidRDefault="00B5034D" w:rsidP="00B5034D">
                  <w:pPr>
                    <w:pStyle w:val="TableBodyText"/>
                    <w:spacing w:after="0"/>
                    <w:ind w:left="0" w:right="57"/>
                  </w:pPr>
                  <w:r>
                    <w:t>0.3</w:t>
                  </w:r>
                </w:p>
              </w:tc>
              <w:tc>
                <w:tcPr>
                  <w:tcW w:w="516" w:type="pct"/>
                  <w:vAlign w:val="bottom"/>
                </w:tcPr>
                <w:p w:rsidR="00B5034D" w:rsidRDefault="00B5034D" w:rsidP="00B5034D">
                  <w:pPr>
                    <w:pStyle w:val="TableBodyText"/>
                    <w:spacing w:after="0"/>
                    <w:ind w:left="0" w:right="57"/>
                  </w:pPr>
                  <w:r>
                    <w:t>-1.3</w:t>
                  </w:r>
                </w:p>
              </w:tc>
              <w:tc>
                <w:tcPr>
                  <w:tcW w:w="516" w:type="pct"/>
                  <w:vAlign w:val="bottom"/>
                </w:tcPr>
                <w:p w:rsidR="00B5034D" w:rsidRDefault="00B5034D" w:rsidP="00B5034D">
                  <w:pPr>
                    <w:pStyle w:val="TableBodyText"/>
                    <w:spacing w:after="0"/>
                    <w:ind w:left="0" w:right="57"/>
                  </w:pPr>
                  <w:r>
                    <w:t>45.2</w:t>
                  </w:r>
                </w:p>
              </w:tc>
            </w:tr>
            <w:tr w:rsidR="00B5034D" w:rsidTr="00C058F9">
              <w:tc>
                <w:tcPr>
                  <w:tcW w:w="1903" w:type="pct"/>
                  <w:vAlign w:val="center"/>
                </w:tcPr>
                <w:p w:rsidR="00B5034D" w:rsidRDefault="00B5034D" w:rsidP="00B5034D">
                  <w:pPr>
                    <w:pStyle w:val="TableBodyText"/>
                    <w:spacing w:after="0"/>
                    <w:jc w:val="left"/>
                  </w:pPr>
                  <w:r>
                    <w:t>Retail trade</w:t>
                  </w:r>
                </w:p>
              </w:tc>
              <w:tc>
                <w:tcPr>
                  <w:tcW w:w="516" w:type="pct"/>
                  <w:vAlign w:val="bottom"/>
                </w:tcPr>
                <w:p w:rsidR="00B5034D" w:rsidRDefault="00B5034D" w:rsidP="00B5034D">
                  <w:pPr>
                    <w:pStyle w:val="TableBodyText"/>
                    <w:spacing w:after="0"/>
                    <w:ind w:left="0" w:right="57"/>
                  </w:pPr>
                  <w:r>
                    <w:t>3.7</w:t>
                  </w:r>
                </w:p>
              </w:tc>
              <w:tc>
                <w:tcPr>
                  <w:tcW w:w="516" w:type="pct"/>
                  <w:vAlign w:val="bottom"/>
                </w:tcPr>
                <w:p w:rsidR="00B5034D" w:rsidRDefault="00B5034D" w:rsidP="00B5034D">
                  <w:pPr>
                    <w:pStyle w:val="TableBodyText"/>
                    <w:spacing w:after="0"/>
                    <w:ind w:left="0" w:right="57"/>
                  </w:pPr>
                  <w:r>
                    <w:t>4.9</w:t>
                  </w:r>
                </w:p>
              </w:tc>
              <w:tc>
                <w:tcPr>
                  <w:tcW w:w="516" w:type="pct"/>
                  <w:vAlign w:val="bottom"/>
                </w:tcPr>
                <w:p w:rsidR="00B5034D" w:rsidRDefault="00B5034D" w:rsidP="00B5034D">
                  <w:pPr>
                    <w:pStyle w:val="TableBodyText"/>
                    <w:spacing w:after="0"/>
                    <w:ind w:left="0" w:right="57"/>
                  </w:pPr>
                  <w:r>
                    <w:t>8.0</w:t>
                  </w:r>
                </w:p>
              </w:tc>
              <w:tc>
                <w:tcPr>
                  <w:tcW w:w="516" w:type="pct"/>
                  <w:vAlign w:val="bottom"/>
                </w:tcPr>
                <w:p w:rsidR="00B5034D" w:rsidRDefault="00B5034D" w:rsidP="00B5034D">
                  <w:pPr>
                    <w:pStyle w:val="TableBodyText"/>
                    <w:spacing w:after="0"/>
                    <w:ind w:left="0" w:right="57"/>
                  </w:pPr>
                  <w:r>
                    <w:t>0.6</w:t>
                  </w:r>
                </w:p>
              </w:tc>
              <w:tc>
                <w:tcPr>
                  <w:tcW w:w="516" w:type="pct"/>
                  <w:vAlign w:val="bottom"/>
                </w:tcPr>
                <w:p w:rsidR="00B5034D" w:rsidRDefault="00B5034D" w:rsidP="00B5034D">
                  <w:pPr>
                    <w:pStyle w:val="TableBodyText"/>
                    <w:spacing w:after="0"/>
                    <w:ind w:left="0" w:right="57"/>
                  </w:pPr>
                  <w:r>
                    <w:t>-2.4</w:t>
                  </w:r>
                </w:p>
              </w:tc>
              <w:tc>
                <w:tcPr>
                  <w:tcW w:w="516" w:type="pct"/>
                  <w:vAlign w:val="bottom"/>
                </w:tcPr>
                <w:p w:rsidR="00B5034D" w:rsidRDefault="00B5034D" w:rsidP="00B5034D">
                  <w:pPr>
                    <w:pStyle w:val="TableBodyText"/>
                    <w:spacing w:after="0"/>
                    <w:ind w:left="0" w:right="57"/>
                  </w:pPr>
                  <w:r>
                    <w:t>86.9</w:t>
                  </w:r>
                </w:p>
              </w:tc>
            </w:tr>
            <w:tr w:rsidR="00B5034D" w:rsidTr="00C058F9">
              <w:tc>
                <w:tcPr>
                  <w:tcW w:w="1903" w:type="pct"/>
                  <w:vAlign w:val="center"/>
                </w:tcPr>
                <w:p w:rsidR="00B5034D" w:rsidRDefault="00B5034D" w:rsidP="00B5034D">
                  <w:pPr>
                    <w:pStyle w:val="TableBodyText"/>
                    <w:spacing w:after="0"/>
                    <w:jc w:val="left"/>
                  </w:pPr>
                  <w:r>
                    <w:t>Accommodation &amp; food services</w:t>
                  </w:r>
                </w:p>
              </w:tc>
              <w:tc>
                <w:tcPr>
                  <w:tcW w:w="516" w:type="pct"/>
                  <w:vAlign w:val="bottom"/>
                </w:tcPr>
                <w:p w:rsidR="00B5034D" w:rsidRDefault="00B5034D" w:rsidP="00B5034D">
                  <w:pPr>
                    <w:pStyle w:val="TableBodyText"/>
                    <w:spacing w:after="0"/>
                    <w:ind w:left="0" w:right="57"/>
                  </w:pPr>
                  <w:r>
                    <w:t>2.3</w:t>
                  </w:r>
                </w:p>
              </w:tc>
              <w:tc>
                <w:tcPr>
                  <w:tcW w:w="516" w:type="pct"/>
                  <w:vAlign w:val="bottom"/>
                </w:tcPr>
                <w:p w:rsidR="00B5034D" w:rsidRDefault="00B5034D" w:rsidP="00B5034D">
                  <w:pPr>
                    <w:pStyle w:val="TableBodyText"/>
                    <w:spacing w:after="0"/>
                    <w:ind w:left="0" w:right="57"/>
                  </w:pPr>
                  <w:r>
                    <w:t>3.0</w:t>
                  </w:r>
                </w:p>
              </w:tc>
              <w:tc>
                <w:tcPr>
                  <w:tcW w:w="516" w:type="pct"/>
                  <w:vAlign w:val="bottom"/>
                </w:tcPr>
                <w:p w:rsidR="00B5034D" w:rsidRDefault="00B5034D" w:rsidP="00B5034D">
                  <w:pPr>
                    <w:pStyle w:val="TableBodyText"/>
                    <w:spacing w:after="0"/>
                    <w:ind w:left="0" w:right="57"/>
                  </w:pPr>
                  <w:r>
                    <w:t>4.9</w:t>
                  </w:r>
                </w:p>
              </w:tc>
              <w:tc>
                <w:tcPr>
                  <w:tcW w:w="516" w:type="pct"/>
                  <w:vAlign w:val="bottom"/>
                </w:tcPr>
                <w:p w:rsidR="00B5034D" w:rsidRDefault="00B5034D" w:rsidP="00B5034D">
                  <w:pPr>
                    <w:pStyle w:val="TableBodyText"/>
                    <w:spacing w:after="0"/>
                    <w:ind w:left="0" w:right="57"/>
                  </w:pPr>
                  <w:r>
                    <w:t>0.4</w:t>
                  </w:r>
                </w:p>
              </w:tc>
              <w:tc>
                <w:tcPr>
                  <w:tcW w:w="516" w:type="pct"/>
                  <w:vAlign w:val="bottom"/>
                </w:tcPr>
                <w:p w:rsidR="00B5034D" w:rsidRDefault="00B5034D" w:rsidP="00B5034D">
                  <w:pPr>
                    <w:pStyle w:val="TableBodyText"/>
                    <w:spacing w:after="0"/>
                    <w:ind w:left="0" w:right="57"/>
                  </w:pPr>
                  <w:r>
                    <w:t>-1.5</w:t>
                  </w:r>
                </w:p>
              </w:tc>
              <w:tc>
                <w:tcPr>
                  <w:tcW w:w="516" w:type="pct"/>
                  <w:vAlign w:val="bottom"/>
                </w:tcPr>
                <w:p w:rsidR="00B5034D" w:rsidRDefault="00B5034D" w:rsidP="00B5034D">
                  <w:pPr>
                    <w:pStyle w:val="TableBodyText"/>
                    <w:spacing w:after="0"/>
                    <w:ind w:left="0" w:right="57"/>
                  </w:pPr>
                  <w:r>
                    <w:t>53.6</w:t>
                  </w:r>
                </w:p>
              </w:tc>
            </w:tr>
            <w:tr w:rsidR="00B5034D" w:rsidTr="00C058F9">
              <w:tc>
                <w:tcPr>
                  <w:tcW w:w="1903" w:type="pct"/>
                  <w:vAlign w:val="center"/>
                </w:tcPr>
                <w:p w:rsidR="00B5034D" w:rsidRDefault="00B5034D" w:rsidP="00B5034D">
                  <w:pPr>
                    <w:pStyle w:val="TableBodyText"/>
                    <w:spacing w:after="0"/>
                    <w:jc w:val="left"/>
                  </w:pPr>
                  <w:r>
                    <w:t>Transport, postal &amp; warehousing</w:t>
                  </w:r>
                </w:p>
              </w:tc>
              <w:tc>
                <w:tcPr>
                  <w:tcW w:w="516" w:type="pct"/>
                  <w:vAlign w:val="bottom"/>
                </w:tcPr>
                <w:p w:rsidR="00B5034D" w:rsidRDefault="00B5034D" w:rsidP="00B5034D">
                  <w:pPr>
                    <w:pStyle w:val="TableBodyText"/>
                    <w:spacing w:after="0"/>
                    <w:ind w:left="0" w:right="57"/>
                  </w:pPr>
                  <w:r>
                    <w:t>3.8</w:t>
                  </w:r>
                </w:p>
              </w:tc>
              <w:tc>
                <w:tcPr>
                  <w:tcW w:w="516" w:type="pct"/>
                  <w:vAlign w:val="bottom"/>
                </w:tcPr>
                <w:p w:rsidR="00B5034D" w:rsidRDefault="00B5034D" w:rsidP="00B5034D">
                  <w:pPr>
                    <w:pStyle w:val="TableBodyText"/>
                    <w:spacing w:after="0"/>
                    <w:ind w:left="0" w:right="57"/>
                  </w:pPr>
                  <w:r>
                    <w:t>5.0</w:t>
                  </w:r>
                </w:p>
              </w:tc>
              <w:tc>
                <w:tcPr>
                  <w:tcW w:w="516" w:type="pct"/>
                  <w:vAlign w:val="bottom"/>
                </w:tcPr>
                <w:p w:rsidR="00B5034D" w:rsidRDefault="00B5034D" w:rsidP="00B5034D">
                  <w:pPr>
                    <w:pStyle w:val="TableBodyText"/>
                    <w:spacing w:after="0"/>
                    <w:ind w:left="0" w:right="57"/>
                  </w:pPr>
                  <w:r>
                    <w:t>8.1</w:t>
                  </w:r>
                </w:p>
              </w:tc>
              <w:tc>
                <w:tcPr>
                  <w:tcW w:w="516" w:type="pct"/>
                  <w:vAlign w:val="bottom"/>
                </w:tcPr>
                <w:p w:rsidR="00B5034D" w:rsidRDefault="00B5034D" w:rsidP="00B5034D">
                  <w:pPr>
                    <w:pStyle w:val="TableBodyText"/>
                    <w:spacing w:after="0"/>
                    <w:ind w:left="0" w:right="57"/>
                  </w:pPr>
                  <w:r>
                    <w:t>0.6</w:t>
                  </w:r>
                </w:p>
              </w:tc>
              <w:tc>
                <w:tcPr>
                  <w:tcW w:w="516" w:type="pct"/>
                  <w:vAlign w:val="bottom"/>
                </w:tcPr>
                <w:p w:rsidR="00B5034D" w:rsidRDefault="00B5034D" w:rsidP="00B5034D">
                  <w:pPr>
                    <w:pStyle w:val="TableBodyText"/>
                    <w:spacing w:after="0"/>
                    <w:ind w:left="0" w:right="57"/>
                  </w:pPr>
                  <w:r>
                    <w:t>-2.5</w:t>
                  </w:r>
                </w:p>
              </w:tc>
              <w:tc>
                <w:tcPr>
                  <w:tcW w:w="516" w:type="pct"/>
                  <w:vAlign w:val="bottom"/>
                </w:tcPr>
                <w:p w:rsidR="00B5034D" w:rsidRDefault="00B5034D" w:rsidP="00B5034D">
                  <w:pPr>
                    <w:pStyle w:val="TableBodyText"/>
                    <w:spacing w:after="0"/>
                    <w:ind w:left="0" w:right="57"/>
                  </w:pPr>
                  <w:r>
                    <w:t>88.9</w:t>
                  </w:r>
                </w:p>
              </w:tc>
            </w:tr>
            <w:tr w:rsidR="00B5034D" w:rsidTr="00C058F9">
              <w:tc>
                <w:tcPr>
                  <w:tcW w:w="1903" w:type="pct"/>
                  <w:vAlign w:val="center"/>
                </w:tcPr>
                <w:p w:rsidR="00B5034D" w:rsidRDefault="00B5034D" w:rsidP="00B5034D">
                  <w:pPr>
                    <w:pStyle w:val="TableBodyText"/>
                    <w:spacing w:after="0"/>
                    <w:jc w:val="left"/>
                  </w:pPr>
                  <w:r>
                    <w:t>Information &amp; telecommunications</w:t>
                  </w:r>
                </w:p>
              </w:tc>
              <w:tc>
                <w:tcPr>
                  <w:tcW w:w="516" w:type="pct"/>
                  <w:vAlign w:val="bottom"/>
                </w:tcPr>
                <w:p w:rsidR="00B5034D" w:rsidRDefault="00B5034D" w:rsidP="00B5034D">
                  <w:pPr>
                    <w:pStyle w:val="TableBodyText"/>
                    <w:spacing w:after="0"/>
                    <w:ind w:left="0" w:right="57"/>
                  </w:pPr>
                  <w:r>
                    <w:t>0.5</w:t>
                  </w:r>
                </w:p>
              </w:tc>
              <w:tc>
                <w:tcPr>
                  <w:tcW w:w="516" w:type="pct"/>
                  <w:vAlign w:val="bottom"/>
                </w:tcPr>
                <w:p w:rsidR="00B5034D" w:rsidRDefault="00B5034D" w:rsidP="00B5034D">
                  <w:pPr>
                    <w:pStyle w:val="TableBodyText"/>
                    <w:spacing w:after="0"/>
                    <w:ind w:left="0" w:right="57"/>
                  </w:pPr>
                  <w:r>
                    <w:t>0.7</w:t>
                  </w:r>
                </w:p>
              </w:tc>
              <w:tc>
                <w:tcPr>
                  <w:tcW w:w="516" w:type="pct"/>
                  <w:vAlign w:val="bottom"/>
                </w:tcPr>
                <w:p w:rsidR="00B5034D" w:rsidRDefault="00B5034D" w:rsidP="00B5034D">
                  <w:pPr>
                    <w:pStyle w:val="TableBodyText"/>
                    <w:spacing w:after="0"/>
                    <w:ind w:left="0" w:right="57"/>
                  </w:pPr>
                  <w:r>
                    <w:t>1.1</w:t>
                  </w:r>
                </w:p>
              </w:tc>
              <w:tc>
                <w:tcPr>
                  <w:tcW w:w="516" w:type="pct"/>
                  <w:vAlign w:val="bottom"/>
                </w:tcPr>
                <w:p w:rsidR="00B5034D" w:rsidRDefault="00B5034D" w:rsidP="00B5034D">
                  <w:pPr>
                    <w:pStyle w:val="TableBodyText"/>
                    <w:spacing w:after="0"/>
                    <w:ind w:left="0" w:right="57"/>
                  </w:pPr>
                  <w:r>
                    <w:t>0.1</w:t>
                  </w:r>
                </w:p>
              </w:tc>
              <w:tc>
                <w:tcPr>
                  <w:tcW w:w="516" w:type="pct"/>
                  <w:vAlign w:val="bottom"/>
                </w:tcPr>
                <w:p w:rsidR="00B5034D" w:rsidRDefault="00B5034D" w:rsidP="00B5034D">
                  <w:pPr>
                    <w:pStyle w:val="TableBodyText"/>
                    <w:spacing w:after="0"/>
                    <w:ind w:left="0" w:right="57"/>
                  </w:pPr>
                  <w:r>
                    <w:t>-0.4</w:t>
                  </w:r>
                </w:p>
              </w:tc>
              <w:tc>
                <w:tcPr>
                  <w:tcW w:w="516" w:type="pct"/>
                  <w:vAlign w:val="bottom"/>
                </w:tcPr>
                <w:p w:rsidR="00B5034D" w:rsidRDefault="00B5034D" w:rsidP="00B5034D">
                  <w:pPr>
                    <w:pStyle w:val="TableBodyText"/>
                    <w:spacing w:after="0"/>
                    <w:ind w:left="0" w:right="57"/>
                  </w:pPr>
                  <w:r>
                    <w:t>12.4</w:t>
                  </w:r>
                </w:p>
              </w:tc>
            </w:tr>
            <w:tr w:rsidR="00B5034D" w:rsidTr="00C058F9">
              <w:tc>
                <w:tcPr>
                  <w:tcW w:w="1903" w:type="pct"/>
                  <w:vAlign w:val="center"/>
                </w:tcPr>
                <w:p w:rsidR="00B5034D" w:rsidRDefault="00B5034D" w:rsidP="00B5034D">
                  <w:pPr>
                    <w:pStyle w:val="TableBodyText"/>
                    <w:spacing w:after="0"/>
                    <w:jc w:val="left"/>
                  </w:pPr>
                  <w:r>
                    <w:t>Financial and insurance services</w:t>
                  </w:r>
                </w:p>
              </w:tc>
              <w:tc>
                <w:tcPr>
                  <w:tcW w:w="516" w:type="pct"/>
                  <w:vAlign w:val="bottom"/>
                </w:tcPr>
                <w:p w:rsidR="00B5034D" w:rsidRDefault="00B5034D" w:rsidP="00B5034D">
                  <w:pPr>
                    <w:pStyle w:val="TableBodyText"/>
                    <w:spacing w:after="0"/>
                    <w:ind w:left="0" w:right="57"/>
                  </w:pPr>
                  <w:r>
                    <w:t>4.7</w:t>
                  </w:r>
                </w:p>
              </w:tc>
              <w:tc>
                <w:tcPr>
                  <w:tcW w:w="516" w:type="pct"/>
                  <w:vAlign w:val="bottom"/>
                </w:tcPr>
                <w:p w:rsidR="00B5034D" w:rsidRDefault="00B5034D" w:rsidP="00B5034D">
                  <w:pPr>
                    <w:pStyle w:val="TableBodyText"/>
                    <w:spacing w:after="0"/>
                    <w:ind w:left="0" w:right="57"/>
                  </w:pPr>
                  <w:r>
                    <w:t>6.3</w:t>
                  </w:r>
                </w:p>
              </w:tc>
              <w:tc>
                <w:tcPr>
                  <w:tcW w:w="516" w:type="pct"/>
                  <w:vAlign w:val="bottom"/>
                </w:tcPr>
                <w:p w:rsidR="00B5034D" w:rsidRDefault="00B5034D" w:rsidP="00B5034D">
                  <w:pPr>
                    <w:pStyle w:val="TableBodyText"/>
                    <w:spacing w:after="0"/>
                    <w:ind w:left="0" w:right="57"/>
                  </w:pPr>
                  <w:r>
                    <w:t>10.3</w:t>
                  </w:r>
                </w:p>
              </w:tc>
              <w:tc>
                <w:tcPr>
                  <w:tcW w:w="516" w:type="pct"/>
                  <w:vAlign w:val="bottom"/>
                </w:tcPr>
                <w:p w:rsidR="00B5034D" w:rsidRDefault="00B5034D" w:rsidP="00B5034D">
                  <w:pPr>
                    <w:pStyle w:val="TableBodyText"/>
                    <w:spacing w:after="0"/>
                    <w:ind w:left="0" w:right="57"/>
                  </w:pPr>
                  <w:r>
                    <w:t>0.8</w:t>
                  </w:r>
                </w:p>
              </w:tc>
              <w:tc>
                <w:tcPr>
                  <w:tcW w:w="516" w:type="pct"/>
                  <w:vAlign w:val="bottom"/>
                </w:tcPr>
                <w:p w:rsidR="00B5034D" w:rsidRDefault="00B5034D" w:rsidP="00B5034D">
                  <w:pPr>
                    <w:pStyle w:val="TableBodyText"/>
                    <w:spacing w:after="0"/>
                    <w:ind w:left="0" w:right="57"/>
                  </w:pPr>
                  <w:r>
                    <w:t>-3.2</w:t>
                  </w:r>
                </w:p>
              </w:tc>
              <w:tc>
                <w:tcPr>
                  <w:tcW w:w="516" w:type="pct"/>
                  <w:vAlign w:val="bottom"/>
                </w:tcPr>
                <w:p w:rsidR="00B5034D" w:rsidRDefault="00B5034D" w:rsidP="00B5034D">
                  <w:pPr>
                    <w:pStyle w:val="TableBodyText"/>
                    <w:spacing w:after="0"/>
                    <w:ind w:left="0" w:right="57"/>
                  </w:pPr>
                  <w:r>
                    <w:t>112.3</w:t>
                  </w:r>
                </w:p>
              </w:tc>
            </w:tr>
            <w:tr w:rsidR="00B5034D" w:rsidTr="00C058F9">
              <w:tc>
                <w:tcPr>
                  <w:tcW w:w="1903" w:type="pct"/>
                  <w:vAlign w:val="center"/>
                </w:tcPr>
                <w:p w:rsidR="00B5034D" w:rsidRDefault="00B5034D" w:rsidP="00B5034D">
                  <w:pPr>
                    <w:pStyle w:val="TableBodyText"/>
                    <w:spacing w:after="0"/>
                    <w:jc w:val="left"/>
                  </w:pPr>
                  <w:r>
                    <w:t>Property, professional &amp; admin.</w:t>
                  </w:r>
                </w:p>
              </w:tc>
              <w:tc>
                <w:tcPr>
                  <w:tcW w:w="516" w:type="pct"/>
                  <w:vAlign w:val="bottom"/>
                </w:tcPr>
                <w:p w:rsidR="00B5034D" w:rsidRDefault="00B5034D" w:rsidP="00B5034D">
                  <w:pPr>
                    <w:pStyle w:val="TableBodyText"/>
                    <w:spacing w:after="0"/>
                    <w:ind w:left="0" w:right="57"/>
                  </w:pPr>
                  <w:r>
                    <w:t>16.0</w:t>
                  </w:r>
                </w:p>
              </w:tc>
              <w:tc>
                <w:tcPr>
                  <w:tcW w:w="516" w:type="pct"/>
                  <w:vAlign w:val="bottom"/>
                </w:tcPr>
                <w:p w:rsidR="00B5034D" w:rsidRDefault="00B5034D" w:rsidP="00B5034D">
                  <w:pPr>
                    <w:pStyle w:val="TableBodyText"/>
                    <w:spacing w:after="0"/>
                    <w:ind w:left="0" w:right="57"/>
                  </w:pPr>
                  <w:r>
                    <w:t>21.3</w:t>
                  </w:r>
                </w:p>
              </w:tc>
              <w:tc>
                <w:tcPr>
                  <w:tcW w:w="516" w:type="pct"/>
                  <w:vAlign w:val="bottom"/>
                </w:tcPr>
                <w:p w:rsidR="00B5034D" w:rsidRDefault="00B5034D" w:rsidP="00B5034D">
                  <w:pPr>
                    <w:pStyle w:val="TableBodyText"/>
                    <w:spacing w:after="0"/>
                    <w:ind w:left="0" w:right="57"/>
                  </w:pPr>
                  <w:r>
                    <w:t>34.7</w:t>
                  </w:r>
                </w:p>
              </w:tc>
              <w:tc>
                <w:tcPr>
                  <w:tcW w:w="516" w:type="pct"/>
                  <w:vAlign w:val="bottom"/>
                </w:tcPr>
                <w:p w:rsidR="00B5034D" w:rsidRDefault="00B5034D" w:rsidP="00B5034D">
                  <w:pPr>
                    <w:pStyle w:val="TableBodyText"/>
                    <w:spacing w:after="0"/>
                    <w:ind w:left="0" w:right="57"/>
                  </w:pPr>
                  <w:r>
                    <w:t>2.7</w:t>
                  </w:r>
                </w:p>
              </w:tc>
              <w:tc>
                <w:tcPr>
                  <w:tcW w:w="516" w:type="pct"/>
                  <w:vAlign w:val="bottom"/>
                </w:tcPr>
                <w:p w:rsidR="00B5034D" w:rsidRDefault="00B5034D" w:rsidP="00B5034D">
                  <w:pPr>
                    <w:pStyle w:val="TableBodyText"/>
                    <w:spacing w:after="0"/>
                    <w:ind w:left="0" w:right="57"/>
                  </w:pPr>
                  <w:r>
                    <w:t>-10.7</w:t>
                  </w:r>
                </w:p>
              </w:tc>
              <w:tc>
                <w:tcPr>
                  <w:tcW w:w="516" w:type="pct"/>
                  <w:vAlign w:val="bottom"/>
                </w:tcPr>
                <w:p w:rsidR="00B5034D" w:rsidRDefault="00B5034D" w:rsidP="00B5034D">
                  <w:pPr>
                    <w:pStyle w:val="TableBodyText"/>
                    <w:spacing w:after="0"/>
                    <w:ind w:left="0" w:right="57"/>
                  </w:pPr>
                  <w:r>
                    <w:t>378.8</w:t>
                  </w:r>
                </w:p>
              </w:tc>
            </w:tr>
            <w:tr w:rsidR="00B5034D" w:rsidTr="00C058F9">
              <w:tc>
                <w:tcPr>
                  <w:tcW w:w="1903" w:type="pct"/>
                  <w:vAlign w:val="center"/>
                </w:tcPr>
                <w:p w:rsidR="00B5034D" w:rsidRDefault="00B5034D" w:rsidP="00B5034D">
                  <w:pPr>
                    <w:pStyle w:val="TableBodyText"/>
                    <w:spacing w:after="0"/>
                    <w:jc w:val="left"/>
                  </w:pPr>
                  <w:r>
                    <w:t>Public administration and safety</w:t>
                  </w:r>
                </w:p>
              </w:tc>
              <w:tc>
                <w:tcPr>
                  <w:tcW w:w="516" w:type="pct"/>
                  <w:vAlign w:val="bottom"/>
                </w:tcPr>
                <w:p w:rsidR="00B5034D" w:rsidRDefault="00B5034D" w:rsidP="00B5034D">
                  <w:pPr>
                    <w:pStyle w:val="TableBodyText"/>
                    <w:spacing w:after="0"/>
                    <w:ind w:left="0" w:right="57"/>
                  </w:pPr>
                  <w:r>
                    <w:t>0.2</w:t>
                  </w:r>
                </w:p>
              </w:tc>
              <w:tc>
                <w:tcPr>
                  <w:tcW w:w="516" w:type="pct"/>
                  <w:vAlign w:val="bottom"/>
                </w:tcPr>
                <w:p w:rsidR="00B5034D" w:rsidRDefault="00B5034D" w:rsidP="00B5034D">
                  <w:pPr>
                    <w:pStyle w:val="TableBodyText"/>
                    <w:spacing w:after="0"/>
                    <w:ind w:left="0" w:right="57"/>
                  </w:pPr>
                  <w:r>
                    <w:t>0.3</w:t>
                  </w:r>
                </w:p>
              </w:tc>
              <w:tc>
                <w:tcPr>
                  <w:tcW w:w="516" w:type="pct"/>
                  <w:vAlign w:val="bottom"/>
                </w:tcPr>
                <w:p w:rsidR="00B5034D" w:rsidRDefault="00B5034D" w:rsidP="00B5034D">
                  <w:pPr>
                    <w:pStyle w:val="TableBodyText"/>
                    <w:spacing w:after="0"/>
                    <w:ind w:left="0" w:right="57"/>
                  </w:pPr>
                  <w:r>
                    <w:t>0.5</w:t>
                  </w:r>
                </w:p>
              </w:tc>
              <w:tc>
                <w:tcPr>
                  <w:tcW w:w="516" w:type="pct"/>
                  <w:vAlign w:val="bottom"/>
                </w:tcPr>
                <w:p w:rsidR="00B5034D" w:rsidRDefault="00B5034D" w:rsidP="00B5034D">
                  <w:pPr>
                    <w:pStyle w:val="TableBodyText"/>
                    <w:spacing w:after="0"/>
                    <w:ind w:left="0" w:right="57"/>
                  </w:pPr>
                  <w:r>
                    <w:t>&lt;0.1</w:t>
                  </w:r>
                </w:p>
              </w:tc>
              <w:tc>
                <w:tcPr>
                  <w:tcW w:w="516" w:type="pct"/>
                  <w:vAlign w:val="bottom"/>
                </w:tcPr>
                <w:p w:rsidR="00B5034D" w:rsidRDefault="00B5034D" w:rsidP="00B5034D">
                  <w:pPr>
                    <w:pStyle w:val="TableBodyText"/>
                    <w:spacing w:after="0"/>
                    <w:ind w:left="0" w:right="57"/>
                  </w:pPr>
                  <w:r>
                    <w:t>-0.1</w:t>
                  </w:r>
                </w:p>
              </w:tc>
              <w:tc>
                <w:tcPr>
                  <w:tcW w:w="516" w:type="pct"/>
                  <w:vAlign w:val="bottom"/>
                </w:tcPr>
                <w:p w:rsidR="00B5034D" w:rsidRDefault="00B5034D" w:rsidP="00B5034D">
                  <w:pPr>
                    <w:pStyle w:val="TableBodyText"/>
                    <w:spacing w:after="0"/>
                    <w:ind w:left="0" w:right="57"/>
                  </w:pPr>
                  <w:r>
                    <w:t>5.1</w:t>
                  </w:r>
                </w:p>
              </w:tc>
            </w:tr>
            <w:tr w:rsidR="00B5034D" w:rsidTr="00C058F9">
              <w:tc>
                <w:tcPr>
                  <w:tcW w:w="1903" w:type="pct"/>
                  <w:vAlign w:val="center"/>
                </w:tcPr>
                <w:p w:rsidR="00B5034D" w:rsidRDefault="00B5034D" w:rsidP="00B5034D">
                  <w:pPr>
                    <w:pStyle w:val="TableBodyText"/>
                    <w:spacing w:after="0"/>
                    <w:jc w:val="left"/>
                  </w:pPr>
                  <w:r>
                    <w:t>Education and training</w:t>
                  </w:r>
                </w:p>
              </w:tc>
              <w:tc>
                <w:tcPr>
                  <w:tcW w:w="516" w:type="pct"/>
                  <w:vAlign w:val="bottom"/>
                </w:tcPr>
                <w:p w:rsidR="00B5034D" w:rsidRDefault="00B5034D" w:rsidP="00B5034D">
                  <w:pPr>
                    <w:pStyle w:val="TableBodyText"/>
                    <w:spacing w:after="0"/>
                    <w:ind w:left="0" w:right="57"/>
                  </w:pPr>
                  <w:r>
                    <w:t>0.7</w:t>
                  </w:r>
                </w:p>
              </w:tc>
              <w:tc>
                <w:tcPr>
                  <w:tcW w:w="516" w:type="pct"/>
                  <w:vAlign w:val="bottom"/>
                </w:tcPr>
                <w:p w:rsidR="00B5034D" w:rsidRDefault="00B5034D" w:rsidP="00B5034D">
                  <w:pPr>
                    <w:pStyle w:val="TableBodyText"/>
                    <w:spacing w:after="0"/>
                    <w:ind w:left="0" w:right="57"/>
                  </w:pPr>
                  <w:r>
                    <w:t>1.0</w:t>
                  </w:r>
                </w:p>
              </w:tc>
              <w:tc>
                <w:tcPr>
                  <w:tcW w:w="516" w:type="pct"/>
                  <w:vAlign w:val="bottom"/>
                </w:tcPr>
                <w:p w:rsidR="00B5034D" w:rsidRDefault="00B5034D" w:rsidP="00B5034D">
                  <w:pPr>
                    <w:pStyle w:val="TableBodyText"/>
                    <w:spacing w:after="0"/>
                    <w:ind w:left="0" w:right="57"/>
                  </w:pPr>
                  <w:r>
                    <w:t>1.6</w:t>
                  </w:r>
                </w:p>
              </w:tc>
              <w:tc>
                <w:tcPr>
                  <w:tcW w:w="516" w:type="pct"/>
                  <w:vAlign w:val="bottom"/>
                </w:tcPr>
                <w:p w:rsidR="00B5034D" w:rsidRDefault="00B5034D" w:rsidP="00B5034D">
                  <w:pPr>
                    <w:pStyle w:val="TableBodyText"/>
                    <w:spacing w:after="0"/>
                    <w:ind w:left="0" w:right="57"/>
                  </w:pPr>
                  <w:r>
                    <w:t>0.1</w:t>
                  </w:r>
                </w:p>
              </w:tc>
              <w:tc>
                <w:tcPr>
                  <w:tcW w:w="516" w:type="pct"/>
                  <w:vAlign w:val="bottom"/>
                </w:tcPr>
                <w:p w:rsidR="00B5034D" w:rsidRDefault="00B5034D" w:rsidP="00B5034D">
                  <w:pPr>
                    <w:pStyle w:val="TableBodyText"/>
                    <w:spacing w:after="0"/>
                    <w:ind w:left="0" w:right="57"/>
                  </w:pPr>
                  <w:r>
                    <w:t>-0.5</w:t>
                  </w:r>
                </w:p>
              </w:tc>
              <w:tc>
                <w:tcPr>
                  <w:tcW w:w="516" w:type="pct"/>
                  <w:vAlign w:val="bottom"/>
                </w:tcPr>
                <w:p w:rsidR="00B5034D" w:rsidRDefault="00B5034D" w:rsidP="00B5034D">
                  <w:pPr>
                    <w:pStyle w:val="TableBodyText"/>
                    <w:spacing w:after="0"/>
                    <w:ind w:left="0" w:right="57"/>
                  </w:pPr>
                  <w:r>
                    <w:t>17.6</w:t>
                  </w:r>
                </w:p>
              </w:tc>
            </w:tr>
            <w:tr w:rsidR="00B5034D" w:rsidTr="00C058F9">
              <w:tc>
                <w:tcPr>
                  <w:tcW w:w="1903" w:type="pct"/>
                  <w:vAlign w:val="center"/>
                </w:tcPr>
                <w:p w:rsidR="00B5034D" w:rsidRDefault="00B5034D" w:rsidP="00B5034D">
                  <w:pPr>
                    <w:pStyle w:val="TableBodyText"/>
                    <w:spacing w:after="0"/>
                    <w:jc w:val="left"/>
                  </w:pPr>
                  <w:r>
                    <w:t>Health care and social assistance</w:t>
                  </w:r>
                </w:p>
              </w:tc>
              <w:tc>
                <w:tcPr>
                  <w:tcW w:w="516" w:type="pct"/>
                  <w:vAlign w:val="bottom"/>
                </w:tcPr>
                <w:p w:rsidR="00B5034D" w:rsidRDefault="00B5034D" w:rsidP="00B5034D">
                  <w:pPr>
                    <w:pStyle w:val="TableBodyText"/>
                    <w:spacing w:after="0"/>
                    <w:ind w:left="0" w:right="57"/>
                  </w:pPr>
                  <w:r>
                    <w:t>3.0</w:t>
                  </w:r>
                </w:p>
              </w:tc>
              <w:tc>
                <w:tcPr>
                  <w:tcW w:w="516" w:type="pct"/>
                  <w:vAlign w:val="bottom"/>
                </w:tcPr>
                <w:p w:rsidR="00B5034D" w:rsidRDefault="00B5034D" w:rsidP="00B5034D">
                  <w:pPr>
                    <w:pStyle w:val="TableBodyText"/>
                    <w:spacing w:after="0"/>
                    <w:ind w:left="0" w:right="57"/>
                  </w:pPr>
                  <w:r>
                    <w:t>3.9</w:t>
                  </w:r>
                </w:p>
              </w:tc>
              <w:tc>
                <w:tcPr>
                  <w:tcW w:w="516" w:type="pct"/>
                  <w:vAlign w:val="bottom"/>
                </w:tcPr>
                <w:p w:rsidR="00B5034D" w:rsidRDefault="00B5034D" w:rsidP="00B5034D">
                  <w:pPr>
                    <w:pStyle w:val="TableBodyText"/>
                    <w:spacing w:after="0"/>
                    <w:ind w:left="0" w:right="57"/>
                  </w:pPr>
                  <w:r>
                    <w:t>6.4</w:t>
                  </w:r>
                </w:p>
              </w:tc>
              <w:tc>
                <w:tcPr>
                  <w:tcW w:w="516" w:type="pct"/>
                  <w:vAlign w:val="bottom"/>
                </w:tcPr>
                <w:p w:rsidR="00B5034D" w:rsidRDefault="00B5034D" w:rsidP="00B5034D">
                  <w:pPr>
                    <w:pStyle w:val="TableBodyText"/>
                    <w:spacing w:after="0"/>
                    <w:ind w:left="0" w:right="57"/>
                  </w:pPr>
                  <w:r>
                    <w:t>0.5</w:t>
                  </w:r>
                </w:p>
              </w:tc>
              <w:tc>
                <w:tcPr>
                  <w:tcW w:w="516" w:type="pct"/>
                  <w:vAlign w:val="bottom"/>
                </w:tcPr>
                <w:p w:rsidR="00B5034D" w:rsidRDefault="00B5034D" w:rsidP="00B5034D">
                  <w:pPr>
                    <w:pStyle w:val="TableBodyText"/>
                    <w:spacing w:after="0"/>
                    <w:ind w:left="0" w:right="57"/>
                  </w:pPr>
                  <w:r>
                    <w:t>-2.0</w:t>
                  </w:r>
                </w:p>
              </w:tc>
              <w:tc>
                <w:tcPr>
                  <w:tcW w:w="516" w:type="pct"/>
                  <w:vAlign w:val="bottom"/>
                </w:tcPr>
                <w:p w:rsidR="00B5034D" w:rsidRDefault="00B5034D" w:rsidP="00B5034D">
                  <w:pPr>
                    <w:pStyle w:val="TableBodyText"/>
                    <w:spacing w:after="0"/>
                    <w:ind w:left="0" w:right="57"/>
                  </w:pPr>
                  <w:r>
                    <w:t>69.9</w:t>
                  </w:r>
                </w:p>
              </w:tc>
            </w:tr>
            <w:tr w:rsidR="00B5034D" w:rsidTr="00C058F9">
              <w:tc>
                <w:tcPr>
                  <w:tcW w:w="1903" w:type="pct"/>
                  <w:vAlign w:val="center"/>
                </w:tcPr>
                <w:p w:rsidR="00B5034D" w:rsidRDefault="00B5034D" w:rsidP="00B5034D">
                  <w:pPr>
                    <w:pStyle w:val="TableBodyText"/>
                    <w:spacing w:after="0"/>
                    <w:jc w:val="left"/>
                  </w:pPr>
                  <w:r>
                    <w:t>Arts and recreation services</w:t>
                  </w:r>
                </w:p>
              </w:tc>
              <w:tc>
                <w:tcPr>
                  <w:tcW w:w="516" w:type="pct"/>
                  <w:vAlign w:val="bottom"/>
                </w:tcPr>
                <w:p w:rsidR="00B5034D" w:rsidRDefault="00B5034D" w:rsidP="00B5034D">
                  <w:pPr>
                    <w:pStyle w:val="TableBodyText"/>
                    <w:spacing w:after="0"/>
                    <w:ind w:left="0" w:right="57"/>
                  </w:pPr>
                  <w:r>
                    <w:t>0.8</w:t>
                  </w:r>
                </w:p>
              </w:tc>
              <w:tc>
                <w:tcPr>
                  <w:tcW w:w="516" w:type="pct"/>
                  <w:vAlign w:val="bottom"/>
                </w:tcPr>
                <w:p w:rsidR="00B5034D" w:rsidRDefault="00B5034D" w:rsidP="00B5034D">
                  <w:pPr>
                    <w:pStyle w:val="TableBodyText"/>
                    <w:spacing w:after="0"/>
                    <w:ind w:left="0" w:right="57"/>
                  </w:pPr>
                  <w:r>
                    <w:t>1.1</w:t>
                  </w:r>
                </w:p>
              </w:tc>
              <w:tc>
                <w:tcPr>
                  <w:tcW w:w="516" w:type="pct"/>
                  <w:vAlign w:val="bottom"/>
                </w:tcPr>
                <w:p w:rsidR="00B5034D" w:rsidRDefault="00B5034D" w:rsidP="00B5034D">
                  <w:pPr>
                    <w:pStyle w:val="TableBodyText"/>
                    <w:spacing w:after="0"/>
                    <w:ind w:left="0" w:right="57"/>
                  </w:pPr>
                  <w:r>
                    <w:t>1.7</w:t>
                  </w:r>
                </w:p>
              </w:tc>
              <w:tc>
                <w:tcPr>
                  <w:tcW w:w="516" w:type="pct"/>
                  <w:vAlign w:val="bottom"/>
                </w:tcPr>
                <w:p w:rsidR="00B5034D" w:rsidRDefault="00B5034D" w:rsidP="00B5034D">
                  <w:pPr>
                    <w:pStyle w:val="TableBodyText"/>
                    <w:spacing w:after="0"/>
                    <w:ind w:left="0" w:right="57"/>
                  </w:pPr>
                  <w:r>
                    <w:t>0.1</w:t>
                  </w:r>
                </w:p>
              </w:tc>
              <w:tc>
                <w:tcPr>
                  <w:tcW w:w="516" w:type="pct"/>
                  <w:vAlign w:val="bottom"/>
                </w:tcPr>
                <w:p w:rsidR="00B5034D" w:rsidRDefault="00B5034D" w:rsidP="00B5034D">
                  <w:pPr>
                    <w:pStyle w:val="TableBodyText"/>
                    <w:spacing w:after="0"/>
                    <w:ind w:left="0" w:right="57"/>
                  </w:pPr>
                  <w:r>
                    <w:t>-0.5</w:t>
                  </w:r>
                </w:p>
              </w:tc>
              <w:tc>
                <w:tcPr>
                  <w:tcW w:w="516" w:type="pct"/>
                  <w:vAlign w:val="bottom"/>
                </w:tcPr>
                <w:p w:rsidR="00B5034D" w:rsidRDefault="00B5034D" w:rsidP="00B5034D">
                  <w:pPr>
                    <w:pStyle w:val="TableBodyText"/>
                    <w:spacing w:after="0"/>
                    <w:ind w:left="0" w:right="57"/>
                  </w:pPr>
                  <w:r>
                    <w:t>18.9</w:t>
                  </w:r>
                </w:p>
              </w:tc>
            </w:tr>
            <w:tr w:rsidR="00B5034D" w:rsidTr="00C058F9">
              <w:tc>
                <w:tcPr>
                  <w:tcW w:w="1903" w:type="pct"/>
                  <w:vAlign w:val="center"/>
                </w:tcPr>
                <w:p w:rsidR="00B5034D" w:rsidRDefault="00B5034D" w:rsidP="00B5034D">
                  <w:pPr>
                    <w:pStyle w:val="TableBodyText"/>
                    <w:spacing w:after="0"/>
                    <w:jc w:val="left"/>
                  </w:pPr>
                  <w:r>
                    <w:t>Other services</w:t>
                  </w:r>
                </w:p>
              </w:tc>
              <w:tc>
                <w:tcPr>
                  <w:tcW w:w="516" w:type="pct"/>
                  <w:vAlign w:val="bottom"/>
                </w:tcPr>
                <w:p w:rsidR="00B5034D" w:rsidRDefault="00B5034D" w:rsidP="00B5034D">
                  <w:pPr>
                    <w:pStyle w:val="TableBodyText"/>
                    <w:spacing w:after="0"/>
                    <w:ind w:left="0" w:right="57"/>
                  </w:pPr>
                  <w:r>
                    <w:t>2.6</w:t>
                  </w:r>
                </w:p>
              </w:tc>
              <w:tc>
                <w:tcPr>
                  <w:tcW w:w="516" w:type="pct"/>
                  <w:vAlign w:val="bottom"/>
                </w:tcPr>
                <w:p w:rsidR="00B5034D" w:rsidRDefault="00B5034D" w:rsidP="00B5034D">
                  <w:pPr>
                    <w:pStyle w:val="TableBodyText"/>
                    <w:spacing w:after="0"/>
                    <w:ind w:left="0" w:right="57"/>
                  </w:pPr>
                  <w:r>
                    <w:t>3.4</w:t>
                  </w:r>
                </w:p>
              </w:tc>
              <w:tc>
                <w:tcPr>
                  <w:tcW w:w="516" w:type="pct"/>
                  <w:vAlign w:val="bottom"/>
                </w:tcPr>
                <w:p w:rsidR="00B5034D" w:rsidRDefault="00B5034D" w:rsidP="00B5034D">
                  <w:pPr>
                    <w:pStyle w:val="TableBodyText"/>
                    <w:spacing w:after="0"/>
                    <w:ind w:left="0" w:right="57"/>
                  </w:pPr>
                  <w:r>
                    <w:t>5.6</w:t>
                  </w:r>
                </w:p>
              </w:tc>
              <w:tc>
                <w:tcPr>
                  <w:tcW w:w="516" w:type="pct"/>
                  <w:vAlign w:val="bottom"/>
                </w:tcPr>
                <w:p w:rsidR="00B5034D" w:rsidRDefault="00B5034D" w:rsidP="00B5034D">
                  <w:pPr>
                    <w:pStyle w:val="TableBodyText"/>
                    <w:spacing w:after="0"/>
                    <w:ind w:left="0" w:right="57"/>
                  </w:pPr>
                  <w:r>
                    <w:t>0.4</w:t>
                  </w:r>
                </w:p>
              </w:tc>
              <w:tc>
                <w:tcPr>
                  <w:tcW w:w="516" w:type="pct"/>
                  <w:vAlign w:val="bottom"/>
                </w:tcPr>
                <w:p w:rsidR="00B5034D" w:rsidRDefault="00B5034D" w:rsidP="00B5034D">
                  <w:pPr>
                    <w:pStyle w:val="TableBodyText"/>
                    <w:spacing w:after="0"/>
                    <w:ind w:left="0" w:right="57"/>
                  </w:pPr>
                  <w:r>
                    <w:t>-1.7</w:t>
                  </w:r>
                </w:p>
              </w:tc>
              <w:tc>
                <w:tcPr>
                  <w:tcW w:w="516" w:type="pct"/>
                  <w:vAlign w:val="bottom"/>
                </w:tcPr>
                <w:p w:rsidR="00B5034D" w:rsidRDefault="00B5034D" w:rsidP="00B5034D">
                  <w:pPr>
                    <w:pStyle w:val="TableBodyText"/>
                    <w:spacing w:after="0"/>
                    <w:ind w:left="0" w:right="57"/>
                  </w:pPr>
                  <w:r>
                    <w:t>61.2</w:t>
                  </w:r>
                </w:p>
              </w:tc>
            </w:tr>
            <w:tr w:rsidR="00B5034D" w:rsidRPr="00BF7BF0" w:rsidTr="00C058F9">
              <w:tc>
                <w:tcPr>
                  <w:tcW w:w="1903" w:type="pct"/>
                  <w:vAlign w:val="center"/>
                </w:tcPr>
                <w:p w:rsidR="00B5034D" w:rsidRPr="00BF7BF0" w:rsidRDefault="00B5034D" w:rsidP="00B5034D">
                  <w:pPr>
                    <w:pStyle w:val="TableBodyText"/>
                    <w:jc w:val="left"/>
                    <w:rPr>
                      <w:b/>
                      <w:bCs/>
                    </w:rPr>
                  </w:pPr>
                  <w:r w:rsidRPr="00BF7BF0">
                    <w:rPr>
                      <w:b/>
                      <w:bCs/>
                    </w:rPr>
                    <w:t>Unallocated other</w:t>
                  </w:r>
                  <w:r w:rsidRPr="00BF7BF0">
                    <w:rPr>
                      <w:b/>
                      <w:bCs/>
                      <w:sz w:val="26"/>
                      <w:szCs w:val="26"/>
                      <w:vertAlign w:val="superscript"/>
                    </w:rPr>
                    <w:t>a</w:t>
                  </w:r>
                </w:p>
              </w:tc>
              <w:tc>
                <w:tcPr>
                  <w:tcW w:w="516" w:type="pct"/>
                  <w:vAlign w:val="bottom"/>
                </w:tcPr>
                <w:p w:rsidR="00B5034D" w:rsidRPr="00BF7BF0" w:rsidRDefault="00B5034D" w:rsidP="00BF7BF0">
                  <w:pPr>
                    <w:pStyle w:val="TableBodyText"/>
                    <w:spacing w:after="20"/>
                    <w:ind w:left="0" w:right="57"/>
                    <w:rPr>
                      <w:b/>
                    </w:rPr>
                  </w:pPr>
                  <w:r w:rsidRPr="00BF7BF0">
                    <w:rPr>
                      <w:b/>
                    </w:rPr>
                    <w:t>1.6</w:t>
                  </w:r>
                </w:p>
              </w:tc>
              <w:tc>
                <w:tcPr>
                  <w:tcW w:w="516" w:type="pct"/>
                  <w:vAlign w:val="bottom"/>
                </w:tcPr>
                <w:p w:rsidR="00B5034D" w:rsidRPr="00BF7BF0" w:rsidRDefault="00B5034D" w:rsidP="00BF7BF0">
                  <w:pPr>
                    <w:pStyle w:val="TableBodyText"/>
                    <w:spacing w:after="20"/>
                    <w:ind w:left="0" w:right="57"/>
                    <w:rPr>
                      <w:b/>
                    </w:rPr>
                  </w:pPr>
                  <w:r w:rsidRPr="00BF7BF0">
                    <w:rPr>
                      <w:b/>
                    </w:rPr>
                    <w:t>2.1</w:t>
                  </w:r>
                </w:p>
              </w:tc>
              <w:tc>
                <w:tcPr>
                  <w:tcW w:w="516" w:type="pct"/>
                  <w:vAlign w:val="bottom"/>
                </w:tcPr>
                <w:p w:rsidR="00B5034D" w:rsidRPr="00BF7BF0" w:rsidRDefault="00B5034D" w:rsidP="00BF7BF0">
                  <w:pPr>
                    <w:pStyle w:val="TableBodyText"/>
                    <w:spacing w:after="20"/>
                    <w:ind w:left="0" w:right="57"/>
                    <w:rPr>
                      <w:b/>
                    </w:rPr>
                  </w:pPr>
                  <w:r w:rsidRPr="00BF7BF0">
                    <w:rPr>
                      <w:b/>
                    </w:rPr>
                    <w:t>3.5</w:t>
                  </w:r>
                </w:p>
              </w:tc>
              <w:tc>
                <w:tcPr>
                  <w:tcW w:w="516" w:type="pct"/>
                  <w:vAlign w:val="bottom"/>
                </w:tcPr>
                <w:p w:rsidR="00B5034D" w:rsidRPr="00BF7BF0" w:rsidRDefault="00B5034D" w:rsidP="00BF7BF0">
                  <w:pPr>
                    <w:pStyle w:val="TableBodyText"/>
                    <w:spacing w:after="20"/>
                    <w:ind w:left="0" w:right="57"/>
                    <w:rPr>
                      <w:b/>
                    </w:rPr>
                  </w:pPr>
                  <w:r w:rsidRPr="00BF7BF0">
                    <w:rPr>
                      <w:b/>
                    </w:rPr>
                    <w:t>0.3</w:t>
                  </w:r>
                </w:p>
              </w:tc>
              <w:tc>
                <w:tcPr>
                  <w:tcW w:w="516" w:type="pct"/>
                  <w:vAlign w:val="bottom"/>
                </w:tcPr>
                <w:p w:rsidR="00B5034D" w:rsidRPr="00BF7BF0" w:rsidRDefault="00B5034D" w:rsidP="00BF7BF0">
                  <w:pPr>
                    <w:pStyle w:val="TableBodyText"/>
                    <w:spacing w:after="20"/>
                    <w:ind w:left="0" w:right="57"/>
                    <w:rPr>
                      <w:b/>
                    </w:rPr>
                  </w:pPr>
                  <w:r w:rsidRPr="00BF7BF0">
                    <w:rPr>
                      <w:b/>
                    </w:rPr>
                    <w:t>-1.1</w:t>
                  </w:r>
                </w:p>
              </w:tc>
              <w:tc>
                <w:tcPr>
                  <w:tcW w:w="516" w:type="pct"/>
                  <w:vAlign w:val="bottom"/>
                </w:tcPr>
                <w:p w:rsidR="00B5034D" w:rsidRPr="00BF7BF0" w:rsidRDefault="00B5034D" w:rsidP="00BF7BF0">
                  <w:pPr>
                    <w:pStyle w:val="TableBodyText"/>
                    <w:spacing w:after="20"/>
                    <w:ind w:left="0" w:right="57"/>
                    <w:rPr>
                      <w:b/>
                    </w:rPr>
                  </w:pPr>
                  <w:r w:rsidRPr="00BF7BF0">
                    <w:rPr>
                      <w:b/>
                    </w:rPr>
                    <w:t>38.0</w:t>
                  </w:r>
                </w:p>
              </w:tc>
            </w:tr>
            <w:tr w:rsidR="00B5034D" w:rsidRPr="00BF7BF0" w:rsidTr="00C058F9">
              <w:tc>
                <w:tcPr>
                  <w:tcW w:w="1903" w:type="pct"/>
                  <w:tcBorders>
                    <w:bottom w:val="single" w:sz="6" w:space="0" w:color="BFBFBF"/>
                  </w:tcBorders>
                  <w:shd w:val="clear" w:color="auto" w:fill="auto"/>
                  <w:vAlign w:val="center"/>
                </w:tcPr>
                <w:p w:rsidR="00B5034D" w:rsidRPr="00BF7BF0" w:rsidRDefault="00B5034D" w:rsidP="00BF7BF0">
                  <w:pPr>
                    <w:pStyle w:val="TableBodyText"/>
                    <w:spacing w:before="40"/>
                    <w:jc w:val="left"/>
                    <w:rPr>
                      <w:b/>
                      <w:bCs/>
                    </w:rPr>
                  </w:pPr>
                  <w:r w:rsidRPr="00BF7BF0">
                    <w:rPr>
                      <w:b/>
                      <w:bCs/>
                    </w:rPr>
                    <w:t>Total</w:t>
                  </w:r>
                </w:p>
              </w:tc>
              <w:tc>
                <w:tcPr>
                  <w:tcW w:w="516" w:type="pct"/>
                  <w:tcBorders>
                    <w:bottom w:val="single" w:sz="6" w:space="0" w:color="BFBFBF"/>
                  </w:tcBorders>
                  <w:vAlign w:val="bottom"/>
                </w:tcPr>
                <w:p w:rsidR="00B5034D" w:rsidRPr="00BF7BF0" w:rsidRDefault="00B5034D" w:rsidP="00BF7BF0">
                  <w:pPr>
                    <w:pStyle w:val="TableBodyText"/>
                    <w:spacing w:before="40"/>
                    <w:ind w:left="0" w:right="57"/>
                    <w:rPr>
                      <w:b/>
                    </w:rPr>
                  </w:pPr>
                  <w:r w:rsidRPr="00BF7BF0">
                    <w:rPr>
                      <w:b/>
                    </w:rPr>
                    <w:t>60.0</w:t>
                  </w:r>
                </w:p>
              </w:tc>
              <w:tc>
                <w:tcPr>
                  <w:tcW w:w="516" w:type="pct"/>
                  <w:tcBorders>
                    <w:bottom w:val="single" w:sz="6" w:space="0" w:color="BFBFBF"/>
                  </w:tcBorders>
                  <w:vAlign w:val="bottom"/>
                </w:tcPr>
                <w:p w:rsidR="00B5034D" w:rsidRPr="00BF7BF0" w:rsidRDefault="00B5034D" w:rsidP="00BF7BF0">
                  <w:pPr>
                    <w:pStyle w:val="TableBodyText"/>
                    <w:spacing w:before="40"/>
                    <w:ind w:left="0" w:right="57"/>
                    <w:rPr>
                      <w:b/>
                    </w:rPr>
                  </w:pPr>
                  <w:r w:rsidRPr="00BF7BF0">
                    <w:rPr>
                      <w:b/>
                    </w:rPr>
                    <w:t>80.0</w:t>
                  </w:r>
                </w:p>
              </w:tc>
              <w:tc>
                <w:tcPr>
                  <w:tcW w:w="516" w:type="pct"/>
                  <w:tcBorders>
                    <w:bottom w:val="single" w:sz="6" w:space="0" w:color="BFBFBF"/>
                  </w:tcBorders>
                  <w:vAlign w:val="bottom"/>
                </w:tcPr>
                <w:p w:rsidR="00B5034D" w:rsidRPr="00BF7BF0" w:rsidRDefault="00B5034D" w:rsidP="00BF7BF0">
                  <w:pPr>
                    <w:pStyle w:val="TableBodyText"/>
                    <w:spacing w:before="40"/>
                    <w:ind w:left="0" w:right="57"/>
                    <w:rPr>
                      <w:b/>
                    </w:rPr>
                  </w:pPr>
                  <w:r w:rsidRPr="00BF7BF0">
                    <w:rPr>
                      <w:b/>
                    </w:rPr>
                    <w:t>130.0</w:t>
                  </w:r>
                </w:p>
              </w:tc>
              <w:tc>
                <w:tcPr>
                  <w:tcW w:w="516" w:type="pct"/>
                  <w:tcBorders>
                    <w:bottom w:val="single" w:sz="6" w:space="0" w:color="BFBFBF"/>
                  </w:tcBorders>
                  <w:vAlign w:val="bottom"/>
                </w:tcPr>
                <w:p w:rsidR="00B5034D" w:rsidRPr="00BF7BF0" w:rsidRDefault="00B5034D" w:rsidP="00BF7BF0">
                  <w:pPr>
                    <w:pStyle w:val="TableBodyText"/>
                    <w:spacing w:before="40"/>
                    <w:ind w:left="0" w:right="57"/>
                    <w:rPr>
                      <w:b/>
                    </w:rPr>
                  </w:pPr>
                  <w:r w:rsidRPr="00BF7BF0">
                    <w:rPr>
                      <w:b/>
                    </w:rPr>
                    <w:t>10.0</w:t>
                  </w:r>
                </w:p>
              </w:tc>
              <w:tc>
                <w:tcPr>
                  <w:tcW w:w="516" w:type="pct"/>
                  <w:tcBorders>
                    <w:bottom w:val="single" w:sz="6" w:space="0" w:color="BFBFBF"/>
                  </w:tcBorders>
                  <w:shd w:val="clear" w:color="auto" w:fill="auto"/>
                  <w:vAlign w:val="bottom"/>
                </w:tcPr>
                <w:p w:rsidR="00B5034D" w:rsidRPr="00BF7BF0" w:rsidRDefault="00B5034D" w:rsidP="00BF7BF0">
                  <w:pPr>
                    <w:pStyle w:val="TableBodyText"/>
                    <w:spacing w:before="40"/>
                    <w:ind w:left="0" w:right="57"/>
                    <w:rPr>
                      <w:b/>
                    </w:rPr>
                  </w:pPr>
                  <w:r w:rsidRPr="00BF7BF0">
                    <w:rPr>
                      <w:b/>
                    </w:rPr>
                    <w:t>-40.0</w:t>
                  </w:r>
                </w:p>
              </w:tc>
              <w:tc>
                <w:tcPr>
                  <w:tcW w:w="516" w:type="pct"/>
                  <w:tcBorders>
                    <w:bottom w:val="single" w:sz="6" w:space="0" w:color="BFBFBF"/>
                  </w:tcBorders>
                  <w:shd w:val="clear" w:color="auto" w:fill="auto"/>
                  <w:vAlign w:val="bottom"/>
                </w:tcPr>
                <w:p w:rsidR="00B5034D" w:rsidRPr="00BF7BF0" w:rsidRDefault="00B5034D" w:rsidP="00BF7BF0">
                  <w:pPr>
                    <w:pStyle w:val="TableBodyText"/>
                    <w:spacing w:before="40"/>
                    <w:ind w:left="0" w:right="57"/>
                    <w:rPr>
                      <w:b/>
                    </w:rPr>
                  </w:pPr>
                  <w:r w:rsidRPr="00BF7BF0">
                    <w:rPr>
                      <w:b/>
                    </w:rPr>
                    <w:t>1420.0</w:t>
                  </w:r>
                </w:p>
              </w:tc>
            </w:tr>
          </w:tbl>
          <w:p w:rsidR="00614F23" w:rsidRDefault="00614F23" w:rsidP="00C058F9">
            <w:pPr>
              <w:pStyle w:val="Box"/>
            </w:pPr>
          </w:p>
        </w:tc>
      </w:tr>
      <w:tr w:rsidR="00614F23" w:rsidTr="00C058F9">
        <w:trPr>
          <w:cantSplit/>
        </w:trPr>
        <w:tc>
          <w:tcPr>
            <w:tcW w:w="8771" w:type="dxa"/>
            <w:tcBorders>
              <w:top w:val="nil"/>
              <w:left w:val="nil"/>
              <w:bottom w:val="nil"/>
              <w:right w:val="nil"/>
            </w:tcBorders>
            <w:shd w:val="clear" w:color="auto" w:fill="auto"/>
          </w:tcPr>
          <w:p w:rsidR="00614F23" w:rsidRDefault="00CC14E6" w:rsidP="00C058F9">
            <w:pPr>
              <w:pStyle w:val="Note"/>
              <w:rPr>
                <w:i/>
              </w:rPr>
            </w:pPr>
            <w:r w:rsidRPr="00C74A79">
              <w:rPr>
                <w:rFonts w:cs="Arial"/>
                <w:szCs w:val="18"/>
              </w:rPr>
              <w:t>Figures may not add to totals due to rounding.</w:t>
            </w:r>
            <w:r>
              <w:rPr>
                <w:rFonts w:cs="Arial"/>
                <w:szCs w:val="18"/>
              </w:rPr>
              <w:t xml:space="preserve"> </w:t>
            </w:r>
            <w:r w:rsidRPr="008E77FE">
              <w:rPr>
                <w:rStyle w:val="NoteLabel"/>
              </w:rPr>
              <w:t>a</w:t>
            </w:r>
            <w:r>
              <w:rPr>
                <w:rStyle w:val="NoteLabel"/>
              </w:rPr>
              <w:t> </w:t>
            </w:r>
            <w:r w:rsidRPr="0001641F">
              <w:t xml:space="preserve">Unallocated </w:t>
            </w:r>
            <w:r w:rsidR="00BF7BF0">
              <w:t xml:space="preserve">other </w:t>
            </w:r>
            <w:r w:rsidRPr="0001641F">
              <w:t>includes budgetary measures where details of beneficiaries are unknown.</w:t>
            </w:r>
            <w:r>
              <w:t xml:space="preserve"> </w:t>
            </w:r>
          </w:p>
        </w:tc>
      </w:tr>
      <w:tr w:rsidR="00614F23" w:rsidTr="00C058F9">
        <w:trPr>
          <w:cantSplit/>
        </w:trPr>
        <w:tc>
          <w:tcPr>
            <w:tcW w:w="8771" w:type="dxa"/>
            <w:tcBorders>
              <w:top w:val="nil"/>
              <w:left w:val="nil"/>
              <w:bottom w:val="nil"/>
              <w:right w:val="nil"/>
            </w:tcBorders>
            <w:shd w:val="clear" w:color="auto" w:fill="auto"/>
          </w:tcPr>
          <w:p w:rsidR="00614F23" w:rsidRDefault="00614F23" w:rsidP="00BF7BF0">
            <w:pPr>
              <w:pStyle w:val="Source"/>
            </w:pPr>
            <w:r>
              <w:rPr>
                <w:i/>
              </w:rPr>
              <w:t>Source</w:t>
            </w:r>
            <w:r w:rsidR="00C66F6F">
              <w:rPr>
                <w:i/>
              </w:rPr>
              <w:t>s</w:t>
            </w:r>
            <w:r w:rsidRPr="00167F06">
              <w:t xml:space="preserve">: </w:t>
            </w:r>
            <w:r w:rsidR="00C66F6F">
              <w:t>Commission estimates</w:t>
            </w:r>
            <w:r w:rsidR="00BF7BF0">
              <w:t xml:space="preserve"> </w:t>
            </w:r>
            <w:r w:rsidR="00BF7BF0" w:rsidRPr="00BF7BF0">
              <w:t xml:space="preserve">based on ABS publication </w:t>
            </w:r>
            <w:r w:rsidR="00BF7BF0" w:rsidRPr="00BF7BF0">
              <w:rPr>
                <w:i/>
              </w:rPr>
              <w:t>Counts of Australian Businesses, including entries and exits</w:t>
            </w:r>
            <w:r w:rsidR="00BF7BF0" w:rsidRPr="00BF7BF0">
              <w:t xml:space="preserve"> (Cat. No.</w:t>
            </w:r>
            <w:r w:rsidR="00BF7BF0">
              <w:t> </w:t>
            </w:r>
            <w:r w:rsidR="00BF7BF0" w:rsidRPr="00BF7BF0">
              <w:t>8165) and Tax Expenditure Statement 2014, Australian Government 2015, p.</w:t>
            </w:r>
            <w:r w:rsidR="00BF7BF0">
              <w:t> </w:t>
            </w:r>
            <w:r w:rsidR="00BF7BF0" w:rsidRPr="00BF7BF0">
              <w:t>61, item B81</w:t>
            </w:r>
            <w:r w:rsidR="00CC14E6">
              <w:t>.</w:t>
            </w:r>
            <w:r w:rsidR="00BF7BF0">
              <w:t xml:space="preserve"> </w:t>
            </w:r>
          </w:p>
        </w:tc>
      </w:tr>
      <w:tr w:rsidR="00614F23" w:rsidTr="00C058F9">
        <w:trPr>
          <w:cantSplit/>
        </w:trPr>
        <w:tc>
          <w:tcPr>
            <w:tcW w:w="8771" w:type="dxa"/>
            <w:tcBorders>
              <w:top w:val="nil"/>
              <w:left w:val="nil"/>
              <w:bottom w:val="single" w:sz="6" w:space="0" w:color="78A22F"/>
              <w:right w:val="nil"/>
            </w:tcBorders>
            <w:shd w:val="clear" w:color="auto" w:fill="auto"/>
          </w:tcPr>
          <w:p w:rsidR="00614F23" w:rsidRDefault="00614F23" w:rsidP="00C058F9">
            <w:pPr>
              <w:pStyle w:val="Box"/>
              <w:spacing w:before="0" w:line="120" w:lineRule="exact"/>
            </w:pPr>
          </w:p>
        </w:tc>
      </w:tr>
      <w:tr w:rsidR="00614F23" w:rsidRPr="000863A5" w:rsidTr="00C058F9">
        <w:tc>
          <w:tcPr>
            <w:tcW w:w="8771" w:type="dxa"/>
            <w:tcBorders>
              <w:top w:val="single" w:sz="6" w:space="0" w:color="78A22F"/>
              <w:left w:val="nil"/>
              <w:bottom w:val="nil"/>
              <w:right w:val="nil"/>
            </w:tcBorders>
          </w:tcPr>
          <w:p w:rsidR="00614F23" w:rsidRPr="00626D32" w:rsidRDefault="00614F23" w:rsidP="00C058F9">
            <w:pPr>
              <w:pStyle w:val="BoxSpaceBelow"/>
            </w:pPr>
          </w:p>
        </w:tc>
      </w:tr>
    </w:tbl>
    <w:p w:rsidR="00755461" w:rsidRDefault="00755461" w:rsidP="00755461">
      <w:pPr>
        <w:pStyle w:val="BodyText"/>
      </w:pPr>
      <w:r w:rsidRPr="001F4C56">
        <w:rPr>
          <w:spacing w:val="-2"/>
        </w:rPr>
        <w:lastRenderedPageBreak/>
        <w:t>For the 2013</w:t>
      </w:r>
      <w:r w:rsidRPr="001F4C56">
        <w:rPr>
          <w:spacing w:val="-2"/>
        </w:rPr>
        <w:noBreakHyphen/>
        <w:t xml:space="preserve">14 </w:t>
      </w:r>
      <w:r w:rsidRPr="001F4C56">
        <w:rPr>
          <w:i/>
          <w:spacing w:val="-2"/>
        </w:rPr>
        <w:t>Review</w:t>
      </w:r>
      <w:r w:rsidRPr="001F4C56">
        <w:rPr>
          <w:spacing w:val="-2"/>
        </w:rPr>
        <w:t xml:space="preserve">, there was a large increase in the value of the line item </w:t>
      </w:r>
      <w:r>
        <w:rPr>
          <w:spacing w:val="-2"/>
        </w:rPr>
        <w:t>(</w:t>
      </w:r>
      <w:r w:rsidRPr="001F4C56">
        <w:rPr>
          <w:spacing w:val="-2"/>
        </w:rPr>
        <w:t>from $2.7 million in 2012</w:t>
      </w:r>
      <w:r w:rsidRPr="001F4C56">
        <w:rPr>
          <w:spacing w:val="-2"/>
        </w:rPr>
        <w:noBreakHyphen/>
        <w:t>13 to $82 million in 2013</w:t>
      </w:r>
      <w:r w:rsidRPr="001F4C56">
        <w:rPr>
          <w:spacing w:val="-2"/>
        </w:rPr>
        <w:noBreakHyphen/>
        <w:t>14</w:t>
      </w:r>
      <w:r>
        <w:rPr>
          <w:spacing w:val="-2"/>
        </w:rPr>
        <w:t>)</w:t>
      </w:r>
      <w:r w:rsidRPr="001F4C56">
        <w:rPr>
          <w:spacing w:val="-2"/>
        </w:rPr>
        <w:t>. The reason for the increase was increased payments to Tourism Australia for services undertaken on behalf of the Department of Foreign Affairs and Trade. Such expenditure would not ordinarily be treated as industry assistance. Moreover, the composition of previous expenditures under this item could not be confirmed as a measure of government support to industry through the EFIC national interest business. Assistance estimates attributable to EFIC, including previous years estimates, were therefore not reported in the 2013</w:t>
      </w:r>
      <w:r w:rsidRPr="001F4C56">
        <w:rPr>
          <w:spacing w:val="-2"/>
        </w:rPr>
        <w:noBreakHyphen/>
        <w:t xml:space="preserve">14 </w:t>
      </w:r>
      <w:r w:rsidRPr="001F4C56">
        <w:rPr>
          <w:i/>
          <w:spacing w:val="-2"/>
        </w:rPr>
        <w:t>Review</w:t>
      </w:r>
      <w:r w:rsidRPr="001F4C56">
        <w:rPr>
          <w:spacing w:val="-2"/>
        </w:rPr>
        <w:t xml:space="preserve">. It is intended to re-visit the assistance implications of EFIC, including the nature of the service payment to Tourism Australia, for future </w:t>
      </w:r>
      <w:r w:rsidRPr="001F4C56">
        <w:rPr>
          <w:i/>
          <w:spacing w:val="-2"/>
        </w:rPr>
        <w:t>Reviews</w:t>
      </w:r>
      <w:r w:rsidRPr="001F4C56">
        <w:rPr>
          <w:spacing w:val="-2"/>
        </w:rPr>
        <w:t>.</w:t>
      </w:r>
    </w:p>
    <w:p w:rsidR="0096563C" w:rsidRPr="00F4305D" w:rsidRDefault="0096563C" w:rsidP="00F4305D">
      <w:pPr>
        <w:pStyle w:val="Heading2nosectionno"/>
        <w:rPr>
          <w:sz w:val="26"/>
        </w:rPr>
      </w:pPr>
      <w:r w:rsidRPr="00F4305D">
        <w:rPr>
          <w:sz w:val="26"/>
        </w:rPr>
        <w:t>Income tax averaging provisions for primary producers</w:t>
      </w:r>
    </w:p>
    <w:p w:rsidR="0096563C" w:rsidRDefault="00181BFC" w:rsidP="00120072">
      <w:pPr>
        <w:pStyle w:val="BodyText"/>
      </w:pPr>
      <w:r>
        <w:t>Reflecting income volatility in the primary production sector, t</w:t>
      </w:r>
      <w:r w:rsidR="00CD5EF0">
        <w:t>he income tax averaging provisions for primary producers concession allows primary producers to average their income over a five</w:t>
      </w:r>
      <w:r w:rsidR="004C28AB">
        <w:t>-</w:t>
      </w:r>
      <w:r w:rsidR="00CD5EF0">
        <w:t xml:space="preserve">year cycle. Under the averaging provisions, primary producers may pay tax on their income at the rate of tax applicable to their average income, regardless of whether the average rate is greater or less than ordinary rates. </w:t>
      </w:r>
      <w:r w:rsidR="00564326">
        <w:t>T</w:t>
      </w:r>
      <w:r w:rsidR="00CD5EF0">
        <w:t xml:space="preserve">his provides a concession as the </w:t>
      </w:r>
      <w:r w:rsidR="00CD5EF0" w:rsidRPr="00CD5EF0">
        <w:t>saving from paying less tax in high income years outweighs additional tax paid in low income years</w:t>
      </w:r>
      <w:r w:rsidR="00FD11E9">
        <w:t xml:space="preserve"> (Australian Government 2015). </w:t>
      </w:r>
    </w:p>
    <w:p w:rsidR="00FD11E9" w:rsidRDefault="00566A79" w:rsidP="00551BCA">
      <w:pPr>
        <w:pStyle w:val="BodyText"/>
      </w:pPr>
      <w:r>
        <w:t>The Commission sources estimates of revenue foregone under the income tax averaging scheme from the Treasury’s annual Tax Expenditure Statement (TES). For the 2014 TES, however, the Treasury did not provide an estimate for the tax concession in 2013</w:t>
      </w:r>
      <w:r>
        <w:noBreakHyphen/>
        <w:t>14. Treasury noted that projections beyond 2012</w:t>
      </w:r>
      <w:r>
        <w:noBreakHyphen/>
        <w:t xml:space="preserve">13 have not been reported as the concession is sensitive to variations in primary production income, which depends on a number of external factors. The Treasury, however, provides a range of possible estimates of revenue foregone from $100 million to $1 billion. </w:t>
      </w:r>
    </w:p>
    <w:p w:rsidR="00612E01" w:rsidRPr="005A00E4" w:rsidRDefault="00A30970" w:rsidP="00551BCA">
      <w:pPr>
        <w:pStyle w:val="BodyText"/>
        <w:rPr>
          <w:spacing w:val="-2"/>
        </w:rPr>
      </w:pPr>
      <w:r w:rsidRPr="005A00E4">
        <w:rPr>
          <w:spacing w:val="-2"/>
        </w:rPr>
        <w:t>For the 2013</w:t>
      </w:r>
      <w:r w:rsidRPr="005A00E4">
        <w:rPr>
          <w:spacing w:val="-2"/>
        </w:rPr>
        <w:noBreakHyphen/>
        <w:t xml:space="preserve">14 </w:t>
      </w:r>
      <w:r w:rsidRPr="005A00E4">
        <w:rPr>
          <w:i/>
          <w:spacing w:val="-2"/>
        </w:rPr>
        <w:t>Review</w:t>
      </w:r>
      <w:r w:rsidRPr="005A00E4">
        <w:rPr>
          <w:spacing w:val="-2"/>
        </w:rPr>
        <w:t>, the Commission has aligned its estimate of revenue foregone under the scheme in 2013</w:t>
      </w:r>
      <w:r w:rsidRPr="005A00E4">
        <w:rPr>
          <w:spacing w:val="-2"/>
        </w:rPr>
        <w:noBreakHyphen/>
        <w:t>14 with Treasury’s estimate for the previous year, $150 million. This contrasts with the approach used f</w:t>
      </w:r>
      <w:r w:rsidR="00566A79" w:rsidRPr="005A00E4">
        <w:rPr>
          <w:spacing w:val="-2"/>
        </w:rPr>
        <w:t xml:space="preserve">or </w:t>
      </w:r>
      <w:r w:rsidRPr="005A00E4">
        <w:rPr>
          <w:spacing w:val="-2"/>
        </w:rPr>
        <w:t>the 2012</w:t>
      </w:r>
      <w:r w:rsidRPr="005A00E4">
        <w:rPr>
          <w:spacing w:val="-2"/>
        </w:rPr>
        <w:noBreakHyphen/>
        <w:t xml:space="preserve">13 </w:t>
      </w:r>
      <w:r w:rsidRPr="005A00E4">
        <w:rPr>
          <w:i/>
          <w:spacing w:val="-2"/>
        </w:rPr>
        <w:t>Review</w:t>
      </w:r>
      <w:r w:rsidR="00566A79" w:rsidRPr="005A00E4">
        <w:rPr>
          <w:spacing w:val="-2"/>
        </w:rPr>
        <w:t xml:space="preserve">, </w:t>
      </w:r>
      <w:r w:rsidRPr="005A00E4">
        <w:rPr>
          <w:spacing w:val="-2"/>
        </w:rPr>
        <w:t xml:space="preserve">where </w:t>
      </w:r>
      <w:r w:rsidR="00566A79" w:rsidRPr="005A00E4">
        <w:rPr>
          <w:spacing w:val="-2"/>
        </w:rPr>
        <w:t xml:space="preserve">the lower end of the range </w:t>
      </w:r>
      <w:r w:rsidRPr="005A00E4">
        <w:rPr>
          <w:spacing w:val="-2"/>
        </w:rPr>
        <w:t>was selected t</w:t>
      </w:r>
      <w:r w:rsidR="00566A79" w:rsidRPr="005A00E4">
        <w:rPr>
          <w:spacing w:val="-2"/>
        </w:rPr>
        <w:t xml:space="preserve">o represent </w:t>
      </w:r>
      <w:r w:rsidR="00FA4138" w:rsidRPr="005A00E4">
        <w:rPr>
          <w:spacing w:val="-2"/>
        </w:rPr>
        <w:t xml:space="preserve">revenue foregone under the scheme. </w:t>
      </w:r>
      <w:r w:rsidR="00612E01" w:rsidRPr="005A00E4">
        <w:rPr>
          <w:spacing w:val="-2"/>
        </w:rPr>
        <w:t>T</w:t>
      </w:r>
      <w:r w:rsidR="00566A79" w:rsidRPr="005A00E4">
        <w:rPr>
          <w:spacing w:val="-2"/>
        </w:rPr>
        <w:t>his</w:t>
      </w:r>
      <w:r w:rsidRPr="005A00E4">
        <w:rPr>
          <w:spacing w:val="-2"/>
        </w:rPr>
        <w:t xml:space="preserve"> </w:t>
      </w:r>
      <w:r w:rsidR="00343CAA" w:rsidRPr="005A00E4">
        <w:rPr>
          <w:spacing w:val="-2"/>
        </w:rPr>
        <w:t xml:space="preserve">approach subsequently </w:t>
      </w:r>
      <w:r w:rsidR="00566A79" w:rsidRPr="005A00E4">
        <w:rPr>
          <w:spacing w:val="-2"/>
        </w:rPr>
        <w:t>under estimated Treasury’s</w:t>
      </w:r>
      <w:r w:rsidR="00612E01" w:rsidRPr="005A00E4">
        <w:rPr>
          <w:spacing w:val="-2"/>
        </w:rPr>
        <w:t xml:space="preserve"> estimate for the scheme in 2012</w:t>
      </w:r>
      <w:r w:rsidR="00612E01" w:rsidRPr="005A00E4">
        <w:rPr>
          <w:spacing w:val="-2"/>
        </w:rPr>
        <w:noBreakHyphen/>
        <w:t>13</w:t>
      </w:r>
      <w:r w:rsidR="00566A79" w:rsidRPr="005A00E4">
        <w:rPr>
          <w:spacing w:val="-2"/>
        </w:rPr>
        <w:t xml:space="preserve"> by $50 million. </w:t>
      </w:r>
    </w:p>
    <w:p w:rsidR="00566A79" w:rsidRDefault="00FA4138" w:rsidP="00551BCA">
      <w:pPr>
        <w:pStyle w:val="BodyText"/>
      </w:pPr>
      <w:r>
        <w:t>Estimates of the concession since 2008</w:t>
      </w:r>
      <w:r>
        <w:noBreakHyphen/>
        <w:t>09 are present</w:t>
      </w:r>
      <w:r w:rsidR="00924187">
        <w:t>ed</w:t>
      </w:r>
      <w:r>
        <w:t xml:space="preserve"> in table 4.</w:t>
      </w:r>
      <w:r w:rsidR="00F55CEC">
        <w:t>2</w:t>
      </w:r>
      <w:r>
        <w:t xml:space="preserve">. </w:t>
      </w:r>
      <w:r w:rsidR="00B55A30">
        <w:t xml:space="preserve">In view of changes in reporting of this item in the TES, the treatment of this item will require review in forthcoming </w:t>
      </w:r>
      <w:r w:rsidR="00B55A30" w:rsidRPr="00B55A30">
        <w:rPr>
          <w:i/>
        </w:rPr>
        <w:t>Trade &amp; Assistance Reviews</w:t>
      </w:r>
      <w:r w:rsidR="00B55A30">
        <w:t xml:space="preserve">. </w:t>
      </w:r>
    </w:p>
    <w:p w:rsidR="00E50285" w:rsidRDefault="00E50285" w:rsidP="00C058F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6"/>
      </w:tblGrid>
      <w:tr w:rsidR="00E50285" w:rsidTr="00EB18C0">
        <w:tc>
          <w:tcPr>
            <w:tcW w:w="8776" w:type="dxa"/>
            <w:tcBorders>
              <w:top w:val="single" w:sz="6" w:space="0" w:color="78A22F" w:themeColor="accent1"/>
              <w:left w:val="nil"/>
              <w:bottom w:val="nil"/>
              <w:right w:val="nil"/>
            </w:tcBorders>
            <w:shd w:val="clear" w:color="auto" w:fill="auto"/>
          </w:tcPr>
          <w:p w:rsidR="00E50285" w:rsidRDefault="00E50285" w:rsidP="00C058F9">
            <w:pPr>
              <w:pStyle w:val="TableTitle"/>
            </w:pPr>
            <w:r>
              <w:rPr>
                <w:b w:val="0"/>
              </w:rPr>
              <w:t xml:space="preserve">Table </w:t>
            </w:r>
            <w:r w:rsidR="00211886">
              <w:rPr>
                <w:b w:val="0"/>
              </w:rPr>
              <w:t>4.</w:t>
            </w:r>
            <w:r w:rsidR="007A6E77">
              <w:rPr>
                <w:b w:val="0"/>
                <w:noProof/>
              </w:rPr>
              <w:t>2</w:t>
            </w:r>
            <w:r>
              <w:tab/>
            </w:r>
            <w:r w:rsidR="00D72D82">
              <w:t>Income tax averaging provisions for primary producers, 200</w:t>
            </w:r>
            <w:r w:rsidR="00343CAA">
              <w:t>8</w:t>
            </w:r>
            <w:r w:rsidR="00D72D82">
              <w:noBreakHyphen/>
              <w:t>0</w:t>
            </w:r>
            <w:r w:rsidR="00343CAA">
              <w:t>9</w:t>
            </w:r>
            <w:r w:rsidR="00D72D82">
              <w:t xml:space="preserve"> to 201</w:t>
            </w:r>
            <w:r w:rsidR="00343CAA">
              <w:t>3</w:t>
            </w:r>
            <w:r w:rsidR="00D72D82">
              <w:noBreakHyphen/>
              <w:t>1</w:t>
            </w:r>
            <w:r w:rsidR="00343CAA">
              <w:t>4</w:t>
            </w:r>
          </w:p>
          <w:p w:rsidR="00E50285" w:rsidRPr="00784A05" w:rsidRDefault="00D72D82" w:rsidP="00C058F9">
            <w:pPr>
              <w:pStyle w:val="Subtitle"/>
            </w:pPr>
            <w:r>
              <w:t>$ million</w:t>
            </w:r>
            <w:r w:rsidR="006A14E5">
              <w:t xml:space="preserve"> (nominal)</w:t>
            </w:r>
          </w:p>
        </w:tc>
      </w:tr>
      <w:tr w:rsidR="00E50285" w:rsidTr="00EB18C0">
        <w:trPr>
          <w:cantSplit/>
        </w:trPr>
        <w:tc>
          <w:tcPr>
            <w:tcW w:w="8776" w:type="dxa"/>
            <w:tcBorders>
              <w:top w:val="nil"/>
              <w:left w:val="nil"/>
              <w:bottom w:val="nil"/>
              <w:right w:val="nil"/>
            </w:tcBorders>
            <w:shd w:val="clear" w:color="auto" w:fill="auto"/>
          </w:tcPr>
          <w:tbl>
            <w:tblPr>
              <w:tblW w:w="8492" w:type="dxa"/>
              <w:tblCellMar>
                <w:top w:w="28" w:type="dxa"/>
                <w:left w:w="0" w:type="dxa"/>
                <w:right w:w="0" w:type="dxa"/>
              </w:tblCellMar>
              <w:tblLook w:val="0000" w:firstRow="0" w:lastRow="0" w:firstColumn="0" w:lastColumn="0" w:noHBand="0" w:noVBand="0"/>
            </w:tblPr>
            <w:tblGrid>
              <w:gridCol w:w="2724"/>
              <w:gridCol w:w="962"/>
              <w:gridCol w:w="962"/>
              <w:gridCol w:w="961"/>
              <w:gridCol w:w="961"/>
              <w:gridCol w:w="961"/>
              <w:gridCol w:w="961"/>
            </w:tblGrid>
            <w:tr w:rsidR="00EB18C0" w:rsidTr="00C058F9">
              <w:tc>
                <w:tcPr>
                  <w:tcW w:w="1602" w:type="pct"/>
                  <w:tcBorders>
                    <w:top w:val="single" w:sz="6" w:space="0" w:color="BFBFBF" w:themeColor="background2"/>
                    <w:bottom w:val="single" w:sz="6" w:space="0" w:color="BFBFBF" w:themeColor="background2"/>
                  </w:tcBorders>
                  <w:shd w:val="clear" w:color="auto" w:fill="auto"/>
                  <w:tcMar>
                    <w:top w:w="28" w:type="dxa"/>
                  </w:tcMar>
                  <w:vAlign w:val="bottom"/>
                </w:tcPr>
                <w:p w:rsidR="00EB18C0" w:rsidRDefault="00EB18C0" w:rsidP="00D72D82">
                  <w:pPr>
                    <w:pStyle w:val="TableColumnHeading"/>
                  </w:pPr>
                </w:p>
              </w:tc>
              <w:tc>
                <w:tcPr>
                  <w:tcW w:w="566" w:type="pct"/>
                  <w:tcBorders>
                    <w:top w:val="single" w:sz="6" w:space="0" w:color="BFBFBF" w:themeColor="background2"/>
                    <w:bottom w:val="single" w:sz="6" w:space="0" w:color="BFBFBF" w:themeColor="background2"/>
                  </w:tcBorders>
                  <w:vAlign w:val="bottom"/>
                </w:tcPr>
                <w:p w:rsidR="00EB18C0" w:rsidRDefault="00EB18C0" w:rsidP="0032478E">
                  <w:pPr>
                    <w:pStyle w:val="TableColumnHeading"/>
                    <w:ind w:left="0" w:right="57"/>
                  </w:pPr>
                  <w:r>
                    <w:t>2008</w:t>
                  </w:r>
                  <w:r>
                    <w:noBreakHyphen/>
                    <w:t>09</w:t>
                  </w:r>
                </w:p>
              </w:tc>
              <w:tc>
                <w:tcPr>
                  <w:tcW w:w="566" w:type="pct"/>
                  <w:tcBorders>
                    <w:top w:val="single" w:sz="6" w:space="0" w:color="BFBFBF" w:themeColor="background2"/>
                    <w:bottom w:val="single" w:sz="6" w:space="0" w:color="BFBFBF" w:themeColor="background2"/>
                  </w:tcBorders>
                  <w:vAlign w:val="bottom"/>
                </w:tcPr>
                <w:p w:rsidR="00EB18C0" w:rsidRDefault="00EB18C0" w:rsidP="0032478E">
                  <w:pPr>
                    <w:pStyle w:val="TableColumnHeading"/>
                    <w:ind w:left="0" w:right="57"/>
                  </w:pPr>
                  <w:r>
                    <w:t>2009</w:t>
                  </w:r>
                  <w:r>
                    <w:noBreakHyphen/>
                    <w:t>10</w:t>
                  </w:r>
                </w:p>
              </w:tc>
              <w:tc>
                <w:tcPr>
                  <w:tcW w:w="566" w:type="pct"/>
                  <w:tcBorders>
                    <w:top w:val="single" w:sz="6" w:space="0" w:color="BFBFBF" w:themeColor="background2"/>
                    <w:bottom w:val="single" w:sz="6" w:space="0" w:color="BFBFBF" w:themeColor="background2"/>
                  </w:tcBorders>
                  <w:vAlign w:val="bottom"/>
                </w:tcPr>
                <w:p w:rsidR="00EB18C0" w:rsidRDefault="00EB18C0" w:rsidP="0032478E">
                  <w:pPr>
                    <w:pStyle w:val="TableColumnHeading"/>
                    <w:ind w:left="0" w:right="57"/>
                  </w:pPr>
                  <w:r>
                    <w:t>2010</w:t>
                  </w:r>
                  <w:r>
                    <w:noBreakHyphen/>
                    <w:t>11</w:t>
                  </w:r>
                </w:p>
              </w:tc>
              <w:tc>
                <w:tcPr>
                  <w:tcW w:w="566" w:type="pct"/>
                  <w:tcBorders>
                    <w:top w:val="single" w:sz="6" w:space="0" w:color="BFBFBF" w:themeColor="background2"/>
                    <w:bottom w:val="single" w:sz="6" w:space="0" w:color="BFBFBF" w:themeColor="background2"/>
                  </w:tcBorders>
                  <w:vAlign w:val="bottom"/>
                </w:tcPr>
                <w:p w:rsidR="00EB18C0" w:rsidRDefault="00EB18C0" w:rsidP="0032478E">
                  <w:pPr>
                    <w:pStyle w:val="TableColumnHeading"/>
                    <w:ind w:left="0" w:right="57"/>
                  </w:pPr>
                  <w:r>
                    <w:t>2011</w:t>
                  </w:r>
                  <w:r>
                    <w:noBreakHyphen/>
                    <w:t>12</w:t>
                  </w:r>
                </w:p>
              </w:tc>
              <w:tc>
                <w:tcPr>
                  <w:tcW w:w="566" w:type="pct"/>
                  <w:tcBorders>
                    <w:top w:val="single" w:sz="6" w:space="0" w:color="BFBFBF" w:themeColor="background2"/>
                    <w:bottom w:val="single" w:sz="6" w:space="0" w:color="BFBFBF" w:themeColor="background2"/>
                  </w:tcBorders>
                  <w:vAlign w:val="bottom"/>
                </w:tcPr>
                <w:p w:rsidR="00EB18C0" w:rsidRDefault="00EB18C0" w:rsidP="0032478E">
                  <w:pPr>
                    <w:pStyle w:val="TableColumnHeading"/>
                    <w:ind w:left="0" w:right="57"/>
                  </w:pPr>
                  <w:r>
                    <w:t>2012</w:t>
                  </w:r>
                  <w:r>
                    <w:noBreakHyphen/>
                    <w:t>13</w:t>
                  </w:r>
                </w:p>
              </w:tc>
              <w:tc>
                <w:tcPr>
                  <w:tcW w:w="566" w:type="pct"/>
                  <w:tcBorders>
                    <w:top w:val="single" w:sz="6" w:space="0" w:color="BFBFBF" w:themeColor="background2"/>
                    <w:bottom w:val="single" w:sz="6" w:space="0" w:color="BFBFBF" w:themeColor="background2"/>
                  </w:tcBorders>
                  <w:shd w:val="clear" w:color="auto" w:fill="auto"/>
                  <w:tcMar>
                    <w:top w:w="28" w:type="dxa"/>
                  </w:tcMar>
                  <w:vAlign w:val="bottom"/>
                </w:tcPr>
                <w:p w:rsidR="00EB18C0" w:rsidRDefault="00EB18C0" w:rsidP="0032478E">
                  <w:pPr>
                    <w:pStyle w:val="TableColumnHeading"/>
                    <w:ind w:left="0" w:right="57"/>
                  </w:pPr>
                  <w:r>
                    <w:t>2013-14</w:t>
                  </w:r>
                  <w:r w:rsidR="00FA4138">
                    <w:rPr>
                      <w:rStyle w:val="NoteLabel"/>
                      <w:i w:val="0"/>
                    </w:rPr>
                    <w:t>a</w:t>
                  </w:r>
                </w:p>
              </w:tc>
            </w:tr>
            <w:tr w:rsidR="00EB18C0" w:rsidTr="00EB18C0">
              <w:tc>
                <w:tcPr>
                  <w:tcW w:w="1602" w:type="pct"/>
                  <w:tcBorders>
                    <w:bottom w:val="single" w:sz="6" w:space="0" w:color="C8C8C8"/>
                  </w:tcBorders>
                  <w:shd w:val="clear" w:color="auto" w:fill="auto"/>
                </w:tcPr>
                <w:p w:rsidR="00EB18C0" w:rsidRDefault="00EB18C0" w:rsidP="00D72D82">
                  <w:pPr>
                    <w:pStyle w:val="TableBodyText"/>
                    <w:spacing w:before="80"/>
                    <w:jc w:val="left"/>
                  </w:pPr>
                  <w:r>
                    <w:t>Income tax averaging provisions for primary producers</w:t>
                  </w:r>
                </w:p>
              </w:tc>
              <w:tc>
                <w:tcPr>
                  <w:tcW w:w="566" w:type="pct"/>
                  <w:tcBorders>
                    <w:bottom w:val="single" w:sz="6" w:space="0" w:color="C8C8C8"/>
                  </w:tcBorders>
                </w:tcPr>
                <w:p w:rsidR="00EB18C0" w:rsidRDefault="00EB18C0" w:rsidP="0032478E">
                  <w:pPr>
                    <w:pStyle w:val="TableBodyText"/>
                    <w:spacing w:before="80"/>
                    <w:ind w:left="0" w:right="57"/>
                  </w:pPr>
                  <w:r>
                    <w:br/>
                    <w:t>100.0</w:t>
                  </w:r>
                </w:p>
              </w:tc>
              <w:tc>
                <w:tcPr>
                  <w:tcW w:w="566" w:type="pct"/>
                  <w:tcBorders>
                    <w:bottom w:val="single" w:sz="6" w:space="0" w:color="C8C8C8"/>
                  </w:tcBorders>
                </w:tcPr>
                <w:p w:rsidR="00EB18C0" w:rsidRDefault="00EB18C0" w:rsidP="0032478E">
                  <w:pPr>
                    <w:pStyle w:val="TableBodyText"/>
                    <w:spacing w:before="80"/>
                    <w:ind w:left="0" w:right="57"/>
                  </w:pPr>
                  <w:r>
                    <w:br/>
                    <w:t>85.0</w:t>
                  </w:r>
                </w:p>
              </w:tc>
              <w:tc>
                <w:tcPr>
                  <w:tcW w:w="566" w:type="pct"/>
                  <w:tcBorders>
                    <w:bottom w:val="single" w:sz="6" w:space="0" w:color="C8C8C8"/>
                  </w:tcBorders>
                </w:tcPr>
                <w:p w:rsidR="00EB18C0" w:rsidRDefault="00EB18C0" w:rsidP="0032478E">
                  <w:pPr>
                    <w:pStyle w:val="TableBodyText"/>
                    <w:spacing w:before="80"/>
                    <w:ind w:left="0" w:right="57"/>
                  </w:pPr>
                  <w:r>
                    <w:br/>
                    <w:t>155.0</w:t>
                  </w:r>
                </w:p>
              </w:tc>
              <w:tc>
                <w:tcPr>
                  <w:tcW w:w="566" w:type="pct"/>
                  <w:tcBorders>
                    <w:bottom w:val="single" w:sz="6" w:space="0" w:color="C8C8C8"/>
                  </w:tcBorders>
                </w:tcPr>
                <w:p w:rsidR="00EB18C0" w:rsidRDefault="00EB18C0" w:rsidP="0032478E">
                  <w:pPr>
                    <w:pStyle w:val="TableBodyText"/>
                    <w:spacing w:before="80"/>
                    <w:ind w:left="0" w:right="57"/>
                  </w:pPr>
                  <w:r>
                    <w:br/>
                    <w:t>145.0</w:t>
                  </w:r>
                </w:p>
              </w:tc>
              <w:tc>
                <w:tcPr>
                  <w:tcW w:w="566" w:type="pct"/>
                  <w:tcBorders>
                    <w:bottom w:val="single" w:sz="6" w:space="0" w:color="C8C8C8"/>
                  </w:tcBorders>
                </w:tcPr>
                <w:p w:rsidR="00EB18C0" w:rsidRDefault="00EB18C0" w:rsidP="0032478E">
                  <w:pPr>
                    <w:pStyle w:val="TableBodyText"/>
                    <w:spacing w:before="80"/>
                    <w:ind w:left="0" w:right="57"/>
                  </w:pPr>
                  <w:r>
                    <w:br/>
                    <w:t>1</w:t>
                  </w:r>
                  <w:r w:rsidR="00FA4138">
                    <w:t>5</w:t>
                  </w:r>
                  <w:r>
                    <w:t>0.0</w:t>
                  </w:r>
                </w:p>
              </w:tc>
              <w:tc>
                <w:tcPr>
                  <w:tcW w:w="566" w:type="pct"/>
                  <w:tcBorders>
                    <w:bottom w:val="single" w:sz="6" w:space="0" w:color="C8C8C8"/>
                  </w:tcBorders>
                  <w:shd w:val="clear" w:color="auto" w:fill="auto"/>
                </w:tcPr>
                <w:p w:rsidR="00EB18C0" w:rsidRDefault="00EB18C0" w:rsidP="0032478E">
                  <w:pPr>
                    <w:pStyle w:val="TableBodyText"/>
                    <w:spacing w:before="80"/>
                    <w:ind w:left="0" w:right="57"/>
                  </w:pPr>
                  <w:r>
                    <w:br/>
                    <w:t>150.0</w:t>
                  </w:r>
                </w:p>
              </w:tc>
            </w:tr>
          </w:tbl>
          <w:p w:rsidR="00E50285" w:rsidRDefault="00E50285" w:rsidP="00C058F9">
            <w:pPr>
              <w:pStyle w:val="Box"/>
            </w:pPr>
          </w:p>
        </w:tc>
      </w:tr>
      <w:tr w:rsidR="00E50285" w:rsidTr="00EB18C0">
        <w:trPr>
          <w:cantSplit/>
        </w:trPr>
        <w:tc>
          <w:tcPr>
            <w:tcW w:w="8776" w:type="dxa"/>
            <w:tcBorders>
              <w:top w:val="nil"/>
              <w:left w:val="nil"/>
              <w:bottom w:val="nil"/>
              <w:right w:val="nil"/>
            </w:tcBorders>
            <w:shd w:val="clear" w:color="auto" w:fill="auto"/>
          </w:tcPr>
          <w:p w:rsidR="00E50285" w:rsidRDefault="00E50285" w:rsidP="00A30970">
            <w:pPr>
              <w:pStyle w:val="Note"/>
              <w:rPr>
                <w:i/>
              </w:rPr>
            </w:pPr>
            <w:r w:rsidRPr="008E77FE">
              <w:rPr>
                <w:rStyle w:val="NoteLabel"/>
              </w:rPr>
              <w:t>a</w:t>
            </w:r>
            <w:r w:rsidR="00D72D82">
              <w:t> </w:t>
            </w:r>
            <w:r w:rsidR="00270577">
              <w:t xml:space="preserve">The Commission has </w:t>
            </w:r>
            <w:r w:rsidR="00A30970" w:rsidRPr="00A30970">
              <w:t>aligned its estimate of revenue foregone under the scheme in 2013</w:t>
            </w:r>
            <w:r w:rsidR="00A30970">
              <w:noBreakHyphen/>
            </w:r>
            <w:r w:rsidR="00A30970" w:rsidRPr="00A30970">
              <w:t>14 with Treasury’s estimate for the previous year, $150 million</w:t>
            </w:r>
            <w:r w:rsidR="00D72D82">
              <w:t xml:space="preserve">. </w:t>
            </w:r>
          </w:p>
        </w:tc>
      </w:tr>
      <w:tr w:rsidR="00E50285" w:rsidTr="00EB18C0">
        <w:trPr>
          <w:cantSplit/>
        </w:trPr>
        <w:tc>
          <w:tcPr>
            <w:tcW w:w="8776" w:type="dxa"/>
            <w:tcBorders>
              <w:top w:val="nil"/>
              <w:left w:val="nil"/>
              <w:bottom w:val="nil"/>
              <w:right w:val="nil"/>
            </w:tcBorders>
            <w:shd w:val="clear" w:color="auto" w:fill="auto"/>
          </w:tcPr>
          <w:p w:rsidR="00E50285" w:rsidRDefault="00E50285" w:rsidP="006A14E5">
            <w:pPr>
              <w:pStyle w:val="Source"/>
            </w:pPr>
            <w:r>
              <w:rPr>
                <w:i/>
              </w:rPr>
              <w:t>Source</w:t>
            </w:r>
            <w:r w:rsidRPr="00167F06">
              <w:t>:</w:t>
            </w:r>
            <w:r w:rsidR="00FA4138">
              <w:t xml:space="preserve"> Australian Government (2015)</w:t>
            </w:r>
            <w:r w:rsidR="006A14E5">
              <w:t>,</w:t>
            </w:r>
            <w:r w:rsidR="006A14E5" w:rsidRPr="00BF7BF0">
              <w:t xml:space="preserve"> p.</w:t>
            </w:r>
            <w:r w:rsidR="006A14E5">
              <w:t> 45</w:t>
            </w:r>
            <w:r w:rsidR="006A14E5" w:rsidRPr="00BF7BF0">
              <w:t>, item B</w:t>
            </w:r>
            <w:r w:rsidR="006A14E5">
              <w:t xml:space="preserve">40. </w:t>
            </w:r>
          </w:p>
        </w:tc>
      </w:tr>
      <w:tr w:rsidR="00E50285" w:rsidTr="00EB18C0">
        <w:trPr>
          <w:cantSplit/>
        </w:trPr>
        <w:tc>
          <w:tcPr>
            <w:tcW w:w="8776" w:type="dxa"/>
            <w:tcBorders>
              <w:top w:val="nil"/>
              <w:left w:val="nil"/>
              <w:bottom w:val="single" w:sz="6" w:space="0" w:color="78A22F" w:themeColor="accent1"/>
              <w:right w:val="nil"/>
            </w:tcBorders>
            <w:shd w:val="clear" w:color="auto" w:fill="auto"/>
          </w:tcPr>
          <w:p w:rsidR="00E50285" w:rsidRDefault="00E50285" w:rsidP="00C058F9">
            <w:pPr>
              <w:pStyle w:val="Box"/>
              <w:spacing w:before="0" w:line="120" w:lineRule="exact"/>
            </w:pPr>
          </w:p>
        </w:tc>
      </w:tr>
      <w:tr w:rsidR="00E50285" w:rsidRPr="000863A5" w:rsidTr="00EB18C0">
        <w:tc>
          <w:tcPr>
            <w:tcW w:w="8776" w:type="dxa"/>
            <w:tcBorders>
              <w:top w:val="single" w:sz="6" w:space="0" w:color="78A22F" w:themeColor="accent1"/>
              <w:left w:val="nil"/>
              <w:bottom w:val="nil"/>
              <w:right w:val="nil"/>
            </w:tcBorders>
          </w:tcPr>
          <w:p w:rsidR="00E50285" w:rsidRPr="00626D32" w:rsidRDefault="00E50285" w:rsidP="00C058F9">
            <w:pPr>
              <w:pStyle w:val="BoxSpaceBelow"/>
            </w:pPr>
          </w:p>
        </w:tc>
      </w:tr>
    </w:tbl>
    <w:p w:rsidR="00C66F6F" w:rsidRPr="00F4305D" w:rsidRDefault="00C66F6F" w:rsidP="00F4305D">
      <w:pPr>
        <w:pStyle w:val="Heading2nosectionno"/>
        <w:rPr>
          <w:sz w:val="26"/>
          <w:szCs w:val="26"/>
        </w:rPr>
      </w:pPr>
      <w:r w:rsidRPr="00F4305D">
        <w:rPr>
          <w:sz w:val="26"/>
          <w:szCs w:val="26"/>
        </w:rPr>
        <w:t>R&amp;D Tax Incentive</w:t>
      </w:r>
    </w:p>
    <w:p w:rsidR="00BE177C" w:rsidRDefault="00BE177C" w:rsidP="00BE177C">
      <w:pPr>
        <w:pStyle w:val="BodyText"/>
      </w:pPr>
      <w:r>
        <w:t xml:space="preserve">The R&amp;D Tax Incentive scheme (the replacement scheme for the R&amp;D tax concession and Premium R&amp;D tax concession schemes) provides a tax offset for eligible R&amp;D activities </w:t>
      </w:r>
      <w:r w:rsidR="00577FBC">
        <w:t xml:space="preserve">which is </w:t>
      </w:r>
      <w:r>
        <w:t>designed to encourage firms to engage in R&amp;D that ‘benefits’ Australia</w:t>
      </w:r>
      <w:r w:rsidR="00BB286E">
        <w:t xml:space="preserve"> (ATO 2015)</w:t>
      </w:r>
      <w:r>
        <w:t xml:space="preserve">. The Incentive has two main components: </w:t>
      </w:r>
    </w:p>
    <w:p w:rsidR="00BE177C" w:rsidRDefault="00BE177C" w:rsidP="00BE177C">
      <w:pPr>
        <w:pStyle w:val="ListBullet"/>
      </w:pPr>
      <w:r>
        <w:t>a refundable tax offset for certain eligible entities whose aggregated turnover is less than $20</w:t>
      </w:r>
      <w:r w:rsidR="000D0309">
        <w:t> </w:t>
      </w:r>
      <w:r>
        <w:t>million and payable at a rate of 43.5</w:t>
      </w:r>
      <w:r w:rsidR="000D0309">
        <w:t> </w:t>
      </w:r>
      <w:r>
        <w:t>per</w:t>
      </w:r>
      <w:r w:rsidR="000D0309">
        <w:t> </w:t>
      </w:r>
      <w:r>
        <w:t>cent of expenditure</w:t>
      </w:r>
      <w:r w:rsidR="00F4305D">
        <w:t xml:space="preserve"> on eligible R&amp;D activities</w:t>
      </w:r>
      <w:r>
        <w:t xml:space="preserve"> </w:t>
      </w:r>
    </w:p>
    <w:p w:rsidR="00C66F6F" w:rsidRDefault="00BE177C" w:rsidP="00BE177C">
      <w:pPr>
        <w:pStyle w:val="ListBullet"/>
      </w:pPr>
      <w:r>
        <w:t>a non-refundable tax offset for all other eligible entities payable at a rate of 38.5</w:t>
      </w:r>
      <w:r w:rsidR="000D0309">
        <w:t> </w:t>
      </w:r>
      <w:r>
        <w:t>per</w:t>
      </w:r>
      <w:r w:rsidR="000D0309">
        <w:t> </w:t>
      </w:r>
      <w:r>
        <w:t>cent on eligible R&amp;D expenditure.</w:t>
      </w:r>
    </w:p>
    <w:p w:rsidR="00CF0D22" w:rsidRDefault="00CF0D22" w:rsidP="00C66F6F">
      <w:pPr>
        <w:pStyle w:val="BodyText"/>
      </w:pPr>
      <w:r>
        <w:t>For 2013</w:t>
      </w:r>
      <w:r>
        <w:noBreakHyphen/>
        <w:t xml:space="preserve">14, </w:t>
      </w:r>
      <w:r w:rsidR="00A64045">
        <w:t xml:space="preserve">the </w:t>
      </w:r>
      <w:r>
        <w:t>Commissioner of Taxation annual report provides an estimate for the R&amp;D Tax Incentive scheme</w:t>
      </w:r>
      <w:r w:rsidR="00A64045">
        <w:t xml:space="preserve"> of around $2 billion. Th</w:t>
      </w:r>
      <w:r w:rsidR="00D34961">
        <w:t xml:space="preserve">is </w:t>
      </w:r>
      <w:r w:rsidR="00A64045">
        <w:t xml:space="preserve">estimate </w:t>
      </w:r>
      <w:r w:rsidR="00577FBC">
        <w:t xml:space="preserve">includes both </w:t>
      </w:r>
      <w:r>
        <w:t>the refundable and non-refundable components</w:t>
      </w:r>
      <w:r w:rsidR="00A64045">
        <w:t xml:space="preserve"> although neither </w:t>
      </w:r>
      <w:r w:rsidR="00D34961">
        <w:t xml:space="preserve">component </w:t>
      </w:r>
      <w:r w:rsidR="00A64045">
        <w:t>is published separately.</w:t>
      </w:r>
      <w:r>
        <w:t xml:space="preserve"> </w:t>
      </w:r>
      <w:r w:rsidR="00BB286E">
        <w:t>In addition, t</w:t>
      </w:r>
      <w:r>
        <w:t>he Treasury’s Tax Expenditure Statement (TES)</w:t>
      </w:r>
      <w:r w:rsidR="00BB286E">
        <w:t xml:space="preserve"> </w:t>
      </w:r>
      <w:r>
        <w:t xml:space="preserve">publishes an estimate of the revenue foregone </w:t>
      </w:r>
      <w:r w:rsidR="00A64045">
        <w:t xml:space="preserve">for </w:t>
      </w:r>
      <w:r>
        <w:t>the non-refundable component of the R&amp;D Tax Incentive. The refundable component of the scheme, however, is not separately published</w:t>
      </w:r>
      <w:r w:rsidR="00A64045">
        <w:t xml:space="preserve">. </w:t>
      </w:r>
    </w:p>
    <w:p w:rsidR="00C66F6F" w:rsidRDefault="00C66F6F" w:rsidP="00C66F6F">
      <w:pPr>
        <w:pStyle w:val="BodyText"/>
      </w:pPr>
      <w:r>
        <w:t>The estimate for the R&amp;D Tax Incentive refundable tax offset</w:t>
      </w:r>
      <w:r w:rsidR="00577FBC">
        <w:t>,</w:t>
      </w:r>
      <w:r>
        <w:t xml:space="preserve"> </w:t>
      </w:r>
      <w:r w:rsidR="00471F48">
        <w:t xml:space="preserve">as published in the </w:t>
      </w:r>
      <w:r w:rsidR="00471F48" w:rsidRPr="00471F48">
        <w:rPr>
          <w:i/>
        </w:rPr>
        <w:t>Trade &amp; Assistance Review</w:t>
      </w:r>
      <w:r w:rsidR="00577FBC">
        <w:t xml:space="preserve">, </w:t>
      </w:r>
      <w:r>
        <w:t xml:space="preserve">is </w:t>
      </w:r>
      <w:r w:rsidR="00BB286E">
        <w:t xml:space="preserve">therefore </w:t>
      </w:r>
      <w:r>
        <w:t xml:space="preserve">a derived estimate based on information provided </w:t>
      </w:r>
      <w:r w:rsidR="00BB286E">
        <w:t xml:space="preserve">in </w:t>
      </w:r>
      <w:r>
        <w:t>the</w:t>
      </w:r>
      <w:r w:rsidR="00BB286E">
        <w:t xml:space="preserve"> Commissioner of Taxation annual report</w:t>
      </w:r>
      <w:r>
        <w:t xml:space="preserve"> and the TES. </w:t>
      </w:r>
      <w:r w:rsidR="00510659">
        <w:t>F</w:t>
      </w:r>
      <w:r w:rsidR="00BB286E">
        <w:t>or 2013</w:t>
      </w:r>
      <w:r w:rsidR="00BB286E">
        <w:noBreakHyphen/>
        <w:t xml:space="preserve">14, </w:t>
      </w:r>
      <w:r w:rsidR="00510659">
        <w:t xml:space="preserve">the derived estimate </w:t>
      </w:r>
      <w:r w:rsidR="006E519C">
        <w:t xml:space="preserve">($911 million) </w:t>
      </w:r>
      <w:r w:rsidR="00510659">
        <w:t>for the refundable component of the scheme is calculated as</w:t>
      </w:r>
      <w:r w:rsidR="008A0772">
        <w:t xml:space="preserve"> the total</w:t>
      </w:r>
      <w:r w:rsidR="00900971">
        <w:t xml:space="preserve"> funding estimate for the </w:t>
      </w:r>
      <w:r w:rsidR="008A0772">
        <w:t xml:space="preserve">R&amp;D Tax Incentive </w:t>
      </w:r>
      <w:r w:rsidR="00900971">
        <w:t xml:space="preserve">scheme, as published in </w:t>
      </w:r>
      <w:r w:rsidR="00BB286E">
        <w:t xml:space="preserve">the </w:t>
      </w:r>
      <w:r w:rsidRPr="0026037B">
        <w:t xml:space="preserve">Commissioner of Taxation </w:t>
      </w:r>
      <w:r w:rsidR="00BB286E">
        <w:t>a</w:t>
      </w:r>
      <w:r w:rsidRPr="0026037B">
        <w:t xml:space="preserve">nnual </w:t>
      </w:r>
      <w:r w:rsidR="00BB286E">
        <w:t>r</w:t>
      </w:r>
      <w:r w:rsidRPr="0026037B">
        <w:t>eport</w:t>
      </w:r>
      <w:r>
        <w:t xml:space="preserve"> 2013</w:t>
      </w:r>
      <w:r>
        <w:noBreakHyphen/>
        <w:t>14</w:t>
      </w:r>
      <w:r w:rsidR="00BB286E">
        <w:t xml:space="preserve"> (</w:t>
      </w:r>
      <w:r w:rsidRPr="0026037B">
        <w:t>p.</w:t>
      </w:r>
      <w:r>
        <w:t> </w:t>
      </w:r>
      <w:r w:rsidRPr="0026037B">
        <w:t>84</w:t>
      </w:r>
      <w:r w:rsidR="00BB286E">
        <w:t>)</w:t>
      </w:r>
      <w:r w:rsidR="0032478E">
        <w:t>,</w:t>
      </w:r>
      <w:r w:rsidRPr="0026037B">
        <w:t xml:space="preserve"> less the TES</w:t>
      </w:r>
      <w:r>
        <w:t> </w:t>
      </w:r>
      <w:r w:rsidRPr="0026037B">
        <w:t>201</w:t>
      </w:r>
      <w:r w:rsidR="00BB286E">
        <w:t>5</w:t>
      </w:r>
      <w:r w:rsidRPr="0026037B">
        <w:t xml:space="preserve"> estimate for the non-refundable component of the R&amp;D Tax Incentive</w:t>
      </w:r>
      <w:r w:rsidR="00BB286E">
        <w:t xml:space="preserve"> (</w:t>
      </w:r>
      <w:r w:rsidR="006A14E5">
        <w:t xml:space="preserve">Item </w:t>
      </w:r>
      <w:r w:rsidRPr="0026037B">
        <w:t>B80, p.</w:t>
      </w:r>
      <w:r>
        <w:t> </w:t>
      </w:r>
      <w:r w:rsidRPr="0026037B">
        <w:t>61</w:t>
      </w:r>
      <w:r w:rsidR="00BB286E">
        <w:t>)</w:t>
      </w:r>
      <w:r w:rsidR="00900971">
        <w:t>.</w:t>
      </w:r>
      <w:r>
        <w:t xml:space="preserve"> </w:t>
      </w:r>
    </w:p>
    <w:p w:rsidR="00D34961" w:rsidRDefault="00D34961" w:rsidP="00C66F6F">
      <w:pPr>
        <w:pStyle w:val="BodyText"/>
      </w:pPr>
      <w:r>
        <w:t xml:space="preserve">Estimates of the </w:t>
      </w:r>
      <w:r w:rsidR="00924187">
        <w:t>R&amp;D Tax Incentive in 2012</w:t>
      </w:r>
      <w:r w:rsidR="00924187">
        <w:noBreakHyphen/>
        <w:t>13 and 2013</w:t>
      </w:r>
      <w:r w:rsidR="00924187">
        <w:noBreakHyphen/>
        <w:t xml:space="preserve">14, including the derived estimate for the </w:t>
      </w:r>
      <w:r>
        <w:t>refundable tax offset</w:t>
      </w:r>
      <w:r w:rsidR="00924187">
        <w:t xml:space="preserve">, </w:t>
      </w:r>
      <w:r>
        <w:t xml:space="preserve">are presented in table 4.3. </w:t>
      </w:r>
    </w:p>
    <w:p w:rsidR="0032478E" w:rsidRDefault="0032478E" w:rsidP="00A34978">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86"/>
      </w:tblGrid>
      <w:tr w:rsidR="0032478E" w:rsidTr="006A14E5">
        <w:tc>
          <w:tcPr>
            <w:tcW w:w="8786" w:type="dxa"/>
            <w:tcBorders>
              <w:top w:val="single" w:sz="6" w:space="0" w:color="78A22F"/>
              <w:left w:val="nil"/>
              <w:bottom w:val="nil"/>
              <w:right w:val="nil"/>
            </w:tcBorders>
            <w:shd w:val="clear" w:color="auto" w:fill="auto"/>
          </w:tcPr>
          <w:p w:rsidR="0032478E" w:rsidRDefault="0032478E" w:rsidP="00A34978">
            <w:pPr>
              <w:pStyle w:val="TableTitle"/>
            </w:pPr>
            <w:r>
              <w:rPr>
                <w:b w:val="0"/>
              </w:rPr>
              <w:t>Table 4.</w:t>
            </w:r>
            <w:r w:rsidR="007A6E77">
              <w:rPr>
                <w:b w:val="0"/>
                <w:noProof/>
              </w:rPr>
              <w:t>3</w:t>
            </w:r>
            <w:r w:rsidR="006A14E5">
              <w:tab/>
              <w:t>R&amp;D Tax Incentive funding, 2012</w:t>
            </w:r>
            <w:r w:rsidR="006A14E5">
              <w:noBreakHyphen/>
              <w:t>13 and 2013</w:t>
            </w:r>
            <w:r w:rsidR="006A14E5">
              <w:noBreakHyphen/>
              <w:t>14</w:t>
            </w:r>
          </w:p>
          <w:p w:rsidR="0032478E" w:rsidRPr="00784A05" w:rsidRDefault="006A14E5" w:rsidP="00A34978">
            <w:pPr>
              <w:pStyle w:val="Subtitle"/>
            </w:pPr>
            <w:r>
              <w:t>$ million (nominal)</w:t>
            </w:r>
          </w:p>
        </w:tc>
      </w:tr>
      <w:tr w:rsidR="0032478E" w:rsidTr="006A14E5">
        <w:trPr>
          <w:cantSplit/>
        </w:trPr>
        <w:tc>
          <w:tcPr>
            <w:tcW w:w="8786" w:type="dxa"/>
            <w:tcBorders>
              <w:top w:val="nil"/>
              <w:left w:val="nil"/>
              <w:bottom w:val="nil"/>
              <w:right w:val="nil"/>
            </w:tcBorders>
            <w:shd w:val="clear" w:color="auto" w:fill="auto"/>
          </w:tcPr>
          <w:tbl>
            <w:tblPr>
              <w:tblW w:w="8502" w:type="dxa"/>
              <w:tblCellMar>
                <w:top w:w="28" w:type="dxa"/>
                <w:left w:w="0" w:type="dxa"/>
                <w:right w:w="0" w:type="dxa"/>
              </w:tblCellMar>
              <w:tblLook w:val="0000" w:firstRow="0" w:lastRow="0" w:firstColumn="0" w:lastColumn="0" w:noHBand="0" w:noVBand="0"/>
            </w:tblPr>
            <w:tblGrid>
              <w:gridCol w:w="2380"/>
              <w:gridCol w:w="4195"/>
              <w:gridCol w:w="966"/>
              <w:gridCol w:w="961"/>
            </w:tblGrid>
            <w:tr w:rsidR="006A14E5" w:rsidTr="006A14E5">
              <w:tc>
                <w:tcPr>
                  <w:tcW w:w="1400" w:type="pct"/>
                  <w:tcBorders>
                    <w:top w:val="single" w:sz="6" w:space="0" w:color="BFBFBF"/>
                    <w:bottom w:val="single" w:sz="6" w:space="0" w:color="BFBFBF"/>
                  </w:tcBorders>
                  <w:shd w:val="clear" w:color="auto" w:fill="auto"/>
                  <w:tcMar>
                    <w:top w:w="28" w:type="dxa"/>
                  </w:tcMar>
                </w:tcPr>
                <w:p w:rsidR="0032478E" w:rsidRDefault="0032478E" w:rsidP="00A34978">
                  <w:pPr>
                    <w:pStyle w:val="TableColumnHeading"/>
                    <w:jc w:val="left"/>
                  </w:pPr>
                  <w:r>
                    <w:t>Program</w:t>
                  </w:r>
                </w:p>
              </w:tc>
              <w:tc>
                <w:tcPr>
                  <w:tcW w:w="2467" w:type="pct"/>
                  <w:tcBorders>
                    <w:top w:val="single" w:sz="6" w:space="0" w:color="BFBFBF"/>
                    <w:bottom w:val="single" w:sz="6" w:space="0" w:color="BFBFBF"/>
                  </w:tcBorders>
                </w:tcPr>
                <w:p w:rsidR="0032478E" w:rsidRDefault="0032478E" w:rsidP="0032478E">
                  <w:pPr>
                    <w:pStyle w:val="TableColumnHeading"/>
                    <w:jc w:val="left"/>
                  </w:pPr>
                  <w:r>
                    <w:t>Source</w:t>
                  </w:r>
                </w:p>
              </w:tc>
              <w:tc>
                <w:tcPr>
                  <w:tcW w:w="568" w:type="pct"/>
                  <w:tcBorders>
                    <w:top w:val="single" w:sz="6" w:space="0" w:color="BFBFBF"/>
                    <w:bottom w:val="single" w:sz="6" w:space="0" w:color="BFBFBF"/>
                  </w:tcBorders>
                  <w:shd w:val="clear" w:color="auto" w:fill="auto"/>
                  <w:tcMar>
                    <w:top w:w="28" w:type="dxa"/>
                  </w:tcMar>
                  <w:vAlign w:val="bottom"/>
                </w:tcPr>
                <w:p w:rsidR="0032478E" w:rsidRDefault="0032478E" w:rsidP="00A34978">
                  <w:pPr>
                    <w:pStyle w:val="TableColumnHeading"/>
                    <w:ind w:left="0" w:right="57"/>
                  </w:pPr>
                  <w:r>
                    <w:t>2012</w:t>
                  </w:r>
                  <w:r>
                    <w:noBreakHyphen/>
                    <w:t>13</w:t>
                  </w:r>
                </w:p>
              </w:tc>
              <w:tc>
                <w:tcPr>
                  <w:tcW w:w="565" w:type="pct"/>
                  <w:tcBorders>
                    <w:top w:val="single" w:sz="6" w:space="0" w:color="BFBFBF"/>
                    <w:bottom w:val="single" w:sz="6" w:space="0" w:color="BFBFBF"/>
                  </w:tcBorders>
                  <w:shd w:val="clear" w:color="auto" w:fill="auto"/>
                  <w:tcMar>
                    <w:top w:w="28" w:type="dxa"/>
                  </w:tcMar>
                  <w:vAlign w:val="bottom"/>
                </w:tcPr>
                <w:p w:rsidR="0032478E" w:rsidRDefault="0032478E" w:rsidP="0032478E">
                  <w:pPr>
                    <w:pStyle w:val="TableColumnHeading"/>
                    <w:ind w:left="0" w:right="57"/>
                  </w:pPr>
                  <w:r>
                    <w:t>2013-14</w:t>
                  </w:r>
                </w:p>
              </w:tc>
            </w:tr>
            <w:tr w:rsidR="006A14E5" w:rsidTr="006A14E5">
              <w:tc>
                <w:tcPr>
                  <w:tcW w:w="1400" w:type="pct"/>
                </w:tcPr>
                <w:p w:rsidR="0032478E" w:rsidRDefault="0032478E" w:rsidP="0032478E">
                  <w:pPr>
                    <w:pStyle w:val="TableBodyText"/>
                    <w:spacing w:before="40"/>
                    <w:jc w:val="left"/>
                  </w:pPr>
                  <w:r>
                    <w:t>R&amp;D Tax Incentive</w:t>
                  </w:r>
                </w:p>
              </w:tc>
              <w:tc>
                <w:tcPr>
                  <w:tcW w:w="2467" w:type="pct"/>
                </w:tcPr>
                <w:p w:rsidR="0032478E" w:rsidRDefault="0032478E" w:rsidP="0032478E">
                  <w:pPr>
                    <w:pStyle w:val="TableBodyText"/>
                    <w:spacing w:before="40"/>
                    <w:jc w:val="left"/>
                  </w:pPr>
                </w:p>
              </w:tc>
              <w:tc>
                <w:tcPr>
                  <w:tcW w:w="568" w:type="pct"/>
                </w:tcPr>
                <w:p w:rsidR="0032478E" w:rsidRDefault="0032478E" w:rsidP="0032478E">
                  <w:pPr>
                    <w:pStyle w:val="TableBodyText"/>
                    <w:spacing w:before="40"/>
                  </w:pPr>
                </w:p>
              </w:tc>
              <w:tc>
                <w:tcPr>
                  <w:tcW w:w="565" w:type="pct"/>
                </w:tcPr>
                <w:p w:rsidR="0032478E" w:rsidRDefault="0032478E" w:rsidP="0032478E">
                  <w:pPr>
                    <w:pStyle w:val="TableBodyText"/>
                    <w:spacing w:before="40"/>
                    <w:ind w:right="28"/>
                  </w:pPr>
                </w:p>
              </w:tc>
            </w:tr>
            <w:tr w:rsidR="006A14E5" w:rsidTr="006A14E5">
              <w:tc>
                <w:tcPr>
                  <w:tcW w:w="1400" w:type="pct"/>
                </w:tcPr>
                <w:p w:rsidR="0032478E" w:rsidRPr="005828DA" w:rsidRDefault="0032478E" w:rsidP="00DC49E5">
                  <w:pPr>
                    <w:pStyle w:val="TableBodyText"/>
                    <w:jc w:val="left"/>
                  </w:pPr>
                  <w:r w:rsidRPr="005828DA">
                    <w:t xml:space="preserve"> </w:t>
                  </w:r>
                  <w:r>
                    <w:t>–</w:t>
                  </w:r>
                  <w:r w:rsidRPr="005828DA">
                    <w:t xml:space="preserve"> </w:t>
                  </w:r>
                  <w:r w:rsidR="00DC49E5">
                    <w:t>N</w:t>
                  </w:r>
                  <w:r w:rsidRPr="005828DA">
                    <w:t xml:space="preserve">on-refundable </w:t>
                  </w:r>
                  <w:r>
                    <w:t xml:space="preserve">tax </w:t>
                  </w:r>
                  <w:r w:rsidRPr="005828DA">
                    <w:t>offset</w:t>
                  </w:r>
                </w:p>
              </w:tc>
              <w:tc>
                <w:tcPr>
                  <w:tcW w:w="2467" w:type="pct"/>
                </w:tcPr>
                <w:p w:rsidR="0032478E" w:rsidRPr="006A14E5" w:rsidRDefault="00577FBC" w:rsidP="00577FBC">
                  <w:pPr>
                    <w:pStyle w:val="TableBodyText"/>
                    <w:jc w:val="left"/>
                    <w:rPr>
                      <w:i/>
                    </w:rPr>
                  </w:pPr>
                  <w:r>
                    <w:rPr>
                      <w:i/>
                    </w:rPr>
                    <w:t>T</w:t>
                  </w:r>
                  <w:r w:rsidR="0032478E" w:rsidRPr="006A14E5">
                    <w:rPr>
                      <w:i/>
                    </w:rPr>
                    <w:t>reasury’</w:t>
                  </w:r>
                  <w:r w:rsidR="006A14E5">
                    <w:rPr>
                      <w:i/>
                    </w:rPr>
                    <w:t>s Tax Expenditure Statement</w:t>
                  </w:r>
                  <w:r>
                    <w:rPr>
                      <w:i/>
                    </w:rPr>
                    <w:t xml:space="preserve"> 2014</w:t>
                  </w:r>
                </w:p>
              </w:tc>
              <w:tc>
                <w:tcPr>
                  <w:tcW w:w="568" w:type="pct"/>
                </w:tcPr>
                <w:p w:rsidR="0032478E" w:rsidRDefault="0032478E" w:rsidP="00A34978">
                  <w:pPr>
                    <w:pStyle w:val="TableBodyText"/>
                  </w:pPr>
                  <w:r>
                    <w:t>1080.0</w:t>
                  </w:r>
                </w:p>
              </w:tc>
              <w:tc>
                <w:tcPr>
                  <w:tcW w:w="565" w:type="pct"/>
                </w:tcPr>
                <w:p w:rsidR="0032478E" w:rsidRDefault="0032478E" w:rsidP="00A34978">
                  <w:pPr>
                    <w:pStyle w:val="TableBodyText"/>
                    <w:ind w:right="28"/>
                  </w:pPr>
                  <w:r>
                    <w:t>1120.0</w:t>
                  </w:r>
                </w:p>
              </w:tc>
            </w:tr>
            <w:tr w:rsidR="006A14E5" w:rsidTr="006A14E5">
              <w:tc>
                <w:tcPr>
                  <w:tcW w:w="1400" w:type="pct"/>
                </w:tcPr>
                <w:p w:rsidR="0032478E" w:rsidRDefault="0032478E" w:rsidP="00DC49E5">
                  <w:pPr>
                    <w:pStyle w:val="TableBodyText"/>
                    <w:jc w:val="left"/>
                  </w:pPr>
                  <w:r>
                    <w:t xml:space="preserve"> –</w:t>
                  </w:r>
                  <w:r w:rsidRPr="005828DA">
                    <w:t xml:space="preserve"> </w:t>
                  </w:r>
                  <w:r w:rsidR="00DC49E5">
                    <w:t>R</w:t>
                  </w:r>
                  <w:r w:rsidRPr="005828DA">
                    <w:t xml:space="preserve">efundable </w:t>
                  </w:r>
                  <w:r>
                    <w:t xml:space="preserve">tax </w:t>
                  </w:r>
                  <w:r w:rsidRPr="005828DA">
                    <w:t>offset</w:t>
                  </w:r>
                </w:p>
              </w:tc>
              <w:tc>
                <w:tcPr>
                  <w:tcW w:w="2467" w:type="pct"/>
                </w:tcPr>
                <w:p w:rsidR="0032478E" w:rsidRPr="006A14E5" w:rsidRDefault="006A14E5" w:rsidP="0032478E">
                  <w:pPr>
                    <w:pStyle w:val="TableBodyText"/>
                    <w:jc w:val="left"/>
                    <w:rPr>
                      <w:i/>
                    </w:rPr>
                  </w:pPr>
                  <w:r>
                    <w:rPr>
                      <w:i/>
                    </w:rPr>
                    <w:t>(</w:t>
                  </w:r>
                  <w:r w:rsidR="0032478E" w:rsidRPr="006A14E5">
                    <w:rPr>
                      <w:i/>
                    </w:rPr>
                    <w:t>Derived estimate</w:t>
                  </w:r>
                  <w:r>
                    <w:rPr>
                      <w:i/>
                    </w:rPr>
                    <w:t>)</w:t>
                  </w:r>
                </w:p>
              </w:tc>
              <w:tc>
                <w:tcPr>
                  <w:tcW w:w="568" w:type="pct"/>
                </w:tcPr>
                <w:p w:rsidR="0032478E" w:rsidRPr="0032478E" w:rsidRDefault="006A14E5" w:rsidP="00A34978">
                  <w:pPr>
                    <w:pStyle w:val="TableBodyText"/>
                    <w:rPr>
                      <w:i/>
                    </w:rPr>
                  </w:pPr>
                  <w:r>
                    <w:rPr>
                      <w:i/>
                    </w:rPr>
                    <w:t>509.0</w:t>
                  </w:r>
                </w:p>
              </w:tc>
              <w:tc>
                <w:tcPr>
                  <w:tcW w:w="565" w:type="pct"/>
                </w:tcPr>
                <w:p w:rsidR="0032478E" w:rsidRPr="0032478E" w:rsidRDefault="006A14E5" w:rsidP="00A34978">
                  <w:pPr>
                    <w:pStyle w:val="TableBodyText"/>
                    <w:ind w:right="28"/>
                    <w:rPr>
                      <w:i/>
                    </w:rPr>
                  </w:pPr>
                  <w:r>
                    <w:rPr>
                      <w:i/>
                    </w:rPr>
                    <w:t>911.0</w:t>
                  </w:r>
                </w:p>
              </w:tc>
            </w:tr>
            <w:tr w:rsidR="006A14E5" w:rsidTr="006A14E5">
              <w:tc>
                <w:tcPr>
                  <w:tcW w:w="1400" w:type="pct"/>
                  <w:tcBorders>
                    <w:bottom w:val="single" w:sz="6" w:space="0" w:color="BFBFBF"/>
                  </w:tcBorders>
                  <w:shd w:val="clear" w:color="auto" w:fill="auto"/>
                </w:tcPr>
                <w:p w:rsidR="006A14E5" w:rsidRPr="006A14E5" w:rsidRDefault="006A14E5" w:rsidP="006A14E5">
                  <w:pPr>
                    <w:pStyle w:val="TableBodyText"/>
                    <w:spacing w:before="40"/>
                    <w:jc w:val="left"/>
                    <w:rPr>
                      <w:b/>
                    </w:rPr>
                  </w:pPr>
                  <w:r w:rsidRPr="006A14E5">
                    <w:rPr>
                      <w:b/>
                    </w:rPr>
                    <w:t>Total</w:t>
                  </w:r>
                </w:p>
              </w:tc>
              <w:tc>
                <w:tcPr>
                  <w:tcW w:w="2467" w:type="pct"/>
                  <w:tcBorders>
                    <w:bottom w:val="single" w:sz="6" w:space="0" w:color="BFBFBF"/>
                  </w:tcBorders>
                </w:tcPr>
                <w:p w:rsidR="006A14E5" w:rsidRPr="006A14E5" w:rsidRDefault="006A14E5" w:rsidP="006A14E5">
                  <w:pPr>
                    <w:pStyle w:val="TableBodyText"/>
                    <w:spacing w:before="40"/>
                    <w:jc w:val="left"/>
                    <w:rPr>
                      <w:i/>
                    </w:rPr>
                  </w:pPr>
                  <w:r w:rsidRPr="006A14E5">
                    <w:rPr>
                      <w:i/>
                    </w:rPr>
                    <w:t>Commissioner of Taxation annual report</w:t>
                  </w:r>
                </w:p>
              </w:tc>
              <w:tc>
                <w:tcPr>
                  <w:tcW w:w="568" w:type="pct"/>
                  <w:tcBorders>
                    <w:bottom w:val="single" w:sz="6" w:space="0" w:color="BFBFBF"/>
                  </w:tcBorders>
                  <w:shd w:val="clear" w:color="auto" w:fill="auto"/>
                </w:tcPr>
                <w:p w:rsidR="006A14E5" w:rsidRPr="006A14E5" w:rsidRDefault="006A14E5" w:rsidP="006A14E5">
                  <w:pPr>
                    <w:pStyle w:val="TableBodyText"/>
                    <w:spacing w:before="40"/>
                    <w:rPr>
                      <w:b/>
                    </w:rPr>
                  </w:pPr>
                  <w:r w:rsidRPr="006A14E5">
                    <w:rPr>
                      <w:b/>
                    </w:rPr>
                    <w:t>1589.0</w:t>
                  </w:r>
                </w:p>
              </w:tc>
              <w:tc>
                <w:tcPr>
                  <w:tcW w:w="565" w:type="pct"/>
                  <w:tcBorders>
                    <w:bottom w:val="single" w:sz="6" w:space="0" w:color="BFBFBF"/>
                  </w:tcBorders>
                  <w:shd w:val="clear" w:color="auto" w:fill="auto"/>
                </w:tcPr>
                <w:p w:rsidR="006A14E5" w:rsidRPr="006A14E5" w:rsidRDefault="006A14E5" w:rsidP="006A14E5">
                  <w:pPr>
                    <w:pStyle w:val="TableBodyText"/>
                    <w:spacing w:before="40"/>
                    <w:ind w:right="28"/>
                    <w:rPr>
                      <w:b/>
                    </w:rPr>
                  </w:pPr>
                  <w:r w:rsidRPr="006A14E5">
                    <w:rPr>
                      <w:b/>
                    </w:rPr>
                    <w:t>2031.0</w:t>
                  </w:r>
                </w:p>
              </w:tc>
            </w:tr>
          </w:tbl>
          <w:p w:rsidR="0032478E" w:rsidRDefault="0032478E" w:rsidP="00A34978">
            <w:pPr>
              <w:pStyle w:val="Box"/>
            </w:pPr>
          </w:p>
        </w:tc>
      </w:tr>
      <w:tr w:rsidR="0032478E" w:rsidTr="006A14E5">
        <w:trPr>
          <w:cantSplit/>
        </w:trPr>
        <w:tc>
          <w:tcPr>
            <w:tcW w:w="8786" w:type="dxa"/>
            <w:tcBorders>
              <w:top w:val="nil"/>
              <w:left w:val="nil"/>
              <w:bottom w:val="nil"/>
              <w:right w:val="nil"/>
            </w:tcBorders>
            <w:shd w:val="clear" w:color="auto" w:fill="auto"/>
          </w:tcPr>
          <w:p w:rsidR="0032478E" w:rsidRDefault="0032478E" w:rsidP="006A14E5">
            <w:pPr>
              <w:pStyle w:val="Source"/>
            </w:pPr>
            <w:r>
              <w:rPr>
                <w:i/>
              </w:rPr>
              <w:t>Sources</w:t>
            </w:r>
            <w:r w:rsidRPr="00167F06">
              <w:t xml:space="preserve">: </w:t>
            </w:r>
            <w:r w:rsidR="006A14E5">
              <w:t xml:space="preserve">Commission estimates based on Commissioner of Taxation annual report (various years) and </w:t>
            </w:r>
            <w:r w:rsidR="006A14E5" w:rsidRPr="00BF7BF0">
              <w:t>Tax Expenditure Statement 2014, Australian Government 2015, p.</w:t>
            </w:r>
            <w:r w:rsidR="006A14E5">
              <w:t> </w:t>
            </w:r>
            <w:r w:rsidR="006A14E5" w:rsidRPr="00BF7BF0">
              <w:t>61, item B8</w:t>
            </w:r>
            <w:r w:rsidR="006A14E5">
              <w:t xml:space="preserve">0. </w:t>
            </w:r>
          </w:p>
        </w:tc>
      </w:tr>
      <w:tr w:rsidR="0032478E" w:rsidTr="006A14E5">
        <w:trPr>
          <w:cantSplit/>
        </w:trPr>
        <w:tc>
          <w:tcPr>
            <w:tcW w:w="8786" w:type="dxa"/>
            <w:tcBorders>
              <w:top w:val="nil"/>
              <w:left w:val="nil"/>
              <w:bottom w:val="single" w:sz="6" w:space="0" w:color="78A22F"/>
              <w:right w:val="nil"/>
            </w:tcBorders>
            <w:shd w:val="clear" w:color="auto" w:fill="auto"/>
          </w:tcPr>
          <w:p w:rsidR="0032478E" w:rsidRDefault="0032478E" w:rsidP="00A34978">
            <w:pPr>
              <w:pStyle w:val="Box"/>
              <w:spacing w:before="0" w:line="120" w:lineRule="exact"/>
            </w:pPr>
          </w:p>
        </w:tc>
      </w:tr>
      <w:tr w:rsidR="0032478E" w:rsidRPr="000863A5" w:rsidTr="006A14E5">
        <w:tc>
          <w:tcPr>
            <w:tcW w:w="8786" w:type="dxa"/>
            <w:tcBorders>
              <w:top w:val="single" w:sz="6" w:space="0" w:color="78A22F"/>
              <w:left w:val="nil"/>
              <w:bottom w:val="nil"/>
              <w:right w:val="nil"/>
            </w:tcBorders>
          </w:tcPr>
          <w:p w:rsidR="0032478E" w:rsidRPr="00626D32" w:rsidRDefault="0032478E" w:rsidP="00A34978">
            <w:pPr>
              <w:pStyle w:val="BoxSpaceBelow"/>
            </w:pPr>
          </w:p>
        </w:tc>
      </w:tr>
    </w:tbl>
    <w:p w:rsidR="00211886" w:rsidRPr="00F4305D" w:rsidRDefault="00211886" w:rsidP="00F4305D">
      <w:pPr>
        <w:pStyle w:val="Heading2nosectionno"/>
        <w:rPr>
          <w:sz w:val="26"/>
          <w:szCs w:val="26"/>
        </w:rPr>
      </w:pPr>
      <w:r w:rsidRPr="00F4305D">
        <w:rPr>
          <w:sz w:val="26"/>
          <w:szCs w:val="26"/>
        </w:rPr>
        <w:t>Negative tax concessions</w:t>
      </w:r>
    </w:p>
    <w:p w:rsidR="00A84A0F" w:rsidRDefault="00EE22DB">
      <w:pPr>
        <w:pStyle w:val="BodyText"/>
      </w:pPr>
      <w:r>
        <w:t xml:space="preserve">A tax </w:t>
      </w:r>
      <w:r w:rsidR="00965F18">
        <w:t>concession</w:t>
      </w:r>
      <w:r w:rsidR="006A7FF6">
        <w:t>,</w:t>
      </w:r>
      <w:r>
        <w:t xml:space="preserve"> or </w:t>
      </w:r>
      <w:r w:rsidR="00965F18">
        <w:t>expenditure</w:t>
      </w:r>
      <w:r w:rsidR="006A7FF6">
        <w:t>,</w:t>
      </w:r>
      <w:r>
        <w:t xml:space="preserve"> arises where the actual tax treatment of an activity or class of tax payer differs from the benchmark tax treatment.</w:t>
      </w:r>
      <w:r w:rsidR="008A18A0">
        <w:rPr>
          <w:rStyle w:val="FootnoteReference"/>
        </w:rPr>
        <w:footnoteReference w:id="1"/>
      </w:r>
      <w:r>
        <w:t xml:space="preserve"> </w:t>
      </w:r>
      <w:r w:rsidR="00A84A0F">
        <w:t>Tax concessions include tax exemptions, deductions or offsets, concessional tax rates and deferrals of tax liability. A positive tax concession reduces tax payable relative to the benchmark, while a negative tax concession increases tax payable relative to the benchmark</w:t>
      </w:r>
      <w:r w:rsidR="008A18A0">
        <w:t xml:space="preserve"> (Australian Government 2015)</w:t>
      </w:r>
      <w:r w:rsidR="00A84A0F">
        <w:t xml:space="preserve">. </w:t>
      </w:r>
    </w:p>
    <w:p w:rsidR="00017DF0" w:rsidRDefault="008A18A0">
      <w:pPr>
        <w:pStyle w:val="BodyText"/>
      </w:pPr>
      <w:r>
        <w:t xml:space="preserve">For </w:t>
      </w:r>
      <w:r w:rsidR="007D795A">
        <w:t xml:space="preserve">the </w:t>
      </w:r>
      <w:r>
        <w:t>2013</w:t>
      </w:r>
      <w:r>
        <w:noBreakHyphen/>
        <w:t>14</w:t>
      </w:r>
      <w:r w:rsidR="007D795A">
        <w:t xml:space="preserve"> </w:t>
      </w:r>
      <w:r w:rsidR="007D795A" w:rsidRPr="007D795A">
        <w:rPr>
          <w:i/>
        </w:rPr>
        <w:t>Review</w:t>
      </w:r>
      <w:r w:rsidR="00017DF0">
        <w:t xml:space="preserve">, the Commission’s assistance estimates included </w:t>
      </w:r>
      <w:r>
        <w:t xml:space="preserve">four </w:t>
      </w:r>
      <w:r w:rsidR="00017DF0">
        <w:t xml:space="preserve">negative </w:t>
      </w:r>
      <w:r>
        <w:t>tax concessions</w:t>
      </w:r>
      <w:r w:rsidR="00017DF0">
        <w:t>:</w:t>
      </w:r>
    </w:p>
    <w:p w:rsidR="00017DF0" w:rsidRDefault="00017DF0" w:rsidP="00017DF0">
      <w:pPr>
        <w:pStyle w:val="ListBullet"/>
      </w:pPr>
      <w:r w:rsidRPr="00017DF0">
        <w:t>Tax deductions for grape vines</w:t>
      </w:r>
      <w:r w:rsidR="00B0331F">
        <w:t>;</w:t>
      </w:r>
    </w:p>
    <w:p w:rsidR="00017DF0" w:rsidRDefault="00017DF0" w:rsidP="00017DF0">
      <w:pPr>
        <w:pStyle w:val="ListBullet"/>
      </w:pPr>
      <w:r>
        <w:t xml:space="preserve">Film industry </w:t>
      </w:r>
      <w:r w:rsidR="00761422">
        <w:t xml:space="preserve">deductions (division </w:t>
      </w:r>
      <w:r w:rsidR="001F0B9A">
        <w:t>—</w:t>
      </w:r>
      <w:r>
        <w:t xml:space="preserve"> 10B &amp; 10BA</w:t>
      </w:r>
      <w:r w:rsidR="00761422">
        <w:t>)</w:t>
      </w:r>
      <w:r w:rsidR="00B0331F">
        <w:t xml:space="preserve">; </w:t>
      </w:r>
    </w:p>
    <w:p w:rsidR="00371139" w:rsidRDefault="00017DF0" w:rsidP="00017DF0">
      <w:pPr>
        <w:pStyle w:val="ListBullet"/>
      </w:pPr>
      <w:r>
        <w:t xml:space="preserve">R&amp;D tax offset payments </w:t>
      </w:r>
      <w:r w:rsidR="001F0B9A">
        <w:t>—</w:t>
      </w:r>
      <w:r>
        <w:t xml:space="preserve"> exemption</w:t>
      </w:r>
      <w:r w:rsidR="00B0331F">
        <w:t>; and</w:t>
      </w:r>
    </w:p>
    <w:p w:rsidR="00ED2299" w:rsidRDefault="00017DF0" w:rsidP="00017DF0">
      <w:pPr>
        <w:pStyle w:val="ListBullet"/>
      </w:pPr>
      <w:r>
        <w:t xml:space="preserve">R&amp;D Tax Incentive </w:t>
      </w:r>
      <w:r w:rsidR="001F0B9A">
        <w:t>—</w:t>
      </w:r>
      <w:r>
        <w:t xml:space="preserve"> exemption of refundable tax offset</w:t>
      </w:r>
      <w:r w:rsidR="009D5C45">
        <w:t>.</w:t>
      </w:r>
    </w:p>
    <w:p w:rsidR="007D795A" w:rsidRDefault="007D795A" w:rsidP="001F0B9A">
      <w:pPr>
        <w:pStyle w:val="BodyText"/>
      </w:pPr>
      <w:r>
        <w:t>The</w:t>
      </w:r>
      <w:r w:rsidR="00F452A8">
        <w:t>se</w:t>
      </w:r>
      <w:r>
        <w:t xml:space="preserve"> </w:t>
      </w:r>
      <w:r w:rsidR="001F0B9A">
        <w:t xml:space="preserve">tax concessions fall into two main groups. </w:t>
      </w:r>
      <w:r>
        <w:t>First</w:t>
      </w:r>
      <w:r w:rsidR="00EF1A26">
        <w:t>,</w:t>
      </w:r>
      <w:r w:rsidR="00DC49E5">
        <w:t xml:space="preserve"> </w:t>
      </w:r>
      <w:r>
        <w:t>t</w:t>
      </w:r>
      <w:r w:rsidR="007408DD">
        <w:t xml:space="preserve">he </w:t>
      </w:r>
      <w:r w:rsidR="00DC49E5">
        <w:t xml:space="preserve">accelerated depreciation </w:t>
      </w:r>
      <w:r w:rsidR="007408DD">
        <w:t xml:space="preserve">tax </w:t>
      </w:r>
      <w:r w:rsidR="00D51481">
        <w:t xml:space="preserve">concessions </w:t>
      </w:r>
      <w:r w:rsidR="00761422">
        <w:t>for grape vines and film industry deductions</w:t>
      </w:r>
      <w:r>
        <w:t xml:space="preserve">, </w:t>
      </w:r>
      <w:r w:rsidR="00D51481">
        <w:t xml:space="preserve">were </w:t>
      </w:r>
      <w:r>
        <w:t>negative</w:t>
      </w:r>
      <w:r w:rsidR="00E2572D">
        <w:t xml:space="preserve"> in 2013</w:t>
      </w:r>
      <w:r w:rsidR="00E2572D">
        <w:noBreakHyphen/>
        <w:t xml:space="preserve">14 </w:t>
      </w:r>
      <w:r w:rsidR="00D51481">
        <w:t xml:space="preserve">largely </w:t>
      </w:r>
      <w:r>
        <w:t xml:space="preserve">because they </w:t>
      </w:r>
      <w:r w:rsidR="00761422">
        <w:t>are no longer available</w:t>
      </w:r>
      <w:r>
        <w:t xml:space="preserve"> </w:t>
      </w:r>
      <w:r w:rsidR="00E2572D">
        <w:t xml:space="preserve">to new entrants </w:t>
      </w:r>
      <w:r>
        <w:t xml:space="preserve">and the alternative, or </w:t>
      </w:r>
      <w:r w:rsidR="0053072F">
        <w:t xml:space="preserve">current </w:t>
      </w:r>
      <w:r>
        <w:t xml:space="preserve">benchmark tax treatment, </w:t>
      </w:r>
      <w:r w:rsidR="00F452A8">
        <w:t>only allows for assets to be depreciated over a longer</w:t>
      </w:r>
      <w:r w:rsidR="0053072F">
        <w:t xml:space="preserve"> time </w:t>
      </w:r>
      <w:r w:rsidR="00F452A8">
        <w:t>period</w:t>
      </w:r>
      <w:r w:rsidR="00761422">
        <w:t xml:space="preserve">. </w:t>
      </w:r>
      <w:r w:rsidR="00EF1A26">
        <w:t>T</w:t>
      </w:r>
      <w:r w:rsidR="00F452A8">
        <w:t>he current concessional arrangements (asset write-off of 13 per cent per annum)</w:t>
      </w:r>
      <w:r w:rsidR="0053072F">
        <w:t xml:space="preserve"> increases tax payable relative to the </w:t>
      </w:r>
      <w:r w:rsidR="00F452A8">
        <w:t>older benchmark</w:t>
      </w:r>
      <w:r w:rsidR="0053072F">
        <w:t xml:space="preserve"> (asset write-off of 25 per cent per annum) resulting in a negative tax concession. </w:t>
      </w:r>
    </w:p>
    <w:p w:rsidR="00D846FF" w:rsidRDefault="0053072F" w:rsidP="009D5C45">
      <w:pPr>
        <w:pStyle w:val="BodyText"/>
      </w:pPr>
      <w:r>
        <w:t xml:space="preserve">Second, the R&amp;D tax offset exemptions are negative because of </w:t>
      </w:r>
      <w:r w:rsidR="003B0CF6">
        <w:t>the structure of t</w:t>
      </w:r>
      <w:r w:rsidR="00164DA7">
        <w:t xml:space="preserve">he broader R&amp;D tax concession and R&amp;D Tax Incentive schemes and the unavailability of certain parts of </w:t>
      </w:r>
      <w:r w:rsidR="00D51481">
        <w:t xml:space="preserve">each </w:t>
      </w:r>
      <w:r w:rsidR="00164DA7">
        <w:t>scheme for certain types of business entities.</w:t>
      </w:r>
      <w:r>
        <w:t xml:space="preserve"> </w:t>
      </w:r>
      <w:r w:rsidR="00164DA7">
        <w:t xml:space="preserve">For example, </w:t>
      </w:r>
      <w:r>
        <w:t xml:space="preserve">the R&amp;D </w:t>
      </w:r>
      <w:r>
        <w:lastRenderedPageBreak/>
        <w:t>Tax Incentive scheme (the replacement scheme for the R&amp;D tax concession)</w:t>
      </w:r>
      <w:r w:rsidR="00164DA7">
        <w:t xml:space="preserve"> provides a tax offset for </w:t>
      </w:r>
      <w:r w:rsidR="0025531F">
        <w:t>eligible R&amp;D activities designed to encourage firms to engage in R&amp;D</w:t>
      </w:r>
      <w:r w:rsidR="009D5C45">
        <w:t xml:space="preserve">. </w:t>
      </w:r>
    </w:p>
    <w:p w:rsidR="00D34961" w:rsidRPr="00F4305D" w:rsidRDefault="0025531F" w:rsidP="001F0B9A">
      <w:pPr>
        <w:pStyle w:val="BodyText"/>
        <w:rPr>
          <w:spacing w:val="-2"/>
        </w:rPr>
      </w:pPr>
      <w:r w:rsidRPr="00F4305D">
        <w:rPr>
          <w:spacing w:val="-2"/>
        </w:rPr>
        <w:t>Companies that claim the R&amp;D refundable tax offset, however, are unable to claim deductions for</w:t>
      </w:r>
      <w:bookmarkStart w:id="3" w:name="_GoBack"/>
      <w:bookmarkEnd w:id="3"/>
      <w:r w:rsidRPr="00F4305D">
        <w:rPr>
          <w:spacing w:val="-2"/>
        </w:rPr>
        <w:t xml:space="preserve"> the R&amp;D expenditure. The absence of these deductions constitutes a negative tax concession and explains the negative estimates. The value of the R&amp;D refundable tax offset</w:t>
      </w:r>
      <w:r w:rsidR="003B0CF6" w:rsidRPr="00F4305D">
        <w:rPr>
          <w:spacing w:val="-2"/>
        </w:rPr>
        <w:t xml:space="preserve">, however, </w:t>
      </w:r>
      <w:r w:rsidRPr="00F4305D">
        <w:rPr>
          <w:spacing w:val="-2"/>
        </w:rPr>
        <w:t>exceeds</w:t>
      </w:r>
      <w:r w:rsidR="003B0CF6" w:rsidRPr="00F4305D">
        <w:rPr>
          <w:spacing w:val="-2"/>
        </w:rPr>
        <w:t xml:space="preserve"> </w:t>
      </w:r>
      <w:r w:rsidRPr="00F4305D">
        <w:rPr>
          <w:spacing w:val="-2"/>
        </w:rPr>
        <w:t>the loss from being unable to claim deductions for R&amp;D expenditure</w:t>
      </w:r>
      <w:r w:rsidR="00EF1A26" w:rsidRPr="00F4305D">
        <w:rPr>
          <w:spacing w:val="-2"/>
        </w:rPr>
        <w:t xml:space="preserve"> so that net positive assistance is afforded industry under the arrangements</w:t>
      </w:r>
      <w:r w:rsidRPr="00F4305D">
        <w:rPr>
          <w:spacing w:val="-2"/>
        </w:rPr>
        <w:t xml:space="preserve">. </w:t>
      </w:r>
    </w:p>
    <w:sectPr w:rsidR="00D34961" w:rsidRPr="00F4305D" w:rsidSect="002F308D">
      <w:headerReference w:type="even" r:id="rId9"/>
      <w:headerReference w:type="default" r:id="rId10"/>
      <w:footerReference w:type="even" r:id="rId11"/>
      <w:footerReference w:type="default" r:id="rId12"/>
      <w:pgSz w:w="11907" w:h="16840" w:code="9"/>
      <w:pgMar w:top="1985" w:right="1304" w:bottom="1418" w:left="1814" w:header="1701" w:footer="567" w:gutter="0"/>
      <w:pgNumType w:start="15"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4978" w:rsidRDefault="00A34978">
      <w:r>
        <w:separator/>
      </w:r>
    </w:p>
  </w:endnote>
  <w:endnote w:type="continuationSeparator" w:id="0">
    <w:p w:rsidR="00A34978" w:rsidRDefault="00A349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A34978" w:rsidTr="005F48ED">
      <w:trPr>
        <w:trHeight w:hRule="exact" w:val="567"/>
      </w:trPr>
      <w:tc>
        <w:tcPr>
          <w:tcW w:w="510" w:type="dxa"/>
        </w:tcPr>
        <w:p w:rsidR="00A34978" w:rsidRPr="00A24443" w:rsidRDefault="00A34978"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04897">
            <w:rPr>
              <w:rStyle w:val="PageNumber"/>
              <w:caps w:val="0"/>
              <w:noProof/>
            </w:rPr>
            <w:t>20</w:t>
          </w:r>
          <w:r w:rsidRPr="00A24443">
            <w:rPr>
              <w:rStyle w:val="PageNumber"/>
              <w:caps w:val="0"/>
            </w:rPr>
            <w:fldChar w:fldCharType="end"/>
          </w:r>
        </w:p>
      </w:tc>
      <w:tc>
        <w:tcPr>
          <w:tcW w:w="7767" w:type="dxa"/>
        </w:tcPr>
        <w:p w:rsidR="00A34978" w:rsidRPr="0013739A" w:rsidRDefault="00E04897" w:rsidP="0013739A">
          <w:pPr>
            <w:pStyle w:val="Footer"/>
            <w:rPr>
              <w:rFonts w:cs="Arial"/>
            </w:rPr>
          </w:pPr>
          <w:r>
            <w:rPr>
              <w:rFonts w:cs="Arial"/>
            </w:rPr>
            <w:t>Trade &amp; Assistance Review 2013-14 Methodological Annex</w:t>
          </w:r>
          <w:bookmarkStart w:id="4" w:name="DraftReportEven"/>
          <w:bookmarkEnd w:id="4"/>
        </w:p>
      </w:tc>
      <w:tc>
        <w:tcPr>
          <w:tcW w:w="510" w:type="dxa"/>
        </w:tcPr>
        <w:p w:rsidR="00A34978" w:rsidRDefault="00A34978" w:rsidP="0019293B">
          <w:pPr>
            <w:pStyle w:val="Footer"/>
          </w:pPr>
        </w:p>
      </w:tc>
    </w:tr>
  </w:tbl>
  <w:p w:rsidR="00A34978" w:rsidRDefault="00A34978"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A34978" w:rsidTr="005F48ED">
      <w:trPr>
        <w:trHeight w:hRule="exact" w:val="567"/>
      </w:trPr>
      <w:tc>
        <w:tcPr>
          <w:tcW w:w="510" w:type="dxa"/>
        </w:tcPr>
        <w:p w:rsidR="00A34978" w:rsidRDefault="00A34978">
          <w:pPr>
            <w:pStyle w:val="Footer"/>
            <w:ind w:right="360" w:firstLine="360"/>
          </w:pPr>
        </w:p>
      </w:tc>
      <w:tc>
        <w:tcPr>
          <w:tcW w:w="7767" w:type="dxa"/>
        </w:tcPr>
        <w:p w:rsidR="00A34978" w:rsidRPr="00BA5B14" w:rsidRDefault="00A34978" w:rsidP="0013739A">
          <w:pPr>
            <w:pStyle w:val="Footer"/>
            <w:jc w:val="right"/>
            <w:rPr>
              <w:rFonts w:cs="Arial"/>
            </w:rPr>
          </w:pPr>
          <w:r w:rsidRPr="00BA5B14">
            <w:rPr>
              <w:rFonts w:cs="Arial"/>
            </w:rPr>
            <w:fldChar w:fldCharType="begin"/>
          </w:r>
          <w:r w:rsidRPr="00BA5B14">
            <w:rPr>
              <w:rFonts w:cs="Arial"/>
            </w:rPr>
            <w:instrText xml:space="preserve"> TITLE  \* MERGEFORMAT </w:instrText>
          </w:r>
          <w:r w:rsidRPr="00BA5B14">
            <w:rPr>
              <w:rFonts w:cs="Arial"/>
            </w:rPr>
            <w:fldChar w:fldCharType="separate"/>
          </w:r>
          <w:r w:rsidR="00D314CF">
            <w:rPr>
              <w:rFonts w:cs="Arial"/>
            </w:rPr>
            <w:t>Methodological changes to the estimates</w:t>
          </w:r>
          <w:r w:rsidRPr="00BA5B14">
            <w:rPr>
              <w:rFonts w:cs="Arial"/>
            </w:rPr>
            <w:fldChar w:fldCharType="end"/>
          </w:r>
          <w:bookmarkStart w:id="5" w:name="DraftReportOdd"/>
          <w:bookmarkEnd w:id="5"/>
        </w:p>
      </w:tc>
      <w:tc>
        <w:tcPr>
          <w:tcW w:w="510" w:type="dxa"/>
        </w:tcPr>
        <w:p w:rsidR="00A34978" w:rsidRPr="00A24443" w:rsidRDefault="00A34978">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04897">
            <w:rPr>
              <w:rStyle w:val="PageNumber"/>
              <w:caps w:val="0"/>
              <w:noProof/>
            </w:rPr>
            <w:t>21</w:t>
          </w:r>
          <w:r w:rsidRPr="00A24443">
            <w:rPr>
              <w:rStyle w:val="PageNumber"/>
              <w:caps w:val="0"/>
            </w:rPr>
            <w:fldChar w:fldCharType="end"/>
          </w:r>
        </w:p>
      </w:tc>
    </w:tr>
  </w:tbl>
  <w:p w:rsidR="00A34978" w:rsidRDefault="00A34978">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4978" w:rsidRDefault="00A34978">
      <w:r>
        <w:separator/>
      </w:r>
    </w:p>
  </w:footnote>
  <w:footnote w:type="continuationSeparator" w:id="0">
    <w:p w:rsidR="00A34978" w:rsidRDefault="00A34978">
      <w:r>
        <w:continuationSeparator/>
      </w:r>
    </w:p>
  </w:footnote>
  <w:footnote w:id="1">
    <w:p w:rsidR="00A34978" w:rsidRDefault="00A34978">
      <w:pPr>
        <w:pStyle w:val="FootnoteText"/>
      </w:pPr>
      <w:r>
        <w:rPr>
          <w:rStyle w:val="FootnoteReference"/>
        </w:rPr>
        <w:footnoteRef/>
      </w:r>
      <w:r>
        <w:tab/>
      </w:r>
      <w:r w:rsidRPr="008A18A0">
        <w:t>Benchmarks represent a standard taxation treatment that applies to similar taxpayers or types of activity</w:t>
      </w:r>
      <w:r>
        <w:t xml:space="preserve"> and can </w:t>
      </w:r>
      <w:r w:rsidRPr="008A18A0">
        <w:t>also incorporate structural elements of the tax system. Determining benchmarks involves judgment, hence, the choice of benchmark can be contentious (Australian Government</w:t>
      </w:r>
      <w:r>
        <w:t> </w:t>
      </w:r>
      <w:r w:rsidRPr="008A18A0">
        <w:t xml:space="preserve">2015).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A34978">
      <w:tc>
        <w:tcPr>
          <w:tcW w:w="2155" w:type="dxa"/>
          <w:tcBorders>
            <w:top w:val="single" w:sz="24" w:space="0" w:color="auto"/>
          </w:tcBorders>
        </w:tcPr>
        <w:p w:rsidR="00A34978" w:rsidRDefault="00A34978" w:rsidP="0019293B">
          <w:pPr>
            <w:pStyle w:val="HeaderEven"/>
          </w:pPr>
        </w:p>
      </w:tc>
      <w:tc>
        <w:tcPr>
          <w:tcW w:w="6634" w:type="dxa"/>
          <w:tcBorders>
            <w:top w:val="single" w:sz="6" w:space="0" w:color="auto"/>
          </w:tcBorders>
        </w:tcPr>
        <w:p w:rsidR="00A34978" w:rsidRDefault="00A34978" w:rsidP="0019293B">
          <w:pPr>
            <w:pStyle w:val="HeaderEven"/>
          </w:pPr>
        </w:p>
      </w:tc>
    </w:tr>
  </w:tbl>
  <w:p w:rsidR="00A34978" w:rsidRDefault="00A34978"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34978">
      <w:tc>
        <w:tcPr>
          <w:tcW w:w="6634" w:type="dxa"/>
          <w:tcBorders>
            <w:top w:val="single" w:sz="6" w:space="0" w:color="auto"/>
          </w:tcBorders>
        </w:tcPr>
        <w:p w:rsidR="00A34978" w:rsidRDefault="00A34978" w:rsidP="00E669E2">
          <w:pPr>
            <w:pStyle w:val="HeaderOdd"/>
          </w:pPr>
        </w:p>
      </w:tc>
      <w:tc>
        <w:tcPr>
          <w:tcW w:w="2155" w:type="dxa"/>
          <w:tcBorders>
            <w:top w:val="single" w:sz="24" w:space="0" w:color="auto"/>
          </w:tcBorders>
        </w:tcPr>
        <w:p w:rsidR="00A34978" w:rsidRDefault="00A34978" w:rsidP="00E669E2">
          <w:pPr>
            <w:pStyle w:val="HeaderOdd"/>
          </w:pPr>
        </w:p>
      </w:tc>
    </w:tr>
  </w:tbl>
  <w:p w:rsidR="00A34978" w:rsidRDefault="00A34978"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521C75D6"/>
    <w:lvl w:ilvl="0">
      <w:start w:val="1"/>
      <w:numFmt w:val="bullet"/>
      <w:lvlText w:val=""/>
      <w:lvlJc w:val="left"/>
      <w:pPr>
        <w:tabs>
          <w:tab w:val="num" w:pos="360"/>
        </w:tabs>
        <w:ind w:left="360" w:hanging="360"/>
      </w:pPr>
      <w:rPr>
        <w:rFonts w:ascii="Symbol" w:hAnsi="Symbol" w:hint="default"/>
      </w:r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227100ED"/>
    <w:multiLevelType w:val="hybridMultilevel"/>
    <w:tmpl w:val="5450E658"/>
    <w:lvl w:ilvl="0" w:tplc="B896D322">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2">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3">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4">
    <w:nsid w:val="3ABB4F5D"/>
    <w:multiLevelType w:val="hybridMultilevel"/>
    <w:tmpl w:val="D13689E0"/>
    <w:lvl w:ilvl="0" w:tplc="E0EAF64E">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9">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0">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3"/>
  </w:num>
  <w:num w:numId="2">
    <w:abstractNumId w:val="3"/>
  </w:num>
  <w:num w:numId="3">
    <w:abstractNumId w:val="16"/>
  </w:num>
  <w:num w:numId="4">
    <w:abstractNumId w:val="4"/>
  </w:num>
  <w:num w:numId="5">
    <w:abstractNumId w:val="21"/>
  </w:num>
  <w:num w:numId="6">
    <w:abstractNumId w:val="18"/>
  </w:num>
  <w:num w:numId="7">
    <w:abstractNumId w:val="8"/>
  </w:num>
  <w:num w:numId="8">
    <w:abstractNumId w:val="17"/>
  </w:num>
  <w:num w:numId="9">
    <w:abstractNumId w:val="7"/>
  </w:num>
  <w:num w:numId="10">
    <w:abstractNumId w:val="6"/>
  </w:num>
  <w:num w:numId="11">
    <w:abstractNumId w:val="11"/>
  </w:num>
  <w:num w:numId="12">
    <w:abstractNumId w:val="12"/>
  </w:num>
  <w:num w:numId="13">
    <w:abstractNumId w:val="5"/>
  </w:num>
  <w:num w:numId="14">
    <w:abstractNumId w:val="19"/>
  </w:num>
  <w:num w:numId="15">
    <w:abstractNumId w:val="22"/>
  </w:num>
  <w:num w:numId="16">
    <w:abstractNumId w:val="15"/>
  </w:num>
  <w:num w:numId="17">
    <w:abstractNumId w:val="23"/>
  </w:num>
  <w:num w:numId="18">
    <w:abstractNumId w:val="0"/>
  </w:num>
  <w:num w:numId="19">
    <w:abstractNumId w:val="2"/>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20"/>
  </w:num>
  <w:num w:numId="21">
    <w:abstractNumId w:val="9"/>
  </w:num>
  <w:num w:numId="22">
    <w:abstractNumId w:val="1"/>
  </w:num>
  <w:num w:numId="23">
    <w:abstractNumId w:val="10"/>
  </w:num>
  <w:num w:numId="24">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3"/>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Methodological changes to the estimates"/>
    <w:docVar w:name="ShortReportTitle" w:val="Trade &amp; Assistance Review 2012-13 Methodological Annex"/>
  </w:docVars>
  <w:rsids>
    <w:rsidRoot w:val="0096563C"/>
    <w:rsid w:val="00002FB1"/>
    <w:rsid w:val="00017DF0"/>
    <w:rsid w:val="000227D5"/>
    <w:rsid w:val="000245AA"/>
    <w:rsid w:val="00034238"/>
    <w:rsid w:val="0003664B"/>
    <w:rsid w:val="00037D1F"/>
    <w:rsid w:val="0004111F"/>
    <w:rsid w:val="00041CC7"/>
    <w:rsid w:val="00051F14"/>
    <w:rsid w:val="00054AF2"/>
    <w:rsid w:val="00055077"/>
    <w:rsid w:val="000565B3"/>
    <w:rsid w:val="0006382F"/>
    <w:rsid w:val="0007150B"/>
    <w:rsid w:val="0008716D"/>
    <w:rsid w:val="000938F5"/>
    <w:rsid w:val="000955F6"/>
    <w:rsid w:val="00095663"/>
    <w:rsid w:val="00096E55"/>
    <w:rsid w:val="0009783E"/>
    <w:rsid w:val="000B1022"/>
    <w:rsid w:val="000B601B"/>
    <w:rsid w:val="000B6FA0"/>
    <w:rsid w:val="000C207E"/>
    <w:rsid w:val="000D0309"/>
    <w:rsid w:val="000D0AEC"/>
    <w:rsid w:val="000D41E9"/>
    <w:rsid w:val="000D750E"/>
    <w:rsid w:val="000F0035"/>
    <w:rsid w:val="000F04E7"/>
    <w:rsid w:val="000F060A"/>
    <w:rsid w:val="000F420B"/>
    <w:rsid w:val="000F5E63"/>
    <w:rsid w:val="00110116"/>
    <w:rsid w:val="00120072"/>
    <w:rsid w:val="00123053"/>
    <w:rsid w:val="001245DE"/>
    <w:rsid w:val="00126EB8"/>
    <w:rsid w:val="001274D4"/>
    <w:rsid w:val="001355DF"/>
    <w:rsid w:val="001363AA"/>
    <w:rsid w:val="0013739A"/>
    <w:rsid w:val="00142165"/>
    <w:rsid w:val="00162434"/>
    <w:rsid w:val="001644A4"/>
    <w:rsid w:val="00164DA7"/>
    <w:rsid w:val="00181BFC"/>
    <w:rsid w:val="00183E82"/>
    <w:rsid w:val="00184F12"/>
    <w:rsid w:val="001878BB"/>
    <w:rsid w:val="00191AE0"/>
    <w:rsid w:val="0019293B"/>
    <w:rsid w:val="0019426B"/>
    <w:rsid w:val="001A2B52"/>
    <w:rsid w:val="001A6A4B"/>
    <w:rsid w:val="001C0865"/>
    <w:rsid w:val="001C0AED"/>
    <w:rsid w:val="001C3ABA"/>
    <w:rsid w:val="001C5111"/>
    <w:rsid w:val="001C5234"/>
    <w:rsid w:val="001E4182"/>
    <w:rsid w:val="001E7BE8"/>
    <w:rsid w:val="001F0248"/>
    <w:rsid w:val="001F0B9A"/>
    <w:rsid w:val="001F3EB3"/>
    <w:rsid w:val="001F4C56"/>
    <w:rsid w:val="001F4F86"/>
    <w:rsid w:val="00200E23"/>
    <w:rsid w:val="00202424"/>
    <w:rsid w:val="00202C2C"/>
    <w:rsid w:val="00203050"/>
    <w:rsid w:val="00211886"/>
    <w:rsid w:val="002135AB"/>
    <w:rsid w:val="002144BE"/>
    <w:rsid w:val="00224B56"/>
    <w:rsid w:val="00225514"/>
    <w:rsid w:val="00242279"/>
    <w:rsid w:val="00243997"/>
    <w:rsid w:val="0024516C"/>
    <w:rsid w:val="00245C82"/>
    <w:rsid w:val="00245D51"/>
    <w:rsid w:val="0025531F"/>
    <w:rsid w:val="0026037B"/>
    <w:rsid w:val="00262F2C"/>
    <w:rsid w:val="00270577"/>
    <w:rsid w:val="002724BA"/>
    <w:rsid w:val="00290C39"/>
    <w:rsid w:val="00291B40"/>
    <w:rsid w:val="002920D1"/>
    <w:rsid w:val="002B0B28"/>
    <w:rsid w:val="002B4008"/>
    <w:rsid w:val="002B6A23"/>
    <w:rsid w:val="002C439F"/>
    <w:rsid w:val="002D0C42"/>
    <w:rsid w:val="002D0E8E"/>
    <w:rsid w:val="002E2DCF"/>
    <w:rsid w:val="002E555C"/>
    <w:rsid w:val="002F2260"/>
    <w:rsid w:val="002F308D"/>
    <w:rsid w:val="00301189"/>
    <w:rsid w:val="00301E4A"/>
    <w:rsid w:val="003076F8"/>
    <w:rsid w:val="00311BE9"/>
    <w:rsid w:val="003168B8"/>
    <w:rsid w:val="00316E40"/>
    <w:rsid w:val="00322D64"/>
    <w:rsid w:val="00323E09"/>
    <w:rsid w:val="0032478E"/>
    <w:rsid w:val="00333932"/>
    <w:rsid w:val="00343CAA"/>
    <w:rsid w:val="0034737E"/>
    <w:rsid w:val="003518AA"/>
    <w:rsid w:val="00352165"/>
    <w:rsid w:val="00353182"/>
    <w:rsid w:val="003565D9"/>
    <w:rsid w:val="00356EB7"/>
    <w:rsid w:val="003602E1"/>
    <w:rsid w:val="00367A3B"/>
    <w:rsid w:val="0037026F"/>
    <w:rsid w:val="00371139"/>
    <w:rsid w:val="00371240"/>
    <w:rsid w:val="00374731"/>
    <w:rsid w:val="00376E59"/>
    <w:rsid w:val="00377EC1"/>
    <w:rsid w:val="00380340"/>
    <w:rsid w:val="00383BC4"/>
    <w:rsid w:val="003919F9"/>
    <w:rsid w:val="003920CF"/>
    <w:rsid w:val="00393EDB"/>
    <w:rsid w:val="003B0CF6"/>
    <w:rsid w:val="003B23C2"/>
    <w:rsid w:val="003B3BDC"/>
    <w:rsid w:val="003C2B6F"/>
    <w:rsid w:val="003C38B5"/>
    <w:rsid w:val="003C5D99"/>
    <w:rsid w:val="003D1087"/>
    <w:rsid w:val="003E0242"/>
    <w:rsid w:val="003E2F59"/>
    <w:rsid w:val="003E746B"/>
    <w:rsid w:val="003F0789"/>
    <w:rsid w:val="003F13F3"/>
    <w:rsid w:val="00401882"/>
    <w:rsid w:val="004023B4"/>
    <w:rsid w:val="004100C8"/>
    <w:rsid w:val="00411DBD"/>
    <w:rsid w:val="00412ACE"/>
    <w:rsid w:val="004145D2"/>
    <w:rsid w:val="00426CB4"/>
    <w:rsid w:val="00431249"/>
    <w:rsid w:val="00434C19"/>
    <w:rsid w:val="004454F0"/>
    <w:rsid w:val="0045029B"/>
    <w:rsid w:val="00450810"/>
    <w:rsid w:val="00462C59"/>
    <w:rsid w:val="004645F6"/>
    <w:rsid w:val="0046708E"/>
    <w:rsid w:val="00470737"/>
    <w:rsid w:val="00471383"/>
    <w:rsid w:val="00471F48"/>
    <w:rsid w:val="00476568"/>
    <w:rsid w:val="00477144"/>
    <w:rsid w:val="00477BBD"/>
    <w:rsid w:val="004832A4"/>
    <w:rsid w:val="00491380"/>
    <w:rsid w:val="0049459F"/>
    <w:rsid w:val="004A1718"/>
    <w:rsid w:val="004A38DD"/>
    <w:rsid w:val="004B43AE"/>
    <w:rsid w:val="004B582A"/>
    <w:rsid w:val="004B6942"/>
    <w:rsid w:val="004C28AB"/>
    <w:rsid w:val="004C30ED"/>
    <w:rsid w:val="004D4750"/>
    <w:rsid w:val="004D5675"/>
    <w:rsid w:val="004E1037"/>
    <w:rsid w:val="004E3FC1"/>
    <w:rsid w:val="004F28DD"/>
    <w:rsid w:val="005044AE"/>
    <w:rsid w:val="005104E1"/>
    <w:rsid w:val="00510659"/>
    <w:rsid w:val="00517795"/>
    <w:rsid w:val="00517A42"/>
    <w:rsid w:val="005205D0"/>
    <w:rsid w:val="00523639"/>
    <w:rsid w:val="0053072F"/>
    <w:rsid w:val="00531FE5"/>
    <w:rsid w:val="0053787B"/>
    <w:rsid w:val="005402FA"/>
    <w:rsid w:val="005470DD"/>
    <w:rsid w:val="00551BCA"/>
    <w:rsid w:val="0055548D"/>
    <w:rsid w:val="00555B57"/>
    <w:rsid w:val="00564326"/>
    <w:rsid w:val="00566A79"/>
    <w:rsid w:val="005729BD"/>
    <w:rsid w:val="00577FBC"/>
    <w:rsid w:val="00580154"/>
    <w:rsid w:val="00583C39"/>
    <w:rsid w:val="00586A90"/>
    <w:rsid w:val="00587F28"/>
    <w:rsid w:val="005909CF"/>
    <w:rsid w:val="00591E71"/>
    <w:rsid w:val="005A00E4"/>
    <w:rsid w:val="005A0D41"/>
    <w:rsid w:val="005B46AC"/>
    <w:rsid w:val="005C07CA"/>
    <w:rsid w:val="005C0AFD"/>
    <w:rsid w:val="005D329F"/>
    <w:rsid w:val="005D587C"/>
    <w:rsid w:val="005F00E9"/>
    <w:rsid w:val="005F48ED"/>
    <w:rsid w:val="005F5116"/>
    <w:rsid w:val="006045E0"/>
    <w:rsid w:val="00606E78"/>
    <w:rsid w:val="00607BF1"/>
    <w:rsid w:val="00612E01"/>
    <w:rsid w:val="00614F23"/>
    <w:rsid w:val="006216BA"/>
    <w:rsid w:val="00625D6B"/>
    <w:rsid w:val="00630D4D"/>
    <w:rsid w:val="00632A74"/>
    <w:rsid w:val="0064001D"/>
    <w:rsid w:val="006434C7"/>
    <w:rsid w:val="00652897"/>
    <w:rsid w:val="00654D42"/>
    <w:rsid w:val="00666E02"/>
    <w:rsid w:val="00682451"/>
    <w:rsid w:val="00683FF6"/>
    <w:rsid w:val="00686A3F"/>
    <w:rsid w:val="006A14E5"/>
    <w:rsid w:val="006A308A"/>
    <w:rsid w:val="006A4655"/>
    <w:rsid w:val="006A7FF6"/>
    <w:rsid w:val="006B2B3C"/>
    <w:rsid w:val="006C1D81"/>
    <w:rsid w:val="006C3CA1"/>
    <w:rsid w:val="006C7038"/>
    <w:rsid w:val="006D30BF"/>
    <w:rsid w:val="006E519C"/>
    <w:rsid w:val="006E73EF"/>
    <w:rsid w:val="006F3D84"/>
    <w:rsid w:val="007079C9"/>
    <w:rsid w:val="00714D4D"/>
    <w:rsid w:val="007152BD"/>
    <w:rsid w:val="007266D3"/>
    <w:rsid w:val="00732029"/>
    <w:rsid w:val="0073787A"/>
    <w:rsid w:val="007408DD"/>
    <w:rsid w:val="00743F97"/>
    <w:rsid w:val="00755461"/>
    <w:rsid w:val="007604BB"/>
    <w:rsid w:val="00761422"/>
    <w:rsid w:val="00772909"/>
    <w:rsid w:val="00774EAE"/>
    <w:rsid w:val="007819ED"/>
    <w:rsid w:val="00782B69"/>
    <w:rsid w:val="00785232"/>
    <w:rsid w:val="00786FBF"/>
    <w:rsid w:val="007963D1"/>
    <w:rsid w:val="0079701E"/>
    <w:rsid w:val="007A0C67"/>
    <w:rsid w:val="007A21EB"/>
    <w:rsid w:val="007A6E77"/>
    <w:rsid w:val="007B1A93"/>
    <w:rsid w:val="007B4475"/>
    <w:rsid w:val="007C36C9"/>
    <w:rsid w:val="007D6401"/>
    <w:rsid w:val="007D795A"/>
    <w:rsid w:val="007E01E4"/>
    <w:rsid w:val="007E7A12"/>
    <w:rsid w:val="007F3143"/>
    <w:rsid w:val="007F7107"/>
    <w:rsid w:val="00800D4C"/>
    <w:rsid w:val="0081030F"/>
    <w:rsid w:val="00812F4A"/>
    <w:rsid w:val="008136A0"/>
    <w:rsid w:val="0082087D"/>
    <w:rsid w:val="00822A8C"/>
    <w:rsid w:val="00831008"/>
    <w:rsid w:val="00835771"/>
    <w:rsid w:val="00836A27"/>
    <w:rsid w:val="00840F4D"/>
    <w:rsid w:val="00841971"/>
    <w:rsid w:val="00842933"/>
    <w:rsid w:val="0086082C"/>
    <w:rsid w:val="00864ADC"/>
    <w:rsid w:val="00874C61"/>
    <w:rsid w:val="00880153"/>
    <w:rsid w:val="00880F97"/>
    <w:rsid w:val="0088133A"/>
    <w:rsid w:val="0089285E"/>
    <w:rsid w:val="0089436C"/>
    <w:rsid w:val="008A0772"/>
    <w:rsid w:val="008A18A0"/>
    <w:rsid w:val="008B4864"/>
    <w:rsid w:val="008C61F6"/>
    <w:rsid w:val="008D1408"/>
    <w:rsid w:val="008D2141"/>
    <w:rsid w:val="008D365C"/>
    <w:rsid w:val="008D7622"/>
    <w:rsid w:val="00900971"/>
    <w:rsid w:val="009021A6"/>
    <w:rsid w:val="009030BF"/>
    <w:rsid w:val="00903B52"/>
    <w:rsid w:val="0091032F"/>
    <w:rsid w:val="00914368"/>
    <w:rsid w:val="0091524D"/>
    <w:rsid w:val="009223D9"/>
    <w:rsid w:val="00924187"/>
    <w:rsid w:val="00931076"/>
    <w:rsid w:val="009345D9"/>
    <w:rsid w:val="00934B15"/>
    <w:rsid w:val="00940C87"/>
    <w:rsid w:val="0094180E"/>
    <w:rsid w:val="00942B62"/>
    <w:rsid w:val="0094417E"/>
    <w:rsid w:val="00946F8A"/>
    <w:rsid w:val="0095323B"/>
    <w:rsid w:val="00956A0C"/>
    <w:rsid w:val="00956BD9"/>
    <w:rsid w:val="00962489"/>
    <w:rsid w:val="0096563C"/>
    <w:rsid w:val="00965F18"/>
    <w:rsid w:val="00967CD3"/>
    <w:rsid w:val="00990C2C"/>
    <w:rsid w:val="00996573"/>
    <w:rsid w:val="009A5171"/>
    <w:rsid w:val="009D5C45"/>
    <w:rsid w:val="009E1844"/>
    <w:rsid w:val="009E436B"/>
    <w:rsid w:val="009F03D5"/>
    <w:rsid w:val="009F0D1B"/>
    <w:rsid w:val="009F552A"/>
    <w:rsid w:val="009F5BBD"/>
    <w:rsid w:val="009F696D"/>
    <w:rsid w:val="009F6BC6"/>
    <w:rsid w:val="009F74EF"/>
    <w:rsid w:val="00A02826"/>
    <w:rsid w:val="00A14D88"/>
    <w:rsid w:val="00A15D5A"/>
    <w:rsid w:val="00A16506"/>
    <w:rsid w:val="00A17328"/>
    <w:rsid w:val="00A20CCF"/>
    <w:rsid w:val="00A20E1C"/>
    <w:rsid w:val="00A23A20"/>
    <w:rsid w:val="00A24443"/>
    <w:rsid w:val="00A268B9"/>
    <w:rsid w:val="00A268C7"/>
    <w:rsid w:val="00A2703A"/>
    <w:rsid w:val="00A30970"/>
    <w:rsid w:val="00A33DFF"/>
    <w:rsid w:val="00A34978"/>
    <w:rsid w:val="00A35115"/>
    <w:rsid w:val="00A36D9A"/>
    <w:rsid w:val="00A41CBD"/>
    <w:rsid w:val="00A44356"/>
    <w:rsid w:val="00A451DC"/>
    <w:rsid w:val="00A554AB"/>
    <w:rsid w:val="00A55654"/>
    <w:rsid w:val="00A57062"/>
    <w:rsid w:val="00A63FAB"/>
    <w:rsid w:val="00A64045"/>
    <w:rsid w:val="00A67781"/>
    <w:rsid w:val="00A73717"/>
    <w:rsid w:val="00A75859"/>
    <w:rsid w:val="00A761F9"/>
    <w:rsid w:val="00A84A0F"/>
    <w:rsid w:val="00A92B53"/>
    <w:rsid w:val="00A94789"/>
    <w:rsid w:val="00A94FA6"/>
    <w:rsid w:val="00AA49A0"/>
    <w:rsid w:val="00AA6710"/>
    <w:rsid w:val="00AB0681"/>
    <w:rsid w:val="00AB58C6"/>
    <w:rsid w:val="00AB5CAD"/>
    <w:rsid w:val="00AC3A15"/>
    <w:rsid w:val="00AC45F0"/>
    <w:rsid w:val="00AD520B"/>
    <w:rsid w:val="00AD5484"/>
    <w:rsid w:val="00AE1F4D"/>
    <w:rsid w:val="00AE3B21"/>
    <w:rsid w:val="00AE3BCC"/>
    <w:rsid w:val="00B0331F"/>
    <w:rsid w:val="00B425C3"/>
    <w:rsid w:val="00B43B44"/>
    <w:rsid w:val="00B440AD"/>
    <w:rsid w:val="00B479BB"/>
    <w:rsid w:val="00B5034D"/>
    <w:rsid w:val="00B51181"/>
    <w:rsid w:val="00B53160"/>
    <w:rsid w:val="00B53E7E"/>
    <w:rsid w:val="00B544D8"/>
    <w:rsid w:val="00B55A30"/>
    <w:rsid w:val="00B6342E"/>
    <w:rsid w:val="00B7113F"/>
    <w:rsid w:val="00B7526F"/>
    <w:rsid w:val="00B8554F"/>
    <w:rsid w:val="00BA18C7"/>
    <w:rsid w:val="00BA1CF0"/>
    <w:rsid w:val="00BA2BCF"/>
    <w:rsid w:val="00BA5B14"/>
    <w:rsid w:val="00BA73B6"/>
    <w:rsid w:val="00BA7E27"/>
    <w:rsid w:val="00BB2603"/>
    <w:rsid w:val="00BB286E"/>
    <w:rsid w:val="00BB4FCD"/>
    <w:rsid w:val="00BC04E9"/>
    <w:rsid w:val="00BD13EA"/>
    <w:rsid w:val="00BD386E"/>
    <w:rsid w:val="00BE177C"/>
    <w:rsid w:val="00BE3808"/>
    <w:rsid w:val="00BF7BF0"/>
    <w:rsid w:val="00C03B88"/>
    <w:rsid w:val="00C04CCB"/>
    <w:rsid w:val="00C058F9"/>
    <w:rsid w:val="00C062E9"/>
    <w:rsid w:val="00C07B64"/>
    <w:rsid w:val="00C13721"/>
    <w:rsid w:val="00C14FE4"/>
    <w:rsid w:val="00C21358"/>
    <w:rsid w:val="00C3066D"/>
    <w:rsid w:val="00C31A23"/>
    <w:rsid w:val="00C404BA"/>
    <w:rsid w:val="00C44B4A"/>
    <w:rsid w:val="00C47417"/>
    <w:rsid w:val="00C52416"/>
    <w:rsid w:val="00C543F4"/>
    <w:rsid w:val="00C6291C"/>
    <w:rsid w:val="00C633CB"/>
    <w:rsid w:val="00C63683"/>
    <w:rsid w:val="00C664CD"/>
    <w:rsid w:val="00C66F6F"/>
    <w:rsid w:val="00C679CB"/>
    <w:rsid w:val="00C7363F"/>
    <w:rsid w:val="00C736B7"/>
    <w:rsid w:val="00C80D49"/>
    <w:rsid w:val="00C81D4A"/>
    <w:rsid w:val="00C8762C"/>
    <w:rsid w:val="00CA00F9"/>
    <w:rsid w:val="00CA2961"/>
    <w:rsid w:val="00CB50D7"/>
    <w:rsid w:val="00CB6FD0"/>
    <w:rsid w:val="00CB7177"/>
    <w:rsid w:val="00CB7CED"/>
    <w:rsid w:val="00CC070F"/>
    <w:rsid w:val="00CC14E6"/>
    <w:rsid w:val="00CC1998"/>
    <w:rsid w:val="00CC4946"/>
    <w:rsid w:val="00CC64A1"/>
    <w:rsid w:val="00CD39C9"/>
    <w:rsid w:val="00CD5EF0"/>
    <w:rsid w:val="00CF0D22"/>
    <w:rsid w:val="00CF3B11"/>
    <w:rsid w:val="00D10769"/>
    <w:rsid w:val="00D17BC8"/>
    <w:rsid w:val="00D270A4"/>
    <w:rsid w:val="00D300B7"/>
    <w:rsid w:val="00D314CF"/>
    <w:rsid w:val="00D31FE9"/>
    <w:rsid w:val="00D34961"/>
    <w:rsid w:val="00D34E1B"/>
    <w:rsid w:val="00D376BA"/>
    <w:rsid w:val="00D434A0"/>
    <w:rsid w:val="00D45634"/>
    <w:rsid w:val="00D50218"/>
    <w:rsid w:val="00D51481"/>
    <w:rsid w:val="00D5568A"/>
    <w:rsid w:val="00D57707"/>
    <w:rsid w:val="00D63D73"/>
    <w:rsid w:val="00D64452"/>
    <w:rsid w:val="00D65BDE"/>
    <w:rsid w:val="00D66E1E"/>
    <w:rsid w:val="00D70696"/>
    <w:rsid w:val="00D72D82"/>
    <w:rsid w:val="00D74343"/>
    <w:rsid w:val="00D746EB"/>
    <w:rsid w:val="00D75722"/>
    <w:rsid w:val="00D80CF5"/>
    <w:rsid w:val="00D846FF"/>
    <w:rsid w:val="00D97BBD"/>
    <w:rsid w:val="00DA5BBA"/>
    <w:rsid w:val="00DB26D2"/>
    <w:rsid w:val="00DB2CFA"/>
    <w:rsid w:val="00DB511E"/>
    <w:rsid w:val="00DB67C9"/>
    <w:rsid w:val="00DB6D6A"/>
    <w:rsid w:val="00DC0C95"/>
    <w:rsid w:val="00DC49E5"/>
    <w:rsid w:val="00DC4F0B"/>
    <w:rsid w:val="00DC5FBC"/>
    <w:rsid w:val="00DC6A16"/>
    <w:rsid w:val="00DD6580"/>
    <w:rsid w:val="00DE57BD"/>
    <w:rsid w:val="00E01D7F"/>
    <w:rsid w:val="00E04897"/>
    <w:rsid w:val="00E05C03"/>
    <w:rsid w:val="00E06256"/>
    <w:rsid w:val="00E17C72"/>
    <w:rsid w:val="00E21FC6"/>
    <w:rsid w:val="00E23426"/>
    <w:rsid w:val="00E255BE"/>
    <w:rsid w:val="00E2572D"/>
    <w:rsid w:val="00E431A9"/>
    <w:rsid w:val="00E50285"/>
    <w:rsid w:val="00E5247B"/>
    <w:rsid w:val="00E52ABD"/>
    <w:rsid w:val="00E57B34"/>
    <w:rsid w:val="00E669E2"/>
    <w:rsid w:val="00E76135"/>
    <w:rsid w:val="00E82E5D"/>
    <w:rsid w:val="00E82F4F"/>
    <w:rsid w:val="00E8483E"/>
    <w:rsid w:val="00E864DF"/>
    <w:rsid w:val="00E94DC6"/>
    <w:rsid w:val="00E96EAB"/>
    <w:rsid w:val="00EA21E3"/>
    <w:rsid w:val="00EB18C0"/>
    <w:rsid w:val="00EB2CC3"/>
    <w:rsid w:val="00EC2844"/>
    <w:rsid w:val="00EC5500"/>
    <w:rsid w:val="00EC6BB9"/>
    <w:rsid w:val="00ED18F8"/>
    <w:rsid w:val="00ED2299"/>
    <w:rsid w:val="00ED79BE"/>
    <w:rsid w:val="00EE22DB"/>
    <w:rsid w:val="00EE6EDA"/>
    <w:rsid w:val="00EE778E"/>
    <w:rsid w:val="00EF1A26"/>
    <w:rsid w:val="00EF6719"/>
    <w:rsid w:val="00EF68D0"/>
    <w:rsid w:val="00EF6C6C"/>
    <w:rsid w:val="00F056FC"/>
    <w:rsid w:val="00F0632F"/>
    <w:rsid w:val="00F069AE"/>
    <w:rsid w:val="00F10476"/>
    <w:rsid w:val="00F135D8"/>
    <w:rsid w:val="00F17A50"/>
    <w:rsid w:val="00F24750"/>
    <w:rsid w:val="00F31299"/>
    <w:rsid w:val="00F3534A"/>
    <w:rsid w:val="00F35BFB"/>
    <w:rsid w:val="00F36ACC"/>
    <w:rsid w:val="00F4305D"/>
    <w:rsid w:val="00F452A8"/>
    <w:rsid w:val="00F51609"/>
    <w:rsid w:val="00F533FA"/>
    <w:rsid w:val="00F55C25"/>
    <w:rsid w:val="00F55CEC"/>
    <w:rsid w:val="00F73727"/>
    <w:rsid w:val="00F766A7"/>
    <w:rsid w:val="00F81006"/>
    <w:rsid w:val="00F85325"/>
    <w:rsid w:val="00F90CF4"/>
    <w:rsid w:val="00F90EC2"/>
    <w:rsid w:val="00F92FA5"/>
    <w:rsid w:val="00FA4138"/>
    <w:rsid w:val="00FA5DEB"/>
    <w:rsid w:val="00FB7EB0"/>
    <w:rsid w:val="00FC0E9C"/>
    <w:rsid w:val="00FC7646"/>
    <w:rsid w:val="00FD11E9"/>
    <w:rsid w:val="00FD22B1"/>
    <w:rsid w:val="00FD33F1"/>
    <w:rsid w:val="00FD3566"/>
    <w:rsid w:val="00FD7E0F"/>
    <w:rsid w:val="00FE5397"/>
    <w:rsid w:val="00FF2389"/>
    <w:rsid w:val="00FF598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paragraph" w:styleId="Revision">
    <w:name w:val="Revision"/>
    <w:hidden/>
    <w:uiPriority w:val="99"/>
    <w:semiHidden/>
    <w:rsid w:val="0073787A"/>
    <w:rPr>
      <w:sz w:val="24"/>
      <w:szCs w:val="24"/>
    </w:rPr>
  </w:style>
  <w:style w:type="character" w:customStyle="1" w:styleId="Heading3Char">
    <w:name w:val="Heading 3 Char"/>
    <w:basedOn w:val="DefaultParagraphFont"/>
    <w:link w:val="Heading3"/>
    <w:rsid w:val="00BF7BF0"/>
    <w:rPr>
      <w:rFonts w:ascii="Arial" w:hAnsi="Arial"/>
      <w:b/>
      <w:sz w:val="26"/>
    </w:rPr>
  </w:style>
  <w:style w:type="paragraph" w:styleId="CommentSubject">
    <w:name w:val="annotation subject"/>
    <w:basedOn w:val="CommentText"/>
    <w:next w:val="CommentText"/>
    <w:link w:val="CommentSubjectChar"/>
    <w:rsid w:val="002B0B28"/>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2B0B28"/>
    <w:rPr>
      <w:szCs w:val="24"/>
    </w:rPr>
  </w:style>
  <w:style w:type="character" w:customStyle="1" w:styleId="CommentSubjectChar">
    <w:name w:val="Comment Subject Char"/>
    <w:basedOn w:val="CommentTextChar"/>
    <w:link w:val="CommentSubject"/>
    <w:rsid w:val="002B0B28"/>
    <w:rPr>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paragraph" w:styleId="Revision">
    <w:name w:val="Revision"/>
    <w:hidden/>
    <w:uiPriority w:val="99"/>
    <w:semiHidden/>
    <w:rsid w:val="0073787A"/>
    <w:rPr>
      <w:sz w:val="24"/>
      <w:szCs w:val="24"/>
    </w:rPr>
  </w:style>
  <w:style w:type="character" w:customStyle="1" w:styleId="Heading3Char">
    <w:name w:val="Heading 3 Char"/>
    <w:basedOn w:val="DefaultParagraphFont"/>
    <w:link w:val="Heading3"/>
    <w:rsid w:val="00BF7BF0"/>
    <w:rPr>
      <w:rFonts w:ascii="Arial" w:hAnsi="Arial"/>
      <w:b/>
      <w:sz w:val="26"/>
    </w:rPr>
  </w:style>
  <w:style w:type="paragraph" w:styleId="CommentSubject">
    <w:name w:val="annotation subject"/>
    <w:basedOn w:val="CommentText"/>
    <w:next w:val="CommentText"/>
    <w:link w:val="CommentSubjectChar"/>
    <w:rsid w:val="002B0B28"/>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2B0B28"/>
    <w:rPr>
      <w:szCs w:val="24"/>
    </w:rPr>
  </w:style>
  <w:style w:type="character" w:customStyle="1" w:styleId="CommentSubjectChar">
    <w:name w:val="Comment Subject Char"/>
    <w:basedOn w:val="CommentTextChar"/>
    <w:link w:val="CommentSubject"/>
    <w:rsid w:val="002B0B28"/>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06FFEF-94AB-41A5-A4D9-BDED5ED07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203</TotalTime>
  <Pages>7</Pages>
  <Words>2295</Words>
  <Characters>12596</Characters>
  <Application>Microsoft Office Word</Application>
  <DocSecurity>0</DocSecurity>
  <Lines>662</Lines>
  <Paragraphs>425</Paragraphs>
  <ScaleCrop>false</ScaleCrop>
  <HeadingPairs>
    <vt:vector size="2" baseType="variant">
      <vt:variant>
        <vt:lpstr>Title</vt:lpstr>
      </vt:variant>
      <vt:variant>
        <vt:i4>1</vt:i4>
      </vt:variant>
    </vt:vector>
  </HeadingPairs>
  <TitlesOfParts>
    <vt:vector size="1" baseType="lpstr">
      <vt:lpstr>Methodological changes to the estimates</vt:lpstr>
    </vt:vector>
  </TitlesOfParts>
  <Company>Productivity Commission</Company>
  <LinksUpToDate>false</LinksUpToDate>
  <CharactersWithSpaces>14466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Methodological changes to the estimates</dc:title>
  <dc:subject>Trade &amp; Assistance Review 2013-14 Methodological Annex</dc:subject>
  <dc:creator>Productivity Commission</dc:creator>
  <dc:description>4.</dc:description>
  <cp:lastModifiedBy>Michelle Cross</cp:lastModifiedBy>
  <cp:revision>11</cp:revision>
  <cp:lastPrinted>2015-11-10T05:44:00Z</cp:lastPrinted>
  <dcterms:created xsi:type="dcterms:W3CDTF">2015-10-30T03:08:00Z</dcterms:created>
  <dcterms:modified xsi:type="dcterms:W3CDTF">2015-11-16T00:52:00Z</dcterms:modified>
</cp:coreProperties>
</file>