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E55511" w:rsidP="00A85DD3">
      <w:pPr>
        <w:pStyle w:val="Heading1"/>
      </w:pPr>
      <w:bookmarkStart w:id="0" w:name="_AppendixNotByChapter"/>
      <w:bookmarkStart w:id="1" w:name="ChapterNumber"/>
      <w:bookmarkEnd w:id="0"/>
      <w:r>
        <w:t>A</w:t>
      </w:r>
      <w:bookmarkEnd w:id="1"/>
      <w:r>
        <w:tab/>
      </w:r>
      <w:bookmarkStart w:id="2" w:name="ChapterTitle"/>
      <w:r>
        <w:t>Rules of Origin calculations for the Japan-Australia agreement</w:t>
      </w:r>
      <w:bookmarkEnd w:id="2"/>
    </w:p>
    <w:p w:rsidR="00CD63FE" w:rsidRDefault="008542A1" w:rsidP="00CD63FE">
      <w:pPr>
        <w:pStyle w:val="BodyText"/>
      </w:pPr>
      <w:bookmarkStart w:id="3" w:name="begin"/>
      <w:bookmarkEnd w:id="3"/>
      <w:r>
        <w:t>Th</w:t>
      </w:r>
      <w:r w:rsidR="00F31773">
        <w:t xml:space="preserve">is </w:t>
      </w:r>
      <w:r>
        <w:t>appendix outlines the more detailed calculations for the Japan</w:t>
      </w:r>
      <w:r w:rsidR="001B4CEC">
        <w:t>–</w:t>
      </w:r>
      <w:r>
        <w:t>Australia agreement</w:t>
      </w:r>
      <w:r w:rsidR="001B4CEC">
        <w:t xml:space="preserve"> that </w:t>
      </w:r>
      <w:r>
        <w:t>support</w:t>
      </w:r>
      <w:r w:rsidR="001B4CEC">
        <w:t>s</w:t>
      </w:r>
      <w:r>
        <w:t xml:space="preserve"> the methodology used to create the rules of origin figures published in the </w:t>
      </w:r>
      <w:r w:rsidRPr="001B4CEC">
        <w:rPr>
          <w:i/>
        </w:rPr>
        <w:t>Trade &amp; Assistance Review 2013</w:t>
      </w:r>
      <w:r w:rsidRPr="001B4CEC">
        <w:rPr>
          <w:i/>
        </w:rPr>
        <w:noBreakHyphen/>
        <w:t>14</w:t>
      </w:r>
      <w:r>
        <w:t xml:space="preserve"> </w:t>
      </w:r>
      <w:r w:rsidR="001B4CEC">
        <w:t>(</w:t>
      </w:r>
      <w:r w:rsidR="00F31773">
        <w:t xml:space="preserve">replicated in </w:t>
      </w:r>
      <w:r>
        <w:t>figure</w:t>
      </w:r>
      <w:r w:rsidR="001B4CEC">
        <w:t> </w:t>
      </w:r>
      <w:r>
        <w:t>5.1 and table</w:t>
      </w:r>
      <w:r w:rsidR="001B4CEC">
        <w:t> </w:t>
      </w:r>
      <w:r>
        <w:t>5.1</w:t>
      </w:r>
      <w:r w:rsidR="001B4CEC">
        <w:t>)</w:t>
      </w:r>
      <w:r>
        <w:t xml:space="preserve">. The detailed calculations for Australia’s agreements with New Zealand, Thailand, the United States, Chile, ASEAN, Malaysia and Korea were presented in last year’s annex. </w:t>
      </w:r>
      <w:r w:rsidR="00CD63FE">
        <w:t xml:space="preserve">The data set constructed using the methodology described below is at: </w:t>
      </w:r>
      <w:r w:rsidR="00A85DD3" w:rsidRPr="00A85DD3">
        <w:t>http://</w:t>
      </w:r>
      <w:proofErr w:type="spellStart"/>
      <w:r w:rsidR="00A85DD3" w:rsidRPr="00A85DD3">
        <w:t>www.pc.gov.au</w:t>
      </w:r>
      <w:proofErr w:type="spellEnd"/>
      <w:r w:rsidR="00A85DD3" w:rsidRPr="00A85DD3">
        <w:t>/</w:t>
      </w:r>
      <w:r w:rsidR="00A85DD3">
        <w:br/>
      </w:r>
      <w:r w:rsidR="00A85DD3" w:rsidRPr="00A85DD3">
        <w:t>research/ongoing/trade-assistance/2013-14</w:t>
      </w:r>
      <w:r w:rsidR="001B4CEC">
        <w:t xml:space="preserve">; and </w:t>
      </w:r>
      <w:r w:rsidR="00A85DD3" w:rsidRPr="00A85DD3">
        <w:t>http://</w:t>
      </w:r>
      <w:proofErr w:type="spellStart"/>
      <w:r w:rsidR="00A85DD3" w:rsidRPr="00A85DD3">
        <w:t>www.pc.gov.au</w:t>
      </w:r>
      <w:proofErr w:type="spellEnd"/>
      <w:r w:rsidR="00A85DD3" w:rsidRPr="00A85DD3">
        <w:t>/research/ongoing/</w:t>
      </w:r>
      <w:r w:rsidR="00A85DD3">
        <w:br/>
      </w:r>
      <w:r w:rsidR="00A85DD3" w:rsidRPr="00A85DD3">
        <w:t>trade-assistance/2012-13</w:t>
      </w:r>
      <w:r w:rsidR="001B4CEC">
        <w:t xml:space="preserve"> for the agreements detailed in last year’s annex. </w:t>
      </w:r>
    </w:p>
    <w:p w:rsidR="001B4CEC" w:rsidRDefault="001B4CEC" w:rsidP="001B4CEC">
      <w:pPr>
        <w:pStyle w:val="Heading2"/>
      </w:pPr>
      <w:r>
        <w:t>The Japan-Australia agreement</w:t>
      </w:r>
    </w:p>
    <w:p w:rsidR="00A71D3A" w:rsidRDefault="00CD63FE" w:rsidP="00CD63FE">
      <w:pPr>
        <w:pStyle w:val="BodyText"/>
      </w:pPr>
      <w:r>
        <w:t xml:space="preserve">The product-specific rules of origin for the </w:t>
      </w:r>
      <w:r w:rsidR="00087F5D">
        <w:t>Japan–</w:t>
      </w:r>
      <w:r>
        <w:t>Australia agreement which c</w:t>
      </w:r>
      <w:r w:rsidR="000C021A">
        <w:t>ame into force on 1</w:t>
      </w:r>
      <w:r w:rsidR="00087F5D">
        <w:t>5</w:t>
      </w:r>
      <w:r w:rsidR="000C021A">
        <w:t xml:space="preserve"> January 20</w:t>
      </w:r>
      <w:r w:rsidR="00087F5D">
        <w:t>15</w:t>
      </w:r>
      <w:r>
        <w:t xml:space="preserve"> are available at </w:t>
      </w:r>
      <w:r w:rsidR="00A71D3A" w:rsidRPr="008B276E">
        <w:t>http://dfat.gov.au/trade/agreements/jaepa/official-documents/Documents/jaepa-annex-2.pdf</w:t>
      </w:r>
      <w:r w:rsidR="00A71D3A">
        <w:t xml:space="preserve">. </w:t>
      </w:r>
    </w:p>
    <w:p w:rsidR="00EF14B4" w:rsidRDefault="00EF14B4" w:rsidP="00EF14B4">
      <w:pPr>
        <w:pStyle w:val="BodyText"/>
      </w:pPr>
      <w:r>
        <w:t xml:space="preserve">For this agreement, each rule has been assigned its own unique identifier/acronym as appears in column D of the Japan Excel spreadsheet. Where there is a choice of rule, only the first rule is counted to avoid double counting of rules. A simple count of the number of each acronym is then performed to collate the data for </w:t>
      </w:r>
      <w:r w:rsidR="00F31773">
        <w:t>f</w:t>
      </w:r>
      <w:r>
        <w:t>igure</w:t>
      </w:r>
      <w:r w:rsidR="00F31773">
        <w:t> </w:t>
      </w:r>
      <w:r>
        <w:t xml:space="preserve">5.1. Acronyms have the following concordance: </w:t>
      </w:r>
    </w:p>
    <w:p w:rsidR="00EF14B4" w:rsidRDefault="00EF14B4" w:rsidP="00EF14B4">
      <w:pPr>
        <w:pStyle w:val="ListBullet"/>
      </w:pPr>
      <w:r>
        <w:t>WO</w:t>
      </w:r>
      <w:r>
        <w:tab/>
        <w:t>Wholly obtained</w:t>
      </w:r>
    </w:p>
    <w:p w:rsidR="00EF14B4" w:rsidRDefault="00EF14B4" w:rsidP="00EF14B4">
      <w:pPr>
        <w:pStyle w:val="ListBullet"/>
      </w:pPr>
      <w:r>
        <w:t>CC</w:t>
      </w:r>
      <w:r>
        <w:tab/>
      </w:r>
      <w:r>
        <w:tab/>
        <w:t>Tariff change at 2-digit chapter level</w:t>
      </w:r>
    </w:p>
    <w:p w:rsidR="00EF14B4" w:rsidRDefault="00EF14B4" w:rsidP="00EF14B4">
      <w:pPr>
        <w:pStyle w:val="ListBullet"/>
      </w:pPr>
      <w:r>
        <w:t>CTH</w:t>
      </w:r>
      <w:r>
        <w:tab/>
        <w:t>Tariff change at 4-digit heading level</w:t>
      </w:r>
    </w:p>
    <w:p w:rsidR="00EF14B4" w:rsidRDefault="00EF14B4" w:rsidP="00EF14B4">
      <w:pPr>
        <w:pStyle w:val="ListBullet"/>
      </w:pPr>
      <w:r>
        <w:t>CTSH</w:t>
      </w:r>
      <w:r>
        <w:tab/>
        <w:t>Tariff change at 6-digit subheading level</w:t>
      </w:r>
    </w:p>
    <w:p w:rsidR="00EF14B4" w:rsidRPr="00291173" w:rsidRDefault="00EF14B4" w:rsidP="00EF14B4">
      <w:pPr>
        <w:pStyle w:val="ListBullet"/>
      </w:pPr>
      <w:r w:rsidRPr="00291173">
        <w:t xml:space="preserve">QVC </w:t>
      </w:r>
      <w:r w:rsidRPr="00291173">
        <w:tab/>
        <w:t>Qualifying Value Content</w:t>
      </w:r>
      <w:r w:rsidR="001B4CEC" w:rsidRPr="00291173">
        <w:rPr>
          <w:rStyle w:val="FootnoteReference"/>
        </w:rPr>
        <w:footnoteReference w:id="1"/>
      </w:r>
      <w:r w:rsidR="001B4CEC" w:rsidRPr="00291173">
        <w:t xml:space="preserve"> </w:t>
      </w:r>
    </w:p>
    <w:p w:rsidR="00EF14B4" w:rsidRDefault="00EF14B4" w:rsidP="00EF14B4">
      <w:pPr>
        <w:pStyle w:val="Heading3"/>
      </w:pPr>
      <w:r>
        <w:lastRenderedPageBreak/>
        <w:t xml:space="preserve">Total number of rules </w:t>
      </w:r>
      <w:r>
        <w:noBreakHyphen/>
        <w:t xml:space="preserve"> </w:t>
      </w:r>
      <w:r w:rsidRPr="00265347">
        <w:t>left</w:t>
      </w:r>
      <w:r>
        <w:t xml:space="preserve"> hand panel in figure 5.1</w:t>
      </w:r>
    </w:p>
    <w:p w:rsidR="00EF14B4" w:rsidRDefault="00EF14B4" w:rsidP="00EF14B4">
      <w:pPr>
        <w:pStyle w:val="BodyText"/>
      </w:pPr>
      <w:r>
        <w:t>The total number of cell entries is determined by counting all cells in column D which contain a value. The cell count is derived by using the Excel function: COUNTIF(D50:D2784,"***") - COUNTIF(D50:D2784</w:t>
      </w:r>
      <w:r w:rsidRPr="00B771C0">
        <w:t>," ")</w:t>
      </w:r>
      <w:r>
        <w:t>. The second term avoids the counting of non-empty cells in the text. The cell count is verified by applying the Excel function to each line item and summing the count. The cell count is</w:t>
      </w:r>
      <w:r w:rsidR="005400C3">
        <w:t xml:space="preserve"> 2171</w:t>
      </w:r>
      <w:r>
        <w:t>.</w:t>
      </w:r>
    </w:p>
    <w:p w:rsidR="00EF14B4" w:rsidRDefault="00EF14B4" w:rsidP="00EF14B4">
      <w:pPr>
        <w:pStyle w:val="BodyText"/>
      </w:pPr>
      <w:r w:rsidRPr="00B275EA">
        <w:rPr>
          <w:b/>
        </w:rPr>
        <w:t xml:space="preserve">The total number of rules for </w:t>
      </w:r>
      <w:r>
        <w:rPr>
          <w:b/>
        </w:rPr>
        <w:t xml:space="preserve">the </w:t>
      </w:r>
      <w:r w:rsidR="00023231">
        <w:rPr>
          <w:b/>
        </w:rPr>
        <w:t>Japan</w:t>
      </w:r>
      <w:r>
        <w:rPr>
          <w:b/>
        </w:rPr>
        <w:t>-Australia agreement</w:t>
      </w:r>
      <w:r w:rsidRPr="00B275EA">
        <w:rPr>
          <w:b/>
        </w:rPr>
        <w:t xml:space="preserve"> is</w:t>
      </w:r>
      <w:r w:rsidR="005400C3">
        <w:rPr>
          <w:b/>
        </w:rPr>
        <w:t xml:space="preserve"> 2171</w:t>
      </w:r>
      <w:r w:rsidRPr="00B275EA">
        <w:rPr>
          <w:b/>
        </w:rPr>
        <w:t xml:space="preserve">. </w:t>
      </w:r>
    </w:p>
    <w:p w:rsidR="00EF14B4" w:rsidRDefault="00EF14B4" w:rsidP="00F31773">
      <w:pPr>
        <w:pStyle w:val="Heading4"/>
        <w:spacing w:before="440"/>
      </w:pPr>
      <w:r>
        <w:t xml:space="preserve">CTC only rules </w:t>
      </w:r>
    </w:p>
    <w:p w:rsidR="00EF14B4" w:rsidRDefault="00EF14B4" w:rsidP="00F31773">
      <w:pPr>
        <w:pStyle w:val="Heading5"/>
        <w:spacing w:before="400"/>
      </w:pPr>
      <w:r>
        <w:t>Change at the 2-digit tariff item chapter level</w:t>
      </w:r>
    </w:p>
    <w:p w:rsidR="00EF14B4" w:rsidRDefault="00EF14B4" w:rsidP="00EF14B4">
      <w:pPr>
        <w:pStyle w:val="BodyText"/>
      </w:pPr>
      <w:r>
        <w:t>The number of single rules at the 2-digit tariff item level is determined by finding rules that contain the exact string “CC”. The cell count is derived by using the Excel function: COUNTIF(D50:D</w:t>
      </w:r>
      <w:r w:rsidR="005400C3">
        <w:t>2784</w:t>
      </w:r>
      <w:r>
        <w:t xml:space="preserve">,"CC"). The cell count is </w:t>
      </w:r>
      <w:r w:rsidR="005400C3">
        <w:t>122</w:t>
      </w:r>
      <w:r>
        <w:t xml:space="preserve">. </w:t>
      </w:r>
    </w:p>
    <w:p w:rsidR="00EF14B4" w:rsidRDefault="00EF14B4" w:rsidP="00F31773">
      <w:pPr>
        <w:pStyle w:val="Heading5"/>
        <w:spacing w:before="400"/>
      </w:pPr>
      <w:r>
        <w:t>Change at the 4-digit tariff item heading level</w:t>
      </w:r>
    </w:p>
    <w:p w:rsidR="00EF14B4" w:rsidRDefault="00EF14B4" w:rsidP="00EF14B4">
      <w:pPr>
        <w:pStyle w:val="BodyText"/>
      </w:pPr>
      <w:r>
        <w:t>The number of single rules at 4-digit tariff item level is determined by finding rules that contain the exact string “CTH”.</w:t>
      </w:r>
      <w:r w:rsidRPr="00335688">
        <w:t xml:space="preserve"> </w:t>
      </w:r>
      <w:r>
        <w:t>The cell count is derived by using the Excel function: COUNTIF(D50:D</w:t>
      </w:r>
      <w:r w:rsidR="005400C3">
        <w:t>2784</w:t>
      </w:r>
      <w:r>
        <w:t xml:space="preserve">,"CTH"). The cell count is </w:t>
      </w:r>
      <w:r w:rsidR="005400C3">
        <w:t>328</w:t>
      </w:r>
      <w:r>
        <w:t xml:space="preserve">. </w:t>
      </w:r>
    </w:p>
    <w:p w:rsidR="00EF14B4" w:rsidRDefault="00EF14B4" w:rsidP="00F31773">
      <w:pPr>
        <w:pStyle w:val="Heading5"/>
        <w:spacing w:before="400"/>
      </w:pPr>
      <w:r>
        <w:t>Change at the 6-digit tariff item subheading level</w:t>
      </w:r>
    </w:p>
    <w:p w:rsidR="00291173" w:rsidRDefault="00EF14B4" w:rsidP="00EF14B4">
      <w:pPr>
        <w:pStyle w:val="BodyText"/>
      </w:pPr>
      <w:r>
        <w:t>The number of single rules at the 6-digit tariff item level is determined by finding rules that contain the exact string “CTSH”. The cell count is derived by using the Excel function: COUNTIF(D50:D</w:t>
      </w:r>
      <w:r w:rsidR="005400C3">
        <w:t>2784</w:t>
      </w:r>
      <w:r>
        <w:t xml:space="preserve">,"CTSH"). The cell count is </w:t>
      </w:r>
      <w:r w:rsidR="005400C3">
        <w:t>366</w:t>
      </w:r>
      <w:r>
        <w:t xml:space="preserve">. </w:t>
      </w:r>
    </w:p>
    <w:p w:rsidR="00EF14B4" w:rsidRDefault="00EF14B4" w:rsidP="00EF14B4">
      <w:pPr>
        <w:pStyle w:val="BodyText"/>
      </w:pPr>
      <w:r>
        <w:t>The cell counts are verified by applying the Excel functions to each line item and summing the counts.</w:t>
      </w:r>
    </w:p>
    <w:p w:rsidR="00EF14B4" w:rsidRPr="00235A77" w:rsidRDefault="00EF14B4" w:rsidP="00EF14B4">
      <w:pPr>
        <w:pStyle w:val="BodyText"/>
        <w:rPr>
          <w:b/>
        </w:rPr>
      </w:pPr>
      <w:r w:rsidRPr="00235A77">
        <w:rPr>
          <w:b/>
        </w:rPr>
        <w:t xml:space="preserve">The total number of individual CTC only rules is </w:t>
      </w:r>
      <w:r w:rsidR="005400C3">
        <w:rPr>
          <w:b/>
        </w:rPr>
        <w:t xml:space="preserve">816 </w:t>
      </w:r>
      <w:r w:rsidRPr="00235A77">
        <w:rPr>
          <w:b/>
        </w:rPr>
        <w:t xml:space="preserve">(or </w:t>
      </w:r>
      <w:r w:rsidR="005400C3">
        <w:rPr>
          <w:b/>
        </w:rPr>
        <w:t>122</w:t>
      </w:r>
      <w:r w:rsidRPr="00235A77">
        <w:rPr>
          <w:b/>
        </w:rPr>
        <w:t xml:space="preserve"> + </w:t>
      </w:r>
      <w:r w:rsidR="005400C3">
        <w:rPr>
          <w:b/>
        </w:rPr>
        <w:t>328</w:t>
      </w:r>
      <w:r w:rsidRPr="00235A77">
        <w:rPr>
          <w:b/>
        </w:rPr>
        <w:t xml:space="preserve"> + </w:t>
      </w:r>
      <w:r w:rsidR="005400C3">
        <w:rPr>
          <w:b/>
        </w:rPr>
        <w:t>366</w:t>
      </w:r>
      <w:r w:rsidRPr="00235A77">
        <w:rPr>
          <w:b/>
        </w:rPr>
        <w:t>)</w:t>
      </w:r>
    </w:p>
    <w:p w:rsidR="00EF14B4" w:rsidRPr="00291173" w:rsidRDefault="005400C3" w:rsidP="00F31773">
      <w:pPr>
        <w:pStyle w:val="Heading4"/>
        <w:spacing w:before="440"/>
      </w:pPr>
      <w:r w:rsidRPr="00291173">
        <w:t>Qualifying V</w:t>
      </w:r>
      <w:r w:rsidR="00EF14B4" w:rsidRPr="00291173">
        <w:t>alue Content only rules</w:t>
      </w:r>
    </w:p>
    <w:p w:rsidR="00EF14B4" w:rsidRPr="00291173" w:rsidRDefault="005400C3" w:rsidP="00EF14B4">
      <w:pPr>
        <w:pStyle w:val="BodyText"/>
      </w:pPr>
      <w:r w:rsidRPr="00291173">
        <w:t>Q</w:t>
      </w:r>
      <w:r w:rsidR="00EF14B4" w:rsidRPr="00291173">
        <w:t>VC only rules are determined by finding rules that contain the exact string “</w:t>
      </w:r>
      <w:r w:rsidRPr="00291173">
        <w:t>Q</w:t>
      </w:r>
      <w:r w:rsidR="00EF14B4" w:rsidRPr="00291173">
        <w:t>VC***”. The cell count is derived by using the Excel function: COUNTIF(D50:D</w:t>
      </w:r>
      <w:r w:rsidRPr="00291173">
        <w:t>2784</w:t>
      </w:r>
      <w:r w:rsidR="00EF14B4" w:rsidRPr="00291173">
        <w:t>,"</w:t>
      </w:r>
      <w:r w:rsidRPr="00291173">
        <w:t>Q</w:t>
      </w:r>
      <w:r w:rsidR="00EF14B4" w:rsidRPr="00291173">
        <w:t xml:space="preserve">VC***") matching entire cell contents. The cell count is </w:t>
      </w:r>
      <w:r w:rsidRPr="00291173">
        <w:t>0</w:t>
      </w:r>
      <w:r w:rsidR="00EF14B4" w:rsidRPr="00291173">
        <w:t xml:space="preserve">. </w:t>
      </w:r>
    </w:p>
    <w:p w:rsidR="00EF14B4" w:rsidRPr="00291173" w:rsidRDefault="00EF14B4" w:rsidP="00F31773">
      <w:pPr>
        <w:pStyle w:val="Heading4"/>
        <w:spacing w:before="440"/>
      </w:pPr>
      <w:r w:rsidRPr="00291173">
        <w:lastRenderedPageBreak/>
        <w:t xml:space="preserve">CTC or </w:t>
      </w:r>
      <w:r w:rsidR="00017A2C" w:rsidRPr="00291173">
        <w:t xml:space="preserve">Qualifying </w:t>
      </w:r>
      <w:r w:rsidRPr="00291173">
        <w:t>Value Content rules</w:t>
      </w:r>
    </w:p>
    <w:p w:rsidR="00EF14B4" w:rsidRPr="00291173" w:rsidRDefault="00EF14B4" w:rsidP="00EF14B4">
      <w:pPr>
        <w:pStyle w:val="BodyText"/>
      </w:pPr>
      <w:r w:rsidRPr="00291173">
        <w:t xml:space="preserve">The number of rules that provide either a choice of CTC or </w:t>
      </w:r>
      <w:r w:rsidR="008933C8" w:rsidRPr="00291173">
        <w:t>Q</w:t>
      </w:r>
      <w:r w:rsidRPr="00291173">
        <w:t>VC rule is determined by finding rules that contain the string “***</w:t>
      </w:r>
      <w:r w:rsidR="008933C8" w:rsidRPr="00291173">
        <w:t>Q</w:t>
      </w:r>
      <w:r w:rsidRPr="00291173">
        <w:t xml:space="preserve">VC***” and deducting cells that have a CTC and </w:t>
      </w:r>
      <w:r w:rsidR="008933C8" w:rsidRPr="00291173">
        <w:t>Q</w:t>
      </w:r>
      <w:r w:rsidRPr="00291173">
        <w:t>VC rule</w:t>
      </w:r>
      <w:r w:rsidR="008757F2">
        <w:t xml:space="preserve"> or a QVC and another rule</w:t>
      </w:r>
      <w:r w:rsidRPr="00291173">
        <w:t>. The cell count is derived by using the Excel functions: COUNTIF(D50:D</w:t>
      </w:r>
      <w:r w:rsidR="008933C8" w:rsidRPr="00291173">
        <w:t>2784</w:t>
      </w:r>
      <w:r w:rsidRPr="00291173">
        <w:t>,"***</w:t>
      </w:r>
      <w:r w:rsidR="008933C8" w:rsidRPr="00291173">
        <w:t>Q</w:t>
      </w:r>
      <w:r w:rsidRPr="00291173">
        <w:t>VC***") – COUNTIF(D50:D</w:t>
      </w:r>
      <w:r w:rsidR="008933C8" w:rsidRPr="00291173">
        <w:t>2784</w:t>
      </w:r>
      <w:r w:rsidRPr="00291173">
        <w:t xml:space="preserve">,"C*** and </w:t>
      </w:r>
      <w:r w:rsidR="008933C8" w:rsidRPr="00291173">
        <w:t>Q</w:t>
      </w:r>
      <w:r w:rsidRPr="00291173">
        <w:t>VC***") – COUNTIF(D50:D</w:t>
      </w:r>
      <w:r w:rsidR="008933C8" w:rsidRPr="00291173">
        <w:t>2784</w:t>
      </w:r>
      <w:r w:rsidRPr="00291173">
        <w:t>,"</w:t>
      </w:r>
      <w:r w:rsidR="008933C8" w:rsidRPr="00291173">
        <w:t>Q</w:t>
      </w:r>
      <w:r w:rsidRPr="00291173">
        <w:t xml:space="preserve">VC***"). The cell count is verified by applying the Excel function to each line item and summing the count. The total number of CTC or </w:t>
      </w:r>
      <w:r w:rsidR="008933C8" w:rsidRPr="00291173">
        <w:t>Q</w:t>
      </w:r>
      <w:r w:rsidRPr="00291173">
        <w:t xml:space="preserve">VC rules is </w:t>
      </w:r>
      <w:r w:rsidR="008933C8" w:rsidRPr="00291173">
        <w:t>952</w:t>
      </w:r>
      <w:r w:rsidRPr="00291173">
        <w:t xml:space="preserve"> (or </w:t>
      </w:r>
      <w:r w:rsidR="008933C8" w:rsidRPr="00291173">
        <w:t>955</w:t>
      </w:r>
      <w:r w:rsidRPr="00291173">
        <w:t xml:space="preserve"> – </w:t>
      </w:r>
      <w:r w:rsidR="008933C8" w:rsidRPr="00291173">
        <w:t>3</w:t>
      </w:r>
      <w:r w:rsidRPr="00291173">
        <w:t xml:space="preserve"> – </w:t>
      </w:r>
      <w:r w:rsidR="008933C8" w:rsidRPr="00291173">
        <w:t>0</w:t>
      </w:r>
      <w:r w:rsidRPr="00291173">
        <w:t>).</w:t>
      </w:r>
      <w:r w:rsidR="00291173" w:rsidRPr="00291173">
        <w:t xml:space="preserve"> </w:t>
      </w:r>
    </w:p>
    <w:p w:rsidR="00EF14B4" w:rsidRDefault="00EF14B4" w:rsidP="00F31773">
      <w:pPr>
        <w:pStyle w:val="Heading4"/>
        <w:spacing w:before="440"/>
      </w:pPr>
      <w:r>
        <w:t xml:space="preserve">Other rules </w:t>
      </w:r>
    </w:p>
    <w:p w:rsidR="00EF14B4" w:rsidRPr="00291173" w:rsidRDefault="00EF14B4" w:rsidP="00EF14B4">
      <w:pPr>
        <w:pStyle w:val="BodyText"/>
      </w:pPr>
      <w:r w:rsidRPr="00291173">
        <w:t>The number of other rules is the residual of total rules (</w:t>
      </w:r>
      <w:r w:rsidR="008933C8" w:rsidRPr="00291173">
        <w:t>2171</w:t>
      </w:r>
      <w:r w:rsidRPr="00291173">
        <w:t>), CTC only (</w:t>
      </w:r>
      <w:r w:rsidR="008933C8" w:rsidRPr="00291173">
        <w:t>816</w:t>
      </w:r>
      <w:r w:rsidRPr="00291173">
        <w:t xml:space="preserve">), </w:t>
      </w:r>
      <w:r w:rsidR="008933C8" w:rsidRPr="00291173">
        <w:t>Q</w:t>
      </w:r>
      <w:r w:rsidRPr="00291173">
        <w:t>VC only rules (</w:t>
      </w:r>
      <w:r w:rsidR="008933C8" w:rsidRPr="00291173">
        <w:t>0</w:t>
      </w:r>
      <w:r w:rsidRPr="00291173">
        <w:t xml:space="preserve">) and CTC or </w:t>
      </w:r>
      <w:r w:rsidR="008933C8" w:rsidRPr="00291173">
        <w:t>Q</w:t>
      </w:r>
      <w:r w:rsidRPr="00291173">
        <w:t>VC (</w:t>
      </w:r>
      <w:r w:rsidR="008933C8" w:rsidRPr="00291173">
        <w:t>952</w:t>
      </w:r>
      <w:r w:rsidRPr="00291173">
        <w:t xml:space="preserve">). The total other rules is </w:t>
      </w:r>
      <w:r w:rsidR="008933C8" w:rsidRPr="00291173">
        <w:t>403</w:t>
      </w:r>
      <w:r w:rsidRPr="00291173">
        <w:t xml:space="preserve"> (or </w:t>
      </w:r>
      <w:r w:rsidR="008933C8" w:rsidRPr="00291173">
        <w:t>2171</w:t>
      </w:r>
      <w:r w:rsidRPr="00291173">
        <w:t xml:space="preserve"> – </w:t>
      </w:r>
      <w:r w:rsidR="008933C8" w:rsidRPr="00291173">
        <w:t>816</w:t>
      </w:r>
      <w:r w:rsidRPr="00291173">
        <w:t xml:space="preserve"> – </w:t>
      </w:r>
      <w:r w:rsidR="008933C8" w:rsidRPr="00291173">
        <w:t xml:space="preserve">0 </w:t>
      </w:r>
      <w:r w:rsidRPr="00291173">
        <w:t xml:space="preserve">– </w:t>
      </w:r>
      <w:r w:rsidR="008933C8" w:rsidRPr="00291173">
        <w:t>952</w:t>
      </w:r>
      <w:r w:rsidRPr="00291173">
        <w:t xml:space="preserve">). </w:t>
      </w:r>
    </w:p>
    <w:p w:rsidR="00EF14B4" w:rsidRDefault="00EF14B4" w:rsidP="00EF14B4">
      <w:pPr>
        <w:pStyle w:val="Heading3"/>
      </w:pPr>
      <w:r>
        <w:t>All CTC rules — right hand panel in figure 5.1</w:t>
      </w:r>
    </w:p>
    <w:p w:rsidR="00EF14B4" w:rsidRDefault="00EF14B4" w:rsidP="00F31773">
      <w:pPr>
        <w:pStyle w:val="Heading4"/>
        <w:spacing w:before="440"/>
      </w:pPr>
      <w:r>
        <w:t>Change at the 2-digit tariff item chapter level</w:t>
      </w:r>
    </w:p>
    <w:p w:rsidR="00EF14B4" w:rsidRDefault="00EF14B4" w:rsidP="00EF14B4">
      <w:pPr>
        <w:pStyle w:val="BodyText"/>
      </w:pPr>
      <w:r>
        <w:t>The total number of rules at the 2-digit tariff item level is determined by finding rules that contain the string “***CC***”. The cell count is derived by using the Excel function: COUNTIF(D50:D</w:t>
      </w:r>
      <w:r w:rsidR="00CD42CD">
        <w:t>2784</w:t>
      </w:r>
      <w:r>
        <w:t xml:space="preserve">,"***CC***"). The cell count is verified by applying the Excel function to each line item and summing the count. The cell count is </w:t>
      </w:r>
      <w:r w:rsidR="00CD42CD">
        <w:t>436</w:t>
      </w:r>
      <w:r>
        <w:t xml:space="preserve">. </w:t>
      </w:r>
    </w:p>
    <w:p w:rsidR="00EF14B4" w:rsidRDefault="00EF14B4" w:rsidP="00F31773">
      <w:pPr>
        <w:pStyle w:val="Heading4"/>
        <w:spacing w:before="440"/>
      </w:pPr>
      <w:r>
        <w:t>Change at the 4-digit tariff item heading level</w:t>
      </w:r>
    </w:p>
    <w:p w:rsidR="00EF14B4" w:rsidRDefault="00EF14B4" w:rsidP="00EF14B4">
      <w:pPr>
        <w:pStyle w:val="BodyText"/>
      </w:pPr>
      <w:r>
        <w:t>The total number of rules at the 4-digit tariff item level is determined by finding rules that contain the string “***CTH***”. The cell count is derived by using the Excel function: COUNTIF((D50:D</w:t>
      </w:r>
      <w:r w:rsidR="00CD42CD">
        <w:t>2784</w:t>
      </w:r>
      <w:r>
        <w:t xml:space="preserve">,"***CTH***"). The cell count is verified by applying the Excel function to each line item and summing the count. The cell count is </w:t>
      </w:r>
      <w:r w:rsidR="00CD42CD">
        <w:t>870</w:t>
      </w:r>
      <w:r>
        <w:t xml:space="preserve">. </w:t>
      </w:r>
    </w:p>
    <w:p w:rsidR="00EF14B4" w:rsidRDefault="00EF14B4" w:rsidP="00F31773">
      <w:pPr>
        <w:pStyle w:val="Heading4"/>
        <w:spacing w:before="440"/>
      </w:pPr>
      <w:r>
        <w:t>Change at the 6-digit tariff item subheading level</w:t>
      </w:r>
    </w:p>
    <w:p w:rsidR="00EF14B4" w:rsidRDefault="00EF14B4" w:rsidP="00EF14B4">
      <w:pPr>
        <w:pStyle w:val="BodyText"/>
      </w:pPr>
      <w:r>
        <w:t>The total number of rules at the 6-digit tariff item level is determined by finding rules that contain the string “***CTSH***”. The cell count is derived by using the Excel function: COUNTIF((D50:D</w:t>
      </w:r>
      <w:r w:rsidR="00CD42CD">
        <w:t>2784</w:t>
      </w:r>
      <w:r>
        <w:t xml:space="preserve">,"***CTSH***"). The cell count is </w:t>
      </w:r>
      <w:r w:rsidR="00CD42CD">
        <w:t>867</w:t>
      </w:r>
      <w:r>
        <w:t xml:space="preserve">. </w:t>
      </w:r>
    </w:p>
    <w:p w:rsidR="00EF14B4" w:rsidRDefault="00EF14B4" w:rsidP="00EF14B4">
      <w:pPr>
        <w:pStyle w:val="BodyText"/>
      </w:pPr>
      <w:r>
        <w:t xml:space="preserve">In order to avoid double counting, cells that have a rule choice between a CTH </w:t>
      </w:r>
      <w:r w:rsidR="00CD42CD">
        <w:t xml:space="preserve">or </w:t>
      </w:r>
      <w:r>
        <w:t xml:space="preserve">CTSH option should be deducted. A visual check indicated the cell count is </w:t>
      </w:r>
      <w:r w:rsidR="00CD42CD">
        <w:t>2</w:t>
      </w:r>
      <w:r>
        <w:t xml:space="preserve">. The cell counts are verified by applying an Excel function to each line item and summing the count. The total number of rules at the 6-digit tariff item level is </w:t>
      </w:r>
      <w:r w:rsidR="00CD42CD">
        <w:t>865</w:t>
      </w:r>
      <w:r w:rsidR="00291173">
        <w:t xml:space="preserve"> (867 – 2)</w:t>
      </w:r>
      <w:r>
        <w:t>.</w:t>
      </w:r>
    </w:p>
    <w:p w:rsidR="00EF14B4" w:rsidRDefault="00EF14B4" w:rsidP="00CD63FE">
      <w:pPr>
        <w:pStyle w:val="BodyText"/>
      </w:pPr>
      <w:r w:rsidRPr="00235A77">
        <w:rPr>
          <w:b/>
        </w:rPr>
        <w:t xml:space="preserve">The total number of CTC rules is </w:t>
      </w:r>
      <w:r w:rsidR="00CD42CD">
        <w:rPr>
          <w:b/>
        </w:rPr>
        <w:t xml:space="preserve">2171 </w:t>
      </w:r>
      <w:r w:rsidRPr="00235A77">
        <w:rPr>
          <w:b/>
        </w:rPr>
        <w:t xml:space="preserve">(or </w:t>
      </w:r>
      <w:r w:rsidR="00CD42CD">
        <w:rPr>
          <w:b/>
        </w:rPr>
        <w:t>436</w:t>
      </w:r>
      <w:r>
        <w:rPr>
          <w:b/>
        </w:rPr>
        <w:t xml:space="preserve"> </w:t>
      </w:r>
      <w:r w:rsidRPr="00235A77">
        <w:rPr>
          <w:b/>
        </w:rPr>
        <w:t>+</w:t>
      </w:r>
      <w:r>
        <w:rPr>
          <w:b/>
        </w:rPr>
        <w:t xml:space="preserve"> </w:t>
      </w:r>
      <w:r w:rsidR="00CD42CD">
        <w:rPr>
          <w:b/>
        </w:rPr>
        <w:t>870</w:t>
      </w:r>
      <w:r>
        <w:rPr>
          <w:b/>
        </w:rPr>
        <w:t xml:space="preserve"> </w:t>
      </w:r>
      <w:r w:rsidRPr="00235A77">
        <w:rPr>
          <w:b/>
        </w:rPr>
        <w:t>+</w:t>
      </w:r>
      <w:r>
        <w:rPr>
          <w:b/>
        </w:rPr>
        <w:t xml:space="preserve"> </w:t>
      </w:r>
      <w:r w:rsidR="00CD42CD">
        <w:rPr>
          <w:b/>
        </w:rPr>
        <w:t>865</w:t>
      </w:r>
      <w:r w:rsidRPr="00235A77">
        <w:rPr>
          <w:b/>
        </w:rPr>
        <w:t>).</w:t>
      </w:r>
    </w:p>
    <w:sectPr w:rsidR="00EF14B4" w:rsidSect="00A720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985" w:right="1304" w:bottom="1247" w:left="1814" w:header="1701" w:footer="397" w:gutter="0"/>
      <w:pgNumType w:start="27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A77" w:rsidRDefault="00235A77">
      <w:r>
        <w:separator/>
      </w:r>
    </w:p>
  </w:endnote>
  <w:endnote w:type="continuationSeparator" w:id="0">
    <w:p w:rsidR="00235A77" w:rsidRDefault="0023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235A77" w:rsidTr="005F48ED">
      <w:trPr>
        <w:trHeight w:hRule="exact" w:val="567"/>
      </w:trPr>
      <w:tc>
        <w:tcPr>
          <w:tcW w:w="510" w:type="dxa"/>
        </w:tcPr>
        <w:p w:rsidR="00235A77" w:rsidRPr="00A24443" w:rsidRDefault="00235A77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A72055">
            <w:rPr>
              <w:rStyle w:val="PageNumber"/>
              <w:caps w:val="0"/>
              <w:noProof/>
            </w:rPr>
            <w:t>28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235A77" w:rsidRPr="0013739A" w:rsidRDefault="00235A77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A85DD3">
            <w:rPr>
              <w:rFonts w:cs="Arial"/>
            </w:rPr>
            <w:t>Trade &amp; Assistance Review 2013-14 Methodological Annex</w:t>
          </w:r>
          <w:r w:rsidRPr="00BA5B14">
            <w:rPr>
              <w:rFonts w:cs="Arial"/>
            </w:rPr>
            <w:fldChar w:fldCharType="end"/>
          </w:r>
          <w:bookmarkStart w:id="4" w:name="DraftReportEven"/>
          <w:bookmarkEnd w:id="4"/>
        </w:p>
      </w:tc>
      <w:tc>
        <w:tcPr>
          <w:tcW w:w="510" w:type="dxa"/>
        </w:tcPr>
        <w:p w:rsidR="00235A77" w:rsidRDefault="00235A77" w:rsidP="0019293B">
          <w:pPr>
            <w:pStyle w:val="Footer"/>
          </w:pPr>
        </w:p>
      </w:tc>
    </w:tr>
  </w:tbl>
  <w:p w:rsidR="00235A77" w:rsidRDefault="00235A77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235A77" w:rsidTr="005F48ED">
      <w:trPr>
        <w:trHeight w:hRule="exact" w:val="567"/>
      </w:trPr>
      <w:tc>
        <w:tcPr>
          <w:tcW w:w="510" w:type="dxa"/>
        </w:tcPr>
        <w:p w:rsidR="00235A77" w:rsidRDefault="00235A77">
          <w:pPr>
            <w:pStyle w:val="Footer"/>
            <w:ind w:right="360" w:firstLine="360"/>
          </w:pPr>
          <w:bookmarkStart w:id="5" w:name="_GoBack"/>
          <w:bookmarkEnd w:id="5"/>
        </w:p>
      </w:tc>
      <w:tc>
        <w:tcPr>
          <w:tcW w:w="7767" w:type="dxa"/>
        </w:tcPr>
        <w:p w:rsidR="00235A77" w:rsidRPr="00BA5B14" w:rsidRDefault="00235A77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8C1264">
            <w:rPr>
              <w:rFonts w:cs="Arial"/>
            </w:rPr>
            <w:t>Rules of Origin calculations</w:t>
          </w:r>
          <w:r w:rsidRPr="00BA5B14">
            <w:rPr>
              <w:rFonts w:cs="Arial"/>
            </w:rPr>
            <w:fldChar w:fldCharType="end"/>
          </w:r>
          <w:bookmarkStart w:id="6" w:name="DraftReportOdd"/>
          <w:bookmarkEnd w:id="6"/>
        </w:p>
      </w:tc>
      <w:tc>
        <w:tcPr>
          <w:tcW w:w="510" w:type="dxa"/>
        </w:tcPr>
        <w:p w:rsidR="00235A77" w:rsidRPr="00A24443" w:rsidRDefault="00235A77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A72055">
            <w:rPr>
              <w:rStyle w:val="PageNumber"/>
              <w:caps w:val="0"/>
              <w:noProof/>
            </w:rPr>
            <w:t>27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235A77" w:rsidRDefault="00235A77">
    <w:pPr>
      <w:pStyle w:val="FooterEn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055" w:rsidRDefault="00A720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A77" w:rsidRDefault="00235A77">
      <w:r>
        <w:separator/>
      </w:r>
    </w:p>
  </w:footnote>
  <w:footnote w:type="continuationSeparator" w:id="0">
    <w:p w:rsidR="00235A77" w:rsidRDefault="00235A77">
      <w:r>
        <w:continuationSeparator/>
      </w:r>
    </w:p>
  </w:footnote>
  <w:footnote w:id="1">
    <w:p w:rsidR="001B4CEC" w:rsidRDefault="001B4CEC">
      <w:pPr>
        <w:pStyle w:val="FootnoteText"/>
      </w:pPr>
      <w:r>
        <w:rPr>
          <w:rStyle w:val="FootnoteReference"/>
        </w:rPr>
        <w:footnoteRef/>
      </w:r>
      <w:r>
        <w:tab/>
      </w:r>
      <w:r w:rsidR="00C4206E">
        <w:t xml:space="preserve">The Japan–Australia agreement uses the term Qualifying Value Content rule instead of the Regional Value Content rule used in most other agreements. </w:t>
      </w:r>
      <w:r w:rsidR="00291173">
        <w:t xml:space="preserve">For example, the Japan–Australia agreement </w:t>
      </w:r>
      <w:r w:rsidR="00F31773">
        <w:t xml:space="preserve">uses </w:t>
      </w:r>
      <w:r w:rsidR="00291173">
        <w:t xml:space="preserve">the term “QVC 40” </w:t>
      </w:r>
      <w:r w:rsidR="00F31773">
        <w:t xml:space="preserve">which </w:t>
      </w:r>
      <w:r w:rsidR="00291173">
        <w:t xml:space="preserve">means that the good has a qualifying value content of not less than 40 per cent and that the last process of production of the good has been performed in the exporting country.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235A77">
      <w:tc>
        <w:tcPr>
          <w:tcW w:w="2155" w:type="dxa"/>
          <w:tcBorders>
            <w:top w:val="single" w:sz="24" w:space="0" w:color="auto"/>
          </w:tcBorders>
        </w:tcPr>
        <w:p w:rsidR="00235A77" w:rsidRDefault="00235A77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235A77" w:rsidRDefault="00235A77" w:rsidP="0019293B">
          <w:pPr>
            <w:pStyle w:val="HeaderEven"/>
          </w:pPr>
        </w:p>
      </w:tc>
    </w:tr>
  </w:tbl>
  <w:p w:rsidR="00235A77" w:rsidRDefault="00235A77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235A77">
      <w:tc>
        <w:tcPr>
          <w:tcW w:w="6634" w:type="dxa"/>
          <w:tcBorders>
            <w:top w:val="single" w:sz="6" w:space="0" w:color="auto"/>
          </w:tcBorders>
        </w:tcPr>
        <w:p w:rsidR="00235A77" w:rsidRDefault="00235A77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235A77" w:rsidRDefault="00235A77" w:rsidP="00E669E2">
          <w:pPr>
            <w:pStyle w:val="HeaderOdd"/>
          </w:pPr>
        </w:p>
      </w:tc>
    </w:tr>
  </w:tbl>
  <w:p w:rsidR="00235A77" w:rsidRDefault="00235A77" w:rsidP="00E669E2">
    <w:pPr>
      <w:pStyle w:val="HeaderEn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055" w:rsidRDefault="00A720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15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6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7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Rules of Origin calculations"/>
    <w:docVar w:name="ShortReportTitle" w:val="Trade &amp; Assistance Review 2012-13 Methodological Annex"/>
  </w:docVars>
  <w:rsids>
    <w:rsidRoot w:val="00297332"/>
    <w:rsid w:val="00010C05"/>
    <w:rsid w:val="00017A2C"/>
    <w:rsid w:val="00020BD4"/>
    <w:rsid w:val="000227D5"/>
    <w:rsid w:val="00023231"/>
    <w:rsid w:val="000245AA"/>
    <w:rsid w:val="00027D98"/>
    <w:rsid w:val="0003664B"/>
    <w:rsid w:val="00037456"/>
    <w:rsid w:val="0004111F"/>
    <w:rsid w:val="00051CA1"/>
    <w:rsid w:val="000526EF"/>
    <w:rsid w:val="0005404D"/>
    <w:rsid w:val="00055077"/>
    <w:rsid w:val="000565B3"/>
    <w:rsid w:val="00063794"/>
    <w:rsid w:val="0007150B"/>
    <w:rsid w:val="000817AB"/>
    <w:rsid w:val="00087F5D"/>
    <w:rsid w:val="000938F5"/>
    <w:rsid w:val="00095663"/>
    <w:rsid w:val="00096BEE"/>
    <w:rsid w:val="00096E55"/>
    <w:rsid w:val="0009783E"/>
    <w:rsid w:val="000A01A7"/>
    <w:rsid w:val="000B1022"/>
    <w:rsid w:val="000B192F"/>
    <w:rsid w:val="000B601B"/>
    <w:rsid w:val="000B7059"/>
    <w:rsid w:val="000C021A"/>
    <w:rsid w:val="000C207E"/>
    <w:rsid w:val="000C7449"/>
    <w:rsid w:val="000C7896"/>
    <w:rsid w:val="000D1BF3"/>
    <w:rsid w:val="000D41E9"/>
    <w:rsid w:val="000F0035"/>
    <w:rsid w:val="000F04E7"/>
    <w:rsid w:val="000F060A"/>
    <w:rsid w:val="000F0E4E"/>
    <w:rsid w:val="000F420B"/>
    <w:rsid w:val="00103FD0"/>
    <w:rsid w:val="00110116"/>
    <w:rsid w:val="00120072"/>
    <w:rsid w:val="00126EB8"/>
    <w:rsid w:val="001274D4"/>
    <w:rsid w:val="001363AA"/>
    <w:rsid w:val="0013739A"/>
    <w:rsid w:val="00142165"/>
    <w:rsid w:val="00162434"/>
    <w:rsid w:val="0017492A"/>
    <w:rsid w:val="0017652B"/>
    <w:rsid w:val="00183E82"/>
    <w:rsid w:val="001878BB"/>
    <w:rsid w:val="00191AE0"/>
    <w:rsid w:val="0019293B"/>
    <w:rsid w:val="0019426B"/>
    <w:rsid w:val="001A6A4B"/>
    <w:rsid w:val="001B30BC"/>
    <w:rsid w:val="001B4CEC"/>
    <w:rsid w:val="001C0865"/>
    <w:rsid w:val="001C0AED"/>
    <w:rsid w:val="001C3ABA"/>
    <w:rsid w:val="001C5111"/>
    <w:rsid w:val="001E7BE8"/>
    <w:rsid w:val="001F0248"/>
    <w:rsid w:val="001F3EB3"/>
    <w:rsid w:val="001F420A"/>
    <w:rsid w:val="001F4F86"/>
    <w:rsid w:val="001F6A98"/>
    <w:rsid w:val="00201107"/>
    <w:rsid w:val="00202C2C"/>
    <w:rsid w:val="00203050"/>
    <w:rsid w:val="002135AB"/>
    <w:rsid w:val="002144BE"/>
    <w:rsid w:val="00224508"/>
    <w:rsid w:val="00235A77"/>
    <w:rsid w:val="00236B7C"/>
    <w:rsid w:val="00242279"/>
    <w:rsid w:val="00243997"/>
    <w:rsid w:val="0024516C"/>
    <w:rsid w:val="00245C82"/>
    <w:rsid w:val="0025164F"/>
    <w:rsid w:val="00252395"/>
    <w:rsid w:val="0025641A"/>
    <w:rsid w:val="002724BA"/>
    <w:rsid w:val="00274323"/>
    <w:rsid w:val="00291173"/>
    <w:rsid w:val="00291B40"/>
    <w:rsid w:val="00297332"/>
    <w:rsid w:val="00297893"/>
    <w:rsid w:val="002A3914"/>
    <w:rsid w:val="002B011D"/>
    <w:rsid w:val="002B4008"/>
    <w:rsid w:val="002C439F"/>
    <w:rsid w:val="002C57CD"/>
    <w:rsid w:val="002D0C42"/>
    <w:rsid w:val="002D0E8E"/>
    <w:rsid w:val="002E50B1"/>
    <w:rsid w:val="002F5C72"/>
    <w:rsid w:val="002F7C95"/>
    <w:rsid w:val="00300130"/>
    <w:rsid w:val="00300FBE"/>
    <w:rsid w:val="00301189"/>
    <w:rsid w:val="00301E4A"/>
    <w:rsid w:val="003168B8"/>
    <w:rsid w:val="00320C7E"/>
    <w:rsid w:val="00321AAC"/>
    <w:rsid w:val="00322718"/>
    <w:rsid w:val="00322D64"/>
    <w:rsid w:val="00323E09"/>
    <w:rsid w:val="00333932"/>
    <w:rsid w:val="0033715E"/>
    <w:rsid w:val="00346AA0"/>
    <w:rsid w:val="003518AA"/>
    <w:rsid w:val="00352165"/>
    <w:rsid w:val="00353182"/>
    <w:rsid w:val="003565D9"/>
    <w:rsid w:val="003573CD"/>
    <w:rsid w:val="003602E1"/>
    <w:rsid w:val="0037026F"/>
    <w:rsid w:val="00371240"/>
    <w:rsid w:val="00374731"/>
    <w:rsid w:val="00376E59"/>
    <w:rsid w:val="00377EC1"/>
    <w:rsid w:val="00380340"/>
    <w:rsid w:val="00386B87"/>
    <w:rsid w:val="003919F9"/>
    <w:rsid w:val="003920CF"/>
    <w:rsid w:val="00392F55"/>
    <w:rsid w:val="00395685"/>
    <w:rsid w:val="003A7CA7"/>
    <w:rsid w:val="003B23C2"/>
    <w:rsid w:val="003B747D"/>
    <w:rsid w:val="003C38B5"/>
    <w:rsid w:val="003C5D99"/>
    <w:rsid w:val="003D1087"/>
    <w:rsid w:val="003E2F59"/>
    <w:rsid w:val="003E746B"/>
    <w:rsid w:val="003F0789"/>
    <w:rsid w:val="00401882"/>
    <w:rsid w:val="004100C8"/>
    <w:rsid w:val="00411DBD"/>
    <w:rsid w:val="00412ACE"/>
    <w:rsid w:val="004145D2"/>
    <w:rsid w:val="00422659"/>
    <w:rsid w:val="00423E46"/>
    <w:rsid w:val="00426CB4"/>
    <w:rsid w:val="00430DF9"/>
    <w:rsid w:val="00431249"/>
    <w:rsid w:val="00434C19"/>
    <w:rsid w:val="00450810"/>
    <w:rsid w:val="00451174"/>
    <w:rsid w:val="004531F3"/>
    <w:rsid w:val="00457122"/>
    <w:rsid w:val="00462C59"/>
    <w:rsid w:val="00467C79"/>
    <w:rsid w:val="00470737"/>
    <w:rsid w:val="00470D26"/>
    <w:rsid w:val="0047200E"/>
    <w:rsid w:val="00474322"/>
    <w:rsid w:val="00477144"/>
    <w:rsid w:val="00486D2B"/>
    <w:rsid w:val="00491380"/>
    <w:rsid w:val="0049459F"/>
    <w:rsid w:val="004953FB"/>
    <w:rsid w:val="00495E07"/>
    <w:rsid w:val="004A38DD"/>
    <w:rsid w:val="004A5D8A"/>
    <w:rsid w:val="004B4335"/>
    <w:rsid w:val="004B43AE"/>
    <w:rsid w:val="004C30ED"/>
    <w:rsid w:val="004D5675"/>
    <w:rsid w:val="004F08E7"/>
    <w:rsid w:val="0050177B"/>
    <w:rsid w:val="00517795"/>
    <w:rsid w:val="00523639"/>
    <w:rsid w:val="00531FE5"/>
    <w:rsid w:val="005365D1"/>
    <w:rsid w:val="005400C3"/>
    <w:rsid w:val="005402FA"/>
    <w:rsid w:val="00544AE7"/>
    <w:rsid w:val="005729BD"/>
    <w:rsid w:val="00572A8E"/>
    <w:rsid w:val="00580154"/>
    <w:rsid w:val="00583C39"/>
    <w:rsid w:val="00586A90"/>
    <w:rsid w:val="00587F28"/>
    <w:rsid w:val="005909CF"/>
    <w:rsid w:val="00591E71"/>
    <w:rsid w:val="005924D4"/>
    <w:rsid w:val="005A0D41"/>
    <w:rsid w:val="005A2CF5"/>
    <w:rsid w:val="005B010C"/>
    <w:rsid w:val="005B745C"/>
    <w:rsid w:val="005D329F"/>
    <w:rsid w:val="005E684E"/>
    <w:rsid w:val="005F404B"/>
    <w:rsid w:val="005F48ED"/>
    <w:rsid w:val="00606E78"/>
    <w:rsid w:val="0060745B"/>
    <w:rsid w:val="00607BF1"/>
    <w:rsid w:val="00613C21"/>
    <w:rsid w:val="006242D4"/>
    <w:rsid w:val="00630D4D"/>
    <w:rsid w:val="00632A74"/>
    <w:rsid w:val="006419B7"/>
    <w:rsid w:val="00643EFD"/>
    <w:rsid w:val="0064546E"/>
    <w:rsid w:val="00654D42"/>
    <w:rsid w:val="0066330E"/>
    <w:rsid w:val="00666E02"/>
    <w:rsid w:val="00697102"/>
    <w:rsid w:val="006A4655"/>
    <w:rsid w:val="006A61AD"/>
    <w:rsid w:val="006A7534"/>
    <w:rsid w:val="006B2B3C"/>
    <w:rsid w:val="006C1D81"/>
    <w:rsid w:val="006C7038"/>
    <w:rsid w:val="006D0CCC"/>
    <w:rsid w:val="006E0EED"/>
    <w:rsid w:val="006E73EF"/>
    <w:rsid w:val="007079C9"/>
    <w:rsid w:val="00714D4D"/>
    <w:rsid w:val="00726214"/>
    <w:rsid w:val="007266D3"/>
    <w:rsid w:val="00732029"/>
    <w:rsid w:val="00753389"/>
    <w:rsid w:val="007604BB"/>
    <w:rsid w:val="0076121C"/>
    <w:rsid w:val="00762F69"/>
    <w:rsid w:val="007646E5"/>
    <w:rsid w:val="007675AD"/>
    <w:rsid w:val="00772909"/>
    <w:rsid w:val="00785232"/>
    <w:rsid w:val="0078561D"/>
    <w:rsid w:val="0078579F"/>
    <w:rsid w:val="00794EB0"/>
    <w:rsid w:val="00795719"/>
    <w:rsid w:val="0079701E"/>
    <w:rsid w:val="007A21EB"/>
    <w:rsid w:val="007A7B2D"/>
    <w:rsid w:val="007B1A93"/>
    <w:rsid w:val="007C36C9"/>
    <w:rsid w:val="007C7943"/>
    <w:rsid w:val="007D6401"/>
    <w:rsid w:val="007E01E4"/>
    <w:rsid w:val="007E7A12"/>
    <w:rsid w:val="007F7107"/>
    <w:rsid w:val="00800D4C"/>
    <w:rsid w:val="0081030F"/>
    <w:rsid w:val="00811C69"/>
    <w:rsid w:val="00812650"/>
    <w:rsid w:val="00812F4A"/>
    <w:rsid w:val="008166E2"/>
    <w:rsid w:val="0082087D"/>
    <w:rsid w:val="00834145"/>
    <w:rsid w:val="00835771"/>
    <w:rsid w:val="00842933"/>
    <w:rsid w:val="008444A5"/>
    <w:rsid w:val="00846A3D"/>
    <w:rsid w:val="00852EA3"/>
    <w:rsid w:val="008542A1"/>
    <w:rsid w:val="008569EE"/>
    <w:rsid w:val="0086082C"/>
    <w:rsid w:val="00864ADC"/>
    <w:rsid w:val="00865250"/>
    <w:rsid w:val="00872079"/>
    <w:rsid w:val="008757F2"/>
    <w:rsid w:val="00880153"/>
    <w:rsid w:val="00880F97"/>
    <w:rsid w:val="0088133A"/>
    <w:rsid w:val="0089285E"/>
    <w:rsid w:val="008933C8"/>
    <w:rsid w:val="0089436C"/>
    <w:rsid w:val="008A6A30"/>
    <w:rsid w:val="008B11FD"/>
    <w:rsid w:val="008B2315"/>
    <w:rsid w:val="008B276E"/>
    <w:rsid w:val="008C1264"/>
    <w:rsid w:val="008D1C8B"/>
    <w:rsid w:val="008D3018"/>
    <w:rsid w:val="008D365C"/>
    <w:rsid w:val="008D7622"/>
    <w:rsid w:val="008F571B"/>
    <w:rsid w:val="00900889"/>
    <w:rsid w:val="009021A6"/>
    <w:rsid w:val="009030BF"/>
    <w:rsid w:val="00903B52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01B5"/>
    <w:rsid w:val="00962489"/>
    <w:rsid w:val="00964224"/>
    <w:rsid w:val="00967CD3"/>
    <w:rsid w:val="0098713C"/>
    <w:rsid w:val="00990C2C"/>
    <w:rsid w:val="009A5171"/>
    <w:rsid w:val="009E1844"/>
    <w:rsid w:val="009E7FB9"/>
    <w:rsid w:val="009F0471"/>
    <w:rsid w:val="009F0D1B"/>
    <w:rsid w:val="009F5BBD"/>
    <w:rsid w:val="009F696D"/>
    <w:rsid w:val="009F6BC6"/>
    <w:rsid w:val="009F74EF"/>
    <w:rsid w:val="009F7F99"/>
    <w:rsid w:val="00A02826"/>
    <w:rsid w:val="00A02CA6"/>
    <w:rsid w:val="00A15D5A"/>
    <w:rsid w:val="00A17328"/>
    <w:rsid w:val="00A226B5"/>
    <w:rsid w:val="00A23A20"/>
    <w:rsid w:val="00A23F47"/>
    <w:rsid w:val="00A24443"/>
    <w:rsid w:val="00A268B9"/>
    <w:rsid w:val="00A2703A"/>
    <w:rsid w:val="00A33DFF"/>
    <w:rsid w:val="00A35115"/>
    <w:rsid w:val="00A36D9A"/>
    <w:rsid w:val="00A451DC"/>
    <w:rsid w:val="00A52DCF"/>
    <w:rsid w:val="00A554AB"/>
    <w:rsid w:val="00A57062"/>
    <w:rsid w:val="00A67781"/>
    <w:rsid w:val="00A71D3A"/>
    <w:rsid w:val="00A72055"/>
    <w:rsid w:val="00A74460"/>
    <w:rsid w:val="00A761F9"/>
    <w:rsid w:val="00A77118"/>
    <w:rsid w:val="00A85DD3"/>
    <w:rsid w:val="00A92B53"/>
    <w:rsid w:val="00A94FA6"/>
    <w:rsid w:val="00AA49A0"/>
    <w:rsid w:val="00AA6710"/>
    <w:rsid w:val="00AA6C79"/>
    <w:rsid w:val="00AB0681"/>
    <w:rsid w:val="00AB662F"/>
    <w:rsid w:val="00AC103F"/>
    <w:rsid w:val="00AC3A15"/>
    <w:rsid w:val="00AD2F7B"/>
    <w:rsid w:val="00AD520B"/>
    <w:rsid w:val="00AE3BCC"/>
    <w:rsid w:val="00B0331C"/>
    <w:rsid w:val="00B261FC"/>
    <w:rsid w:val="00B425C3"/>
    <w:rsid w:val="00B440AD"/>
    <w:rsid w:val="00B471CA"/>
    <w:rsid w:val="00B479BB"/>
    <w:rsid w:val="00B53E7E"/>
    <w:rsid w:val="00B624DF"/>
    <w:rsid w:val="00B6342E"/>
    <w:rsid w:val="00B7113F"/>
    <w:rsid w:val="00B771C0"/>
    <w:rsid w:val="00B85BBE"/>
    <w:rsid w:val="00B9612E"/>
    <w:rsid w:val="00B96DCA"/>
    <w:rsid w:val="00B9722F"/>
    <w:rsid w:val="00BA2BCF"/>
    <w:rsid w:val="00BA3C73"/>
    <w:rsid w:val="00BA5B14"/>
    <w:rsid w:val="00BA6C21"/>
    <w:rsid w:val="00BA73B6"/>
    <w:rsid w:val="00BA7E27"/>
    <w:rsid w:val="00BB2603"/>
    <w:rsid w:val="00BB4FCD"/>
    <w:rsid w:val="00BB7CEC"/>
    <w:rsid w:val="00BC04E9"/>
    <w:rsid w:val="00BD13EA"/>
    <w:rsid w:val="00BE1481"/>
    <w:rsid w:val="00BE3808"/>
    <w:rsid w:val="00BF6122"/>
    <w:rsid w:val="00C03B88"/>
    <w:rsid w:val="00C062E9"/>
    <w:rsid w:val="00C07B64"/>
    <w:rsid w:val="00C13721"/>
    <w:rsid w:val="00C14FE4"/>
    <w:rsid w:val="00C22E2F"/>
    <w:rsid w:val="00C23C59"/>
    <w:rsid w:val="00C3066D"/>
    <w:rsid w:val="00C33DF4"/>
    <w:rsid w:val="00C369FF"/>
    <w:rsid w:val="00C4206E"/>
    <w:rsid w:val="00C52416"/>
    <w:rsid w:val="00C543F4"/>
    <w:rsid w:val="00C6291C"/>
    <w:rsid w:val="00C633CB"/>
    <w:rsid w:val="00C664CD"/>
    <w:rsid w:val="00C736B7"/>
    <w:rsid w:val="00C81D4A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D05FC"/>
    <w:rsid w:val="00CD42CD"/>
    <w:rsid w:val="00CD63FE"/>
    <w:rsid w:val="00CF3B11"/>
    <w:rsid w:val="00CF525B"/>
    <w:rsid w:val="00D05082"/>
    <w:rsid w:val="00D22CE9"/>
    <w:rsid w:val="00D247EC"/>
    <w:rsid w:val="00D270A4"/>
    <w:rsid w:val="00D31FE9"/>
    <w:rsid w:val="00D34611"/>
    <w:rsid w:val="00D34E1B"/>
    <w:rsid w:val="00D359EC"/>
    <w:rsid w:val="00D376BA"/>
    <w:rsid w:val="00D434A0"/>
    <w:rsid w:val="00D45634"/>
    <w:rsid w:val="00D5568A"/>
    <w:rsid w:val="00D63D73"/>
    <w:rsid w:val="00D64452"/>
    <w:rsid w:val="00D66E1E"/>
    <w:rsid w:val="00D70696"/>
    <w:rsid w:val="00D75722"/>
    <w:rsid w:val="00D80CF5"/>
    <w:rsid w:val="00D867E7"/>
    <w:rsid w:val="00DA5BBA"/>
    <w:rsid w:val="00DB26D2"/>
    <w:rsid w:val="00DB57F1"/>
    <w:rsid w:val="00DB67C9"/>
    <w:rsid w:val="00DC0C95"/>
    <w:rsid w:val="00DC4F0B"/>
    <w:rsid w:val="00DD6580"/>
    <w:rsid w:val="00DE48D0"/>
    <w:rsid w:val="00E01D7F"/>
    <w:rsid w:val="00E05C03"/>
    <w:rsid w:val="00E17C72"/>
    <w:rsid w:val="00E21FC6"/>
    <w:rsid w:val="00E272E0"/>
    <w:rsid w:val="00E31975"/>
    <w:rsid w:val="00E3618C"/>
    <w:rsid w:val="00E36591"/>
    <w:rsid w:val="00E431A9"/>
    <w:rsid w:val="00E44DF7"/>
    <w:rsid w:val="00E548FE"/>
    <w:rsid w:val="00E55511"/>
    <w:rsid w:val="00E669E2"/>
    <w:rsid w:val="00E76135"/>
    <w:rsid w:val="00E764B9"/>
    <w:rsid w:val="00E82F4F"/>
    <w:rsid w:val="00E864DF"/>
    <w:rsid w:val="00EA12EF"/>
    <w:rsid w:val="00EA622F"/>
    <w:rsid w:val="00EB2CC3"/>
    <w:rsid w:val="00EC2844"/>
    <w:rsid w:val="00EC5500"/>
    <w:rsid w:val="00ED18F8"/>
    <w:rsid w:val="00EE2FF2"/>
    <w:rsid w:val="00EE6EDA"/>
    <w:rsid w:val="00EE778E"/>
    <w:rsid w:val="00EF14B4"/>
    <w:rsid w:val="00EF3071"/>
    <w:rsid w:val="00EF6719"/>
    <w:rsid w:val="00EF6C6C"/>
    <w:rsid w:val="00F039C5"/>
    <w:rsid w:val="00F056FC"/>
    <w:rsid w:val="00F0632F"/>
    <w:rsid w:val="00F069AE"/>
    <w:rsid w:val="00F10476"/>
    <w:rsid w:val="00F10B05"/>
    <w:rsid w:val="00F1104B"/>
    <w:rsid w:val="00F135D8"/>
    <w:rsid w:val="00F25D39"/>
    <w:rsid w:val="00F31299"/>
    <w:rsid w:val="00F31773"/>
    <w:rsid w:val="00F3534A"/>
    <w:rsid w:val="00F35BFB"/>
    <w:rsid w:val="00F36ACC"/>
    <w:rsid w:val="00F469C9"/>
    <w:rsid w:val="00F5104B"/>
    <w:rsid w:val="00F51609"/>
    <w:rsid w:val="00F516B4"/>
    <w:rsid w:val="00F55C25"/>
    <w:rsid w:val="00F60719"/>
    <w:rsid w:val="00F65B90"/>
    <w:rsid w:val="00F7081F"/>
    <w:rsid w:val="00F73727"/>
    <w:rsid w:val="00F766A7"/>
    <w:rsid w:val="00F81006"/>
    <w:rsid w:val="00F85325"/>
    <w:rsid w:val="00FB6B19"/>
    <w:rsid w:val="00FB78F6"/>
    <w:rsid w:val="00FD22B1"/>
    <w:rsid w:val="00FD33F1"/>
    <w:rsid w:val="00FD3566"/>
    <w:rsid w:val="00FD363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CD63FE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link w:val="Heading4Char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szCs w:val="20"/>
    </w:r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styleId="Hyperlink">
    <w:name w:val="Hyperlink"/>
    <w:basedOn w:val="DefaultParagraphFont"/>
    <w:rsid w:val="00CD63FE"/>
    <w:rPr>
      <w:color w:val="78A22F" w:themeColor="hyperlink"/>
      <w:u w:val="single"/>
    </w:rPr>
  </w:style>
  <w:style w:type="character" w:styleId="FollowedHyperlink">
    <w:name w:val="FollowedHyperlink"/>
    <w:basedOn w:val="DefaultParagraphFont"/>
    <w:rsid w:val="00CD63FE"/>
    <w:rPr>
      <w:color w:val="387DD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CD63FE"/>
    <w:rPr>
      <w:rFonts w:ascii="Arial" w:hAnsi="Arial"/>
      <w:b/>
      <w:sz w:val="32"/>
    </w:rPr>
  </w:style>
  <w:style w:type="character" w:customStyle="1" w:styleId="Heading3Char">
    <w:name w:val="Heading 3 Char"/>
    <w:basedOn w:val="DefaultParagraphFont"/>
    <w:link w:val="Heading3"/>
    <w:rsid w:val="00CD63FE"/>
    <w:rPr>
      <w:rFonts w:ascii="Arial" w:hAnsi="Arial"/>
      <w:b/>
      <w:sz w:val="26"/>
    </w:rPr>
  </w:style>
  <w:style w:type="character" w:customStyle="1" w:styleId="Heading4Char">
    <w:name w:val="Heading 4 Char"/>
    <w:basedOn w:val="DefaultParagraphFont"/>
    <w:link w:val="Heading4"/>
    <w:rsid w:val="00CD63FE"/>
    <w:rPr>
      <w:rFonts w:ascii="Arial" w:hAnsi="Arial"/>
      <w:sz w:val="24"/>
    </w:rPr>
  </w:style>
  <w:style w:type="paragraph" w:styleId="Revision">
    <w:name w:val="Revision"/>
    <w:hidden/>
    <w:uiPriority w:val="99"/>
    <w:semiHidden/>
    <w:rsid w:val="00CD63F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321AAC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21AAC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321AAC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CD63FE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link w:val="Heading4Char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szCs w:val="20"/>
    </w:r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styleId="Hyperlink">
    <w:name w:val="Hyperlink"/>
    <w:basedOn w:val="DefaultParagraphFont"/>
    <w:rsid w:val="00CD63FE"/>
    <w:rPr>
      <w:color w:val="78A22F" w:themeColor="hyperlink"/>
      <w:u w:val="single"/>
    </w:rPr>
  </w:style>
  <w:style w:type="character" w:styleId="FollowedHyperlink">
    <w:name w:val="FollowedHyperlink"/>
    <w:basedOn w:val="DefaultParagraphFont"/>
    <w:rsid w:val="00CD63FE"/>
    <w:rPr>
      <w:color w:val="387DD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CD63FE"/>
    <w:rPr>
      <w:rFonts w:ascii="Arial" w:hAnsi="Arial"/>
      <w:b/>
      <w:sz w:val="32"/>
    </w:rPr>
  </w:style>
  <w:style w:type="character" w:customStyle="1" w:styleId="Heading3Char">
    <w:name w:val="Heading 3 Char"/>
    <w:basedOn w:val="DefaultParagraphFont"/>
    <w:link w:val="Heading3"/>
    <w:rsid w:val="00CD63FE"/>
    <w:rPr>
      <w:rFonts w:ascii="Arial" w:hAnsi="Arial"/>
      <w:b/>
      <w:sz w:val="26"/>
    </w:rPr>
  </w:style>
  <w:style w:type="character" w:customStyle="1" w:styleId="Heading4Char">
    <w:name w:val="Heading 4 Char"/>
    <w:basedOn w:val="DefaultParagraphFont"/>
    <w:link w:val="Heading4"/>
    <w:rsid w:val="00CD63FE"/>
    <w:rPr>
      <w:rFonts w:ascii="Arial" w:hAnsi="Arial"/>
      <w:sz w:val="24"/>
    </w:rPr>
  </w:style>
  <w:style w:type="paragraph" w:styleId="Revision">
    <w:name w:val="Revision"/>
    <w:hidden/>
    <w:uiPriority w:val="99"/>
    <w:semiHidden/>
    <w:rsid w:val="00CD63F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321AAC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21AAC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321AAC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E8AA7-38D9-4924-A398-A99ACBD3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1299</TotalTime>
  <Pages>3</Pages>
  <Words>904</Words>
  <Characters>4734</Characters>
  <Application>Microsoft Office Word</Application>
  <DocSecurity>0</DocSecurity>
  <Lines>152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Rules of Origin calculations</vt:lpstr>
    </vt:vector>
  </TitlesOfParts>
  <Company>Productivity Commission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Rules of Origin calculations</dc:title>
  <dc:subject>Trade &amp; Assistance Review 2013-14 Methodological Annex</dc:subject>
  <dc:creator>Productivity Commission</dc:creator>
  <cp:keywords/>
  <dc:description>A.</dc:description>
  <cp:lastModifiedBy>Michelle Cross</cp:lastModifiedBy>
  <cp:revision>155</cp:revision>
  <cp:lastPrinted>2015-10-14T23:12:00Z</cp:lastPrinted>
  <dcterms:created xsi:type="dcterms:W3CDTF">2014-09-15T01:10:00Z</dcterms:created>
  <dcterms:modified xsi:type="dcterms:W3CDTF">2015-11-16T01:28:00Z</dcterms:modified>
</cp:coreProperties>
</file>