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25F" w:rsidRPr="00AA525F" w:rsidRDefault="00AA525F" w:rsidP="00AA525F">
      <w:pPr>
        <w:pStyle w:val="Heading1NotTOC"/>
        <w:rPr>
          <w:color w:val="FFFFFF" w:themeColor="background1"/>
          <w:sz w:val="16"/>
          <w:szCs w:val="16"/>
        </w:rPr>
      </w:pPr>
      <w:r>
        <w:rPr>
          <w:noProof/>
          <w:color w:val="FFFFFF" w:themeColor="background1"/>
          <w:sz w:val="16"/>
          <w:szCs w:val="16"/>
          <w:lang w:eastAsia="en-AU"/>
        </w:rPr>
        <w:drawing>
          <wp:anchor distT="0" distB="0" distL="114300" distR="114300" simplePos="0" relativeHeight="251658240" behindDoc="0" locked="0" layoutInCell="1" allowOverlap="1" wp14:anchorId="0BE55EA7" wp14:editId="796CE35D">
            <wp:simplePos x="1152659" y="-6658377"/>
            <wp:positionH relativeFrom="page">
              <wp:align>center</wp:align>
            </wp:positionH>
            <wp:positionV relativeFrom="page">
              <wp:align>center</wp:align>
            </wp:positionV>
            <wp:extent cx="7594399" cy="10742400"/>
            <wp:effectExtent l="0" t="0" r="6985" b="1905"/>
            <wp:wrapNone/>
            <wp:docPr id="1" name="Picture 1" descr="Trade &amp; Assistance Review 2013-14. Methodological Annex. &#10;Changes to the Commission’s Assistance Estimates. Productivity Commissi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2013-14-annex-cover.png"/>
                    <pic:cNvPicPr/>
                  </pic:nvPicPr>
                  <pic:blipFill>
                    <a:blip r:embed="rId9">
                      <a:extLst>
                        <a:ext uri="{28A0092B-C50C-407E-A947-70E740481C1C}">
                          <a14:useLocalDpi xmlns:a14="http://schemas.microsoft.com/office/drawing/2010/main" val="0"/>
                        </a:ext>
                      </a:extLst>
                    </a:blip>
                    <a:stretch>
                      <a:fillRect/>
                    </a:stretch>
                  </pic:blipFill>
                  <pic:spPr>
                    <a:xfrm>
                      <a:off x="0" y="0"/>
                      <a:ext cx="7594399" cy="10742400"/>
                    </a:xfrm>
                    <a:prstGeom prst="rect">
                      <a:avLst/>
                    </a:prstGeom>
                  </pic:spPr>
                </pic:pic>
              </a:graphicData>
            </a:graphic>
            <wp14:sizeRelH relativeFrom="margin">
              <wp14:pctWidth>0</wp14:pctWidth>
            </wp14:sizeRelH>
            <wp14:sizeRelV relativeFrom="margin">
              <wp14:pctHeight>0</wp14:pctHeight>
            </wp14:sizeRelV>
          </wp:anchor>
        </w:drawing>
      </w:r>
      <w:r w:rsidRPr="00AA525F">
        <w:rPr>
          <w:color w:val="FFFFFF" w:themeColor="background1"/>
          <w:sz w:val="16"/>
          <w:szCs w:val="16"/>
        </w:rPr>
        <w:t xml:space="preserve">Trade &amp; Assistance Review 2013-14. Methodological Annex. </w:t>
      </w:r>
    </w:p>
    <w:p w:rsidR="00AA525F" w:rsidRPr="00AA525F" w:rsidRDefault="00AA525F" w:rsidP="00AA525F">
      <w:pPr>
        <w:pStyle w:val="BodyText"/>
        <w:rPr>
          <w:color w:val="FFFFFF" w:themeColor="background1"/>
          <w:sz w:val="16"/>
          <w:szCs w:val="16"/>
          <w:lang w:eastAsia="en-US"/>
        </w:rPr>
      </w:pPr>
      <w:r w:rsidRPr="00AA525F">
        <w:rPr>
          <w:color w:val="FFFFFF" w:themeColor="background1"/>
          <w:sz w:val="16"/>
          <w:szCs w:val="16"/>
          <w:lang w:eastAsia="en-US"/>
        </w:rPr>
        <w:t>Changes to the Commission’s Assistance Estimates and Rules of Origin Methodology.</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A7271E" w:rsidRPr="007809B8" w:rsidRDefault="006300D2">
      <w:pPr>
        <w:pStyle w:val="BodyText"/>
        <w:tabs>
          <w:tab w:val="left" w:pos="851"/>
        </w:tabs>
        <w:spacing w:before="200" w:after="120"/>
        <w:jc w:val="left"/>
        <w:rPr>
          <w:b/>
        </w:rPr>
      </w:pPr>
      <w:bookmarkStart w:id="0" w:name="ISSN"/>
      <w:bookmarkEnd w:id="0"/>
      <w:r>
        <w:rPr>
          <w:b/>
        </w:rPr>
        <w:t>ISBN</w:t>
      </w:r>
      <w:r>
        <w:rPr>
          <w:b/>
        </w:rPr>
        <w:tab/>
      </w:r>
      <w:r w:rsidR="005C0E88" w:rsidRPr="005C0E88">
        <w:rPr>
          <w:b/>
        </w:rPr>
        <w:t>978-1-74037-554-2</w:t>
      </w:r>
      <w:r>
        <w:rPr>
          <w:b/>
        </w:rPr>
        <w:t xml:space="preserve"> (PDF)</w:t>
      </w:r>
    </w:p>
    <w:p w:rsidR="008A3857" w:rsidRDefault="008A3857" w:rsidP="008E242D">
      <w:pPr>
        <w:pStyle w:val="BodyText"/>
        <w:spacing w:after="120"/>
      </w:pPr>
      <w:r w:rsidRPr="00862D8F">
        <w:rPr>
          <w:noProof/>
          <w:sz w:val="22"/>
          <w:szCs w:val="22"/>
        </w:rPr>
        <w:drawing>
          <wp:inline distT="0" distB="0" distL="0" distR="0" wp14:anchorId="1F2C5D64" wp14:editId="040777E9">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A7271E" w:rsidRPr="00A7271E">
        <w:rPr>
          <w:i/>
        </w:rPr>
        <w:t>Methodological Annex: Changes to the Commission’s Assistance Estimates</w:t>
      </w:r>
      <w:r w:rsidR="005C0E88">
        <w:rPr>
          <w:i/>
        </w:rPr>
        <w:t xml:space="preserve"> and Rules of Origin Methodology</w:t>
      </w:r>
      <w:r w:rsidR="00A7271E" w:rsidRPr="00A7271E">
        <w:rPr>
          <w:i/>
        </w:rPr>
        <w:t>,</w:t>
      </w:r>
      <w:r w:rsidR="00A7271E">
        <w:rPr>
          <w:i/>
        </w:rPr>
        <w:t xml:space="preserve"> Trade &amp; Assistance Review 2013-14</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2A6F3A" w:rsidRPr="00A7271E">
        <w:rPr>
          <w:i/>
        </w:rPr>
        <w:t>Methodological Annex: Changes to the Commission’s Assistance Estimates</w:t>
      </w:r>
      <w:r w:rsidR="005C0E88">
        <w:rPr>
          <w:i/>
        </w:rPr>
        <w:t xml:space="preserve"> and Rules of Origin Methodology</w:t>
      </w:r>
      <w:r w:rsidR="002A6F3A" w:rsidRPr="00A7271E">
        <w:rPr>
          <w:i/>
        </w:rPr>
        <w:t>,</w:t>
      </w:r>
      <w:r w:rsidR="002A6F3A">
        <w:rPr>
          <w:i/>
        </w:rPr>
        <w:t xml:space="preserve"> Trade &amp; Assistance Review 2013-14</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A7271E" w:rsidRDefault="00A7271E" w:rsidP="008A3857">
      <w:pPr>
        <w:pStyle w:val="Copyrightsubtitle"/>
        <w:rPr>
          <w:rFonts w:ascii="Times New Roman" w:hAnsi="Times New Roman"/>
          <w:b w:val="0"/>
          <w:sz w:val="20"/>
          <w:szCs w:val="20"/>
        </w:rPr>
      </w:pPr>
      <w:r>
        <w:rPr>
          <w:rFonts w:ascii="Times New Roman" w:hAnsi="Times New Roman"/>
          <w:b w:val="0"/>
          <w:sz w:val="20"/>
          <w:szCs w:val="20"/>
        </w:rPr>
        <w:t>Productivity Commission 2015</w:t>
      </w:r>
      <w:r w:rsidRPr="00A7271E">
        <w:rPr>
          <w:rFonts w:ascii="Times New Roman" w:hAnsi="Times New Roman"/>
          <w:b w:val="0"/>
          <w:sz w:val="20"/>
          <w:szCs w:val="20"/>
        </w:rPr>
        <w:t xml:space="preserve">, </w:t>
      </w:r>
      <w:r w:rsidRPr="002A6F3A">
        <w:rPr>
          <w:rFonts w:ascii="Times New Roman" w:hAnsi="Times New Roman"/>
          <w:b w:val="0"/>
          <w:i/>
          <w:sz w:val="20"/>
          <w:szCs w:val="20"/>
        </w:rPr>
        <w:t>Methodological Annex: Changes to the Commission’s Assistance Estimates</w:t>
      </w:r>
      <w:r w:rsidR="000227A4">
        <w:rPr>
          <w:rFonts w:ascii="Times New Roman" w:hAnsi="Times New Roman"/>
          <w:b w:val="0"/>
          <w:i/>
          <w:sz w:val="20"/>
          <w:szCs w:val="20"/>
        </w:rPr>
        <w:t xml:space="preserve"> and Rules of Origin Methodology</w:t>
      </w:r>
      <w:r>
        <w:rPr>
          <w:rFonts w:ascii="Times New Roman" w:hAnsi="Times New Roman"/>
          <w:b w:val="0"/>
          <w:sz w:val="20"/>
          <w:szCs w:val="20"/>
        </w:rPr>
        <w:t xml:space="preserve">, </w:t>
      </w:r>
      <w:r w:rsidRPr="006A7C18">
        <w:rPr>
          <w:rFonts w:ascii="Times New Roman" w:hAnsi="Times New Roman"/>
          <w:b w:val="0"/>
          <w:i/>
          <w:sz w:val="20"/>
          <w:szCs w:val="20"/>
        </w:rPr>
        <w:t>Trade &amp; Assistance Review 2013-14</w:t>
      </w:r>
      <w:r w:rsidRPr="00A7271E">
        <w:rPr>
          <w:rFonts w:ascii="Times New Roman" w:hAnsi="Times New Roman"/>
          <w:b w:val="0"/>
          <w:sz w:val="20"/>
          <w:szCs w:val="20"/>
        </w:rPr>
        <w:t>, Canberra.</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bookmarkStart w:id="1" w:name="_Toc428363979"/>
            <w:r w:rsidRPr="008A3857">
              <w:rPr>
                <w:sz w:val="22"/>
                <w:szCs w:val="22"/>
              </w:rPr>
              <w:t>The Productivity Commission</w:t>
            </w:r>
            <w:bookmarkEnd w:id="1"/>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7271E" w:rsidRDefault="00735FEA" w:rsidP="008206EE">
      <w:pPr>
        <w:pStyle w:val="Heading1NotTOC"/>
        <w:rPr>
          <w:noProof/>
        </w:rPr>
      </w:pPr>
      <w:bookmarkStart w:id="3" w:name="Contents"/>
      <w:bookmarkEnd w:id="3"/>
      <w:r w:rsidRPr="00B153C3">
        <w:lastRenderedPageBreak/>
        <w:t>Contents</w:t>
      </w:r>
      <w:bookmarkStart w:id="4" w:name="InsertContents"/>
      <w:bookmarkEnd w:id="4"/>
    </w:p>
    <w:p w:rsidR="00A7271E" w:rsidRDefault="00A7271E">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2B0E2B">
        <w:rPr>
          <w:noProof/>
        </w:rPr>
        <w:t>iv</w:t>
      </w:r>
    </w:p>
    <w:p w:rsidR="00A7271E" w:rsidRDefault="00A7271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annex</w:t>
      </w:r>
      <w:r>
        <w:rPr>
          <w:noProof/>
        </w:rPr>
        <w:tab/>
        <w:t>1</w:t>
      </w:r>
    </w:p>
    <w:p w:rsidR="00A7271E" w:rsidRDefault="00A7271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sidR="00095DCF">
        <w:rPr>
          <w:noProof/>
        </w:rPr>
        <w:t>Programs added to the assistance estimates in 2013</w:t>
      </w:r>
      <w:r w:rsidR="009A7C36">
        <w:rPr>
          <w:noProof/>
        </w:rPr>
        <w:t>-</w:t>
      </w:r>
      <w:r w:rsidR="00095DCF">
        <w:rPr>
          <w:noProof/>
        </w:rPr>
        <w:t>14</w:t>
      </w:r>
      <w:r>
        <w:rPr>
          <w:noProof/>
        </w:rPr>
        <w:tab/>
        <w:t>3</w:t>
      </w:r>
    </w:p>
    <w:p w:rsidR="00A7271E" w:rsidRDefault="00A7271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 xml:space="preserve">Programs </w:t>
      </w:r>
      <w:r w:rsidR="009A7C36">
        <w:rPr>
          <w:noProof/>
        </w:rPr>
        <w:t xml:space="preserve">previously included in the estimates that had zero assistance </w:t>
      </w:r>
      <w:r>
        <w:rPr>
          <w:noProof/>
        </w:rPr>
        <w:t>in 2013</w:t>
      </w:r>
      <w:r w:rsidR="009A7C36">
        <w:rPr>
          <w:noProof/>
        </w:rPr>
        <w:t>-</w:t>
      </w:r>
      <w:r>
        <w:rPr>
          <w:noProof/>
        </w:rPr>
        <w:t>14</w:t>
      </w:r>
      <w:r>
        <w:rPr>
          <w:noProof/>
        </w:rPr>
        <w:tab/>
        <w:t>11</w:t>
      </w:r>
    </w:p>
    <w:p w:rsidR="00A7271E" w:rsidRDefault="00A7271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Methodological changes to the estimates</w:t>
      </w:r>
      <w:r>
        <w:rPr>
          <w:noProof/>
        </w:rPr>
        <w:tab/>
        <w:t>15</w:t>
      </w:r>
    </w:p>
    <w:p w:rsidR="00A7271E" w:rsidRDefault="00A7271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sidR="001347F8">
        <w:rPr>
          <w:noProof/>
        </w:rPr>
        <w:t>Rules of Origin methodology</w:t>
      </w:r>
      <w:r w:rsidR="001347F8">
        <w:rPr>
          <w:noProof/>
        </w:rPr>
        <w:tab/>
        <w:t>23</w:t>
      </w:r>
    </w:p>
    <w:p w:rsidR="00A7271E" w:rsidRDefault="00A7271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 xml:space="preserve">Rules of Origin calculations for </w:t>
      </w:r>
      <w:r w:rsidR="001347F8">
        <w:rPr>
          <w:noProof/>
        </w:rPr>
        <w:t>the Japan-Australia agreement</w:t>
      </w:r>
      <w:r w:rsidR="001347F8">
        <w:rPr>
          <w:noProof/>
        </w:rPr>
        <w:tab/>
        <w:t>27</w:t>
      </w:r>
    </w:p>
    <w:p w:rsidR="00A7271E" w:rsidRDefault="00A7271E">
      <w:pPr>
        <w:pStyle w:val="TOC1"/>
        <w:rPr>
          <w:rFonts w:asciiTheme="minorHAnsi" w:eastAsiaTheme="minorEastAsia" w:hAnsiTheme="minorHAnsi" w:cstheme="minorBidi"/>
          <w:b w:val="0"/>
          <w:noProof/>
          <w:sz w:val="22"/>
          <w:szCs w:val="22"/>
          <w:lang w:eastAsia="en-AU"/>
        </w:rPr>
      </w:pPr>
      <w:r>
        <w:rPr>
          <w:noProof/>
        </w:rPr>
        <w:t>References</w:t>
      </w:r>
      <w:r>
        <w:rPr>
          <w:noProof/>
        </w:rPr>
        <w:tab/>
      </w:r>
      <w:r w:rsidR="001347F8">
        <w:rPr>
          <w:noProof/>
        </w:rPr>
        <w:t>31</w:t>
      </w:r>
    </w:p>
    <w:p w:rsidR="00A7271E" w:rsidRDefault="00A7271E" w:rsidP="00A7271E">
      <w:pPr>
        <w:pStyle w:val="TOC1"/>
      </w:pPr>
      <w:r>
        <w:t>Figures</w:t>
      </w:r>
    </w:p>
    <w:p w:rsidR="00A7271E" w:rsidRPr="00A7271E" w:rsidRDefault="00A7271E">
      <w:pPr>
        <w:pStyle w:val="TOC2"/>
        <w:tabs>
          <w:tab w:val="left" w:pos="1901"/>
        </w:tabs>
        <w:rPr>
          <w:rFonts w:asciiTheme="minorHAnsi" w:eastAsiaTheme="minorEastAsia" w:hAnsiTheme="minorHAnsi" w:cstheme="minorBidi"/>
          <w:noProof/>
          <w:sz w:val="22"/>
          <w:szCs w:val="22"/>
          <w:lang w:eastAsia="en-AU"/>
        </w:rPr>
      </w:pPr>
      <w:r w:rsidRPr="00A7271E">
        <w:rPr>
          <w:noProof/>
        </w:rPr>
        <w:t>5.1</w:t>
      </w:r>
      <w:r w:rsidRPr="00A7271E">
        <w:rPr>
          <w:rFonts w:asciiTheme="minorHAnsi" w:eastAsiaTheme="minorEastAsia" w:hAnsiTheme="minorHAnsi" w:cstheme="minorBidi"/>
          <w:noProof/>
          <w:sz w:val="22"/>
          <w:szCs w:val="22"/>
          <w:lang w:eastAsia="en-AU"/>
        </w:rPr>
        <w:tab/>
      </w:r>
      <w:r w:rsidRPr="00A7271E">
        <w:rPr>
          <w:rFonts w:cs="Arial"/>
          <w:bCs/>
          <w:noProof/>
          <w:color w:val="000000"/>
        </w:rPr>
        <w:t xml:space="preserve">Methods used to determine </w:t>
      </w:r>
      <w:r w:rsidR="009A7C36">
        <w:rPr>
          <w:rFonts w:cs="Arial"/>
          <w:bCs/>
          <w:noProof/>
          <w:color w:val="000000"/>
        </w:rPr>
        <w:t xml:space="preserve">the </w:t>
      </w:r>
      <w:r w:rsidRPr="00A7271E">
        <w:rPr>
          <w:rFonts w:cs="Arial"/>
          <w:bCs/>
          <w:noProof/>
          <w:color w:val="000000"/>
        </w:rPr>
        <w:t>origin of merchandise trade in Australia’s preferential trade agreements</w:t>
      </w:r>
      <w:r w:rsidR="001347F8">
        <w:rPr>
          <w:noProof/>
        </w:rPr>
        <w:tab/>
        <w:t>25</w:t>
      </w:r>
    </w:p>
    <w:p w:rsidR="00A7271E" w:rsidRDefault="00A7271E" w:rsidP="00A7271E">
      <w:pPr>
        <w:pStyle w:val="TOC1"/>
      </w:pPr>
      <w:r>
        <w:t>Tables</w:t>
      </w:r>
    </w:p>
    <w:p w:rsidR="00A7271E" w:rsidRPr="00A7271E" w:rsidRDefault="00A7271E">
      <w:pPr>
        <w:pStyle w:val="TOC2"/>
        <w:tabs>
          <w:tab w:val="left" w:pos="1814"/>
        </w:tabs>
        <w:rPr>
          <w:rFonts w:asciiTheme="minorHAnsi" w:eastAsiaTheme="minorEastAsia" w:hAnsiTheme="minorHAnsi" w:cstheme="minorBidi"/>
          <w:noProof/>
          <w:sz w:val="22"/>
          <w:szCs w:val="22"/>
          <w:lang w:eastAsia="en-AU"/>
        </w:rPr>
      </w:pPr>
      <w:r w:rsidRPr="00A7271E">
        <w:rPr>
          <w:noProof/>
        </w:rPr>
        <w:t>1.1</w:t>
      </w:r>
      <w:r w:rsidRPr="00A7271E">
        <w:rPr>
          <w:rFonts w:asciiTheme="minorHAnsi" w:eastAsiaTheme="minorEastAsia" w:hAnsiTheme="minorHAnsi" w:cstheme="minorBidi"/>
          <w:noProof/>
          <w:sz w:val="22"/>
          <w:szCs w:val="22"/>
          <w:lang w:eastAsia="en-AU"/>
        </w:rPr>
        <w:tab/>
      </w:r>
      <w:r w:rsidRPr="00A7271E">
        <w:rPr>
          <w:noProof/>
        </w:rPr>
        <w:t>Previous methodological annexes to Trade &amp; Assistance Review</w:t>
      </w:r>
      <w:r w:rsidRPr="00A7271E">
        <w:rPr>
          <w:noProof/>
        </w:rPr>
        <w:tab/>
        <w:t>2</w:t>
      </w:r>
    </w:p>
    <w:p w:rsidR="00A7271E" w:rsidRPr="00A7271E" w:rsidRDefault="00A7271E">
      <w:pPr>
        <w:pStyle w:val="TOC2"/>
        <w:tabs>
          <w:tab w:val="left" w:pos="1814"/>
        </w:tabs>
        <w:rPr>
          <w:rFonts w:asciiTheme="minorHAnsi" w:eastAsiaTheme="minorEastAsia" w:hAnsiTheme="minorHAnsi" w:cstheme="minorBidi"/>
          <w:noProof/>
          <w:sz w:val="22"/>
          <w:szCs w:val="22"/>
          <w:lang w:eastAsia="en-AU"/>
        </w:rPr>
      </w:pPr>
      <w:r w:rsidRPr="00A7271E">
        <w:rPr>
          <w:noProof/>
        </w:rPr>
        <w:t>2.1</w:t>
      </w:r>
      <w:r w:rsidRPr="00A7271E">
        <w:rPr>
          <w:rFonts w:asciiTheme="minorHAnsi" w:eastAsiaTheme="minorEastAsia" w:hAnsiTheme="minorHAnsi" w:cstheme="minorBidi"/>
          <w:noProof/>
          <w:sz w:val="22"/>
          <w:szCs w:val="22"/>
          <w:lang w:eastAsia="en-AU"/>
        </w:rPr>
        <w:tab/>
      </w:r>
      <w:r w:rsidR="009A7C36">
        <w:rPr>
          <w:rFonts w:asciiTheme="minorHAnsi" w:eastAsiaTheme="minorEastAsia" w:hAnsiTheme="minorHAnsi" w:cstheme="minorBidi"/>
          <w:noProof/>
          <w:sz w:val="22"/>
          <w:szCs w:val="22"/>
          <w:lang w:eastAsia="en-AU"/>
        </w:rPr>
        <w:t>B</w:t>
      </w:r>
      <w:r w:rsidRPr="00A7271E">
        <w:rPr>
          <w:noProof/>
        </w:rPr>
        <w:t xml:space="preserve">udgetary </w:t>
      </w:r>
      <w:r w:rsidR="008A49C9">
        <w:rPr>
          <w:noProof/>
        </w:rPr>
        <w:t xml:space="preserve">measures added to the assistance estimates for </w:t>
      </w:r>
      <w:r w:rsidRPr="00A7271E">
        <w:rPr>
          <w:i/>
          <w:noProof/>
        </w:rPr>
        <w:t>Trade &amp; Assistance Review 2013</w:t>
      </w:r>
      <w:r w:rsidRPr="00A7271E">
        <w:rPr>
          <w:i/>
          <w:noProof/>
        </w:rPr>
        <w:noBreakHyphen/>
        <w:t>14</w:t>
      </w:r>
      <w:r w:rsidRPr="00A7271E">
        <w:rPr>
          <w:noProof/>
        </w:rPr>
        <w:tab/>
        <w:t>3</w:t>
      </w:r>
    </w:p>
    <w:p w:rsidR="00A7271E" w:rsidRPr="00A7271E" w:rsidRDefault="00A7271E">
      <w:pPr>
        <w:pStyle w:val="TOC2"/>
        <w:tabs>
          <w:tab w:val="left" w:pos="1814"/>
        </w:tabs>
        <w:rPr>
          <w:rFonts w:asciiTheme="minorHAnsi" w:eastAsiaTheme="minorEastAsia" w:hAnsiTheme="minorHAnsi" w:cstheme="minorBidi"/>
          <w:noProof/>
          <w:sz w:val="22"/>
          <w:szCs w:val="22"/>
          <w:lang w:eastAsia="en-AU"/>
        </w:rPr>
      </w:pPr>
      <w:r w:rsidRPr="00A7271E">
        <w:rPr>
          <w:noProof/>
        </w:rPr>
        <w:t>3.1</w:t>
      </w:r>
      <w:r w:rsidRPr="00A7271E">
        <w:rPr>
          <w:rFonts w:asciiTheme="minorHAnsi" w:eastAsiaTheme="minorEastAsia" w:hAnsiTheme="minorHAnsi" w:cstheme="minorBidi"/>
          <w:noProof/>
          <w:sz w:val="22"/>
          <w:szCs w:val="22"/>
          <w:lang w:eastAsia="en-AU"/>
        </w:rPr>
        <w:tab/>
      </w:r>
      <w:r w:rsidRPr="00A7271E">
        <w:rPr>
          <w:noProof/>
        </w:rPr>
        <w:t>Assistance programs in 2012</w:t>
      </w:r>
      <w:r w:rsidRPr="00A7271E">
        <w:rPr>
          <w:noProof/>
        </w:rPr>
        <w:noBreakHyphen/>
        <w:t>13 with zero assistance in 2013</w:t>
      </w:r>
      <w:r w:rsidRPr="00A7271E">
        <w:rPr>
          <w:noProof/>
        </w:rPr>
        <w:noBreakHyphen/>
        <w:t>14</w:t>
      </w:r>
      <w:r w:rsidRPr="00A7271E">
        <w:rPr>
          <w:noProof/>
        </w:rPr>
        <w:tab/>
        <w:t>11</w:t>
      </w:r>
    </w:p>
    <w:p w:rsidR="00A7271E" w:rsidRPr="00A7271E" w:rsidRDefault="00A7271E">
      <w:pPr>
        <w:pStyle w:val="TOC2"/>
        <w:tabs>
          <w:tab w:val="left" w:pos="1814"/>
        </w:tabs>
        <w:rPr>
          <w:rFonts w:asciiTheme="minorHAnsi" w:eastAsiaTheme="minorEastAsia" w:hAnsiTheme="minorHAnsi" w:cstheme="minorBidi"/>
          <w:noProof/>
          <w:sz w:val="22"/>
          <w:szCs w:val="22"/>
          <w:lang w:eastAsia="en-AU"/>
        </w:rPr>
      </w:pPr>
      <w:r w:rsidRPr="00A7271E">
        <w:rPr>
          <w:noProof/>
        </w:rPr>
        <w:t>4.1</w:t>
      </w:r>
      <w:r w:rsidRPr="00A7271E">
        <w:rPr>
          <w:rFonts w:asciiTheme="minorHAnsi" w:eastAsiaTheme="minorEastAsia" w:hAnsiTheme="minorHAnsi" w:cstheme="minorBidi"/>
          <w:noProof/>
          <w:sz w:val="22"/>
          <w:szCs w:val="22"/>
          <w:lang w:eastAsia="en-AU"/>
        </w:rPr>
        <w:tab/>
      </w:r>
      <w:r w:rsidRPr="00A7271E">
        <w:rPr>
          <w:noProof/>
        </w:rPr>
        <w:t>Allocation of Small Business Simplified Depreciation Rules to industry, 2008</w:t>
      </w:r>
      <w:r w:rsidRPr="00A7271E">
        <w:rPr>
          <w:noProof/>
        </w:rPr>
        <w:noBreakHyphen/>
        <w:t>09 to 2013</w:t>
      </w:r>
      <w:r w:rsidRPr="00A7271E">
        <w:rPr>
          <w:noProof/>
        </w:rPr>
        <w:noBreakHyphen/>
        <w:t>14</w:t>
      </w:r>
      <w:r w:rsidRPr="00A7271E">
        <w:rPr>
          <w:noProof/>
        </w:rPr>
        <w:tab/>
        <w:t>17</w:t>
      </w:r>
    </w:p>
    <w:p w:rsidR="00A7271E" w:rsidRPr="00A7271E" w:rsidRDefault="00A7271E">
      <w:pPr>
        <w:pStyle w:val="TOC2"/>
        <w:tabs>
          <w:tab w:val="left" w:pos="1814"/>
        </w:tabs>
        <w:rPr>
          <w:rFonts w:asciiTheme="minorHAnsi" w:eastAsiaTheme="minorEastAsia" w:hAnsiTheme="minorHAnsi" w:cstheme="minorBidi"/>
          <w:noProof/>
          <w:sz w:val="22"/>
          <w:szCs w:val="22"/>
          <w:lang w:eastAsia="en-AU"/>
        </w:rPr>
      </w:pPr>
      <w:r w:rsidRPr="00A7271E">
        <w:rPr>
          <w:noProof/>
        </w:rPr>
        <w:t>4.2</w:t>
      </w:r>
      <w:r w:rsidRPr="00A7271E">
        <w:rPr>
          <w:rFonts w:asciiTheme="minorHAnsi" w:eastAsiaTheme="minorEastAsia" w:hAnsiTheme="minorHAnsi" w:cstheme="minorBidi"/>
          <w:noProof/>
          <w:sz w:val="22"/>
          <w:szCs w:val="22"/>
          <w:lang w:eastAsia="en-AU"/>
        </w:rPr>
        <w:tab/>
      </w:r>
      <w:r w:rsidRPr="00A7271E">
        <w:rPr>
          <w:noProof/>
        </w:rPr>
        <w:t xml:space="preserve">Income tax averaging provisions for primary </w:t>
      </w:r>
      <w:r w:rsidR="008A49C9">
        <w:rPr>
          <w:noProof/>
        </w:rPr>
        <w:t>producers, 2008</w:t>
      </w:r>
      <w:r w:rsidR="008A49C9">
        <w:rPr>
          <w:noProof/>
        </w:rPr>
        <w:noBreakHyphen/>
        <w:t>09 to 2013</w:t>
      </w:r>
      <w:r w:rsidR="008A49C9">
        <w:rPr>
          <w:noProof/>
        </w:rPr>
        <w:noBreakHyphen/>
        <w:t>14</w:t>
      </w:r>
      <w:r w:rsidR="008A49C9">
        <w:rPr>
          <w:noProof/>
        </w:rPr>
        <w:tab/>
        <w:t>19</w:t>
      </w:r>
    </w:p>
    <w:p w:rsidR="00A7271E" w:rsidRPr="00A7271E" w:rsidRDefault="00A7271E">
      <w:pPr>
        <w:pStyle w:val="TOC2"/>
        <w:tabs>
          <w:tab w:val="left" w:pos="1814"/>
        </w:tabs>
        <w:rPr>
          <w:rFonts w:asciiTheme="minorHAnsi" w:eastAsiaTheme="minorEastAsia" w:hAnsiTheme="minorHAnsi" w:cstheme="minorBidi"/>
          <w:noProof/>
          <w:sz w:val="22"/>
          <w:szCs w:val="22"/>
          <w:lang w:eastAsia="en-AU"/>
        </w:rPr>
      </w:pPr>
      <w:r w:rsidRPr="00A7271E">
        <w:rPr>
          <w:noProof/>
        </w:rPr>
        <w:t>4.3</w:t>
      </w:r>
      <w:r w:rsidRPr="00A7271E">
        <w:rPr>
          <w:rFonts w:asciiTheme="minorHAnsi" w:eastAsiaTheme="minorEastAsia" w:hAnsiTheme="minorHAnsi" w:cstheme="minorBidi"/>
          <w:noProof/>
          <w:sz w:val="22"/>
          <w:szCs w:val="22"/>
          <w:lang w:eastAsia="en-AU"/>
        </w:rPr>
        <w:tab/>
      </w:r>
      <w:r w:rsidRPr="00A7271E">
        <w:rPr>
          <w:noProof/>
        </w:rPr>
        <w:t>R&amp;D Tax Incentive</w:t>
      </w:r>
      <w:r w:rsidR="008A49C9">
        <w:rPr>
          <w:noProof/>
        </w:rPr>
        <w:t xml:space="preserve"> funding, 2012</w:t>
      </w:r>
      <w:r w:rsidR="008A49C9">
        <w:rPr>
          <w:noProof/>
        </w:rPr>
        <w:noBreakHyphen/>
        <w:t>13 and 2013</w:t>
      </w:r>
      <w:r w:rsidR="008A49C9">
        <w:rPr>
          <w:noProof/>
        </w:rPr>
        <w:noBreakHyphen/>
        <w:t>14</w:t>
      </w:r>
      <w:r w:rsidR="008A49C9">
        <w:rPr>
          <w:noProof/>
        </w:rPr>
        <w:tab/>
        <w:t>20</w:t>
      </w:r>
    </w:p>
    <w:p w:rsidR="00A7271E" w:rsidRPr="000227A4" w:rsidRDefault="00A7271E" w:rsidP="000227A4">
      <w:pPr>
        <w:pStyle w:val="TOC2"/>
        <w:tabs>
          <w:tab w:val="left" w:pos="1814"/>
        </w:tabs>
        <w:rPr>
          <w:rFonts w:asciiTheme="minorHAnsi" w:eastAsiaTheme="minorEastAsia" w:hAnsiTheme="minorHAnsi" w:cstheme="minorBidi"/>
          <w:noProof/>
          <w:sz w:val="22"/>
          <w:szCs w:val="22"/>
          <w:lang w:eastAsia="en-AU"/>
        </w:rPr>
      </w:pPr>
      <w:r w:rsidRPr="00A7271E">
        <w:rPr>
          <w:noProof/>
        </w:rPr>
        <w:t>5.1</w:t>
      </w:r>
      <w:r w:rsidRPr="00A7271E">
        <w:rPr>
          <w:rFonts w:asciiTheme="minorHAnsi" w:eastAsiaTheme="minorEastAsia" w:hAnsiTheme="minorHAnsi" w:cstheme="minorBidi"/>
          <w:noProof/>
          <w:sz w:val="22"/>
          <w:szCs w:val="22"/>
          <w:lang w:eastAsia="en-AU"/>
        </w:rPr>
        <w:tab/>
      </w:r>
      <w:r w:rsidRPr="00A7271E">
        <w:rPr>
          <w:noProof/>
        </w:rPr>
        <w:t>Incidence of methods used to determine origin in recent preferential tr</w:t>
      </w:r>
      <w:r w:rsidR="001347F8">
        <w:rPr>
          <w:noProof/>
        </w:rPr>
        <w:t>ade agreements with Australia</w:t>
      </w:r>
      <w:r w:rsidR="001347F8">
        <w:rPr>
          <w:noProof/>
        </w:rPr>
        <w:tab/>
        <w:t>26</w:t>
      </w:r>
      <w:bookmarkStart w:id="5" w:name="_GoBack"/>
      <w:bookmarkEnd w:id="5"/>
    </w:p>
    <w:p w:rsidR="00A7271E" w:rsidRPr="00A7271E" w:rsidRDefault="00A7271E" w:rsidP="00A7271E">
      <w:pPr>
        <w:pStyle w:val="BodyText"/>
        <w:rPr>
          <w:lang w:eastAsia="en-US"/>
        </w:rPr>
      </w:pPr>
    </w:p>
    <w:p w:rsidR="004D3F58" w:rsidRDefault="004D3F58">
      <w:pPr>
        <w:pStyle w:val="BodyText"/>
        <w:sectPr w:rsidR="004D3F58" w:rsidSect="007448F7">
          <w:headerReference w:type="even" r:id="rId11"/>
          <w:headerReference w:type="default" r:id="rId12"/>
          <w:footerReference w:type="even" r:id="rId13"/>
          <w:footerReference w:type="default" r:id="rId14"/>
          <w:type w:val="oddPage"/>
          <w:pgSz w:w="11907" w:h="16840" w:code="9"/>
          <w:pgMar w:top="1985" w:right="1304" w:bottom="1247" w:left="1814" w:header="1701" w:footer="397" w:gutter="0"/>
          <w:pgNumType w:fmt="lowerRoman"/>
          <w:cols w:space="720"/>
        </w:sectPr>
      </w:pPr>
    </w:p>
    <w:p w:rsidR="00735FEA" w:rsidRDefault="00735FEA" w:rsidP="00F7477E">
      <w:pPr>
        <w:pStyle w:val="Heading1"/>
      </w:pPr>
      <w:bookmarkStart w:id="6" w:name="Abbreviations"/>
      <w:bookmarkStart w:id="7" w:name="RDnote"/>
      <w:bookmarkStart w:id="8" w:name="EndContents"/>
      <w:bookmarkStart w:id="9" w:name="_Toc428363977"/>
      <w:bookmarkEnd w:id="6"/>
      <w:bookmarkEnd w:id="7"/>
      <w:bookmarkEnd w:id="8"/>
      <w:r>
        <w:lastRenderedPageBreak/>
        <w:t>Abbreviations</w:t>
      </w:r>
      <w:bookmarkEnd w:id="9"/>
    </w:p>
    <w:p w:rsidR="002A6F3A" w:rsidRDefault="008E1BFD">
      <w:pPr>
        <w:pStyle w:val="Abbreviation"/>
      </w:pPr>
      <w:r w:rsidRPr="008E1BFD">
        <w:t>ABS</w:t>
      </w:r>
      <w:r w:rsidRPr="008E1BFD">
        <w:tab/>
        <w:t>Australian Bureau of Statistics</w:t>
      </w:r>
    </w:p>
    <w:p w:rsidR="00C9683E" w:rsidRDefault="00C9683E">
      <w:pPr>
        <w:pStyle w:val="Abbreviation"/>
      </w:pPr>
      <w:r>
        <w:t>ASEAN</w:t>
      </w:r>
      <w:r>
        <w:tab/>
        <w:t>Association of Southeast Asian Nations</w:t>
      </w:r>
    </w:p>
    <w:p w:rsidR="002A6F3A" w:rsidRDefault="00463625">
      <w:pPr>
        <w:pStyle w:val="Abbreviation"/>
      </w:pPr>
      <w:r w:rsidRPr="00463625">
        <w:t>ANZSIC</w:t>
      </w:r>
      <w:r w:rsidRPr="00463625">
        <w:tab/>
        <w:t>Australia and New Zealand Standard Industrial Classification</w:t>
      </w:r>
    </w:p>
    <w:p w:rsidR="002A6F3A" w:rsidRDefault="005B665C">
      <w:pPr>
        <w:pStyle w:val="Abbreviation"/>
      </w:pPr>
      <w:r>
        <w:t>ATO</w:t>
      </w:r>
      <w:r>
        <w:tab/>
        <w:t>Australian Taxation Office</w:t>
      </w:r>
    </w:p>
    <w:p w:rsidR="002A6F3A" w:rsidRDefault="002A6F3A">
      <w:pPr>
        <w:pStyle w:val="Abbreviation"/>
      </w:pPr>
      <w:r>
        <w:t>DA</w:t>
      </w:r>
      <w:r>
        <w:tab/>
      </w:r>
      <w:r w:rsidRPr="002A6F3A">
        <w:t>Department of Agriculture</w:t>
      </w:r>
    </w:p>
    <w:p w:rsidR="00550087" w:rsidRDefault="00550087" w:rsidP="002A6F3A">
      <w:pPr>
        <w:pStyle w:val="Abbreviation"/>
      </w:pPr>
      <w:r>
        <w:t>DD</w:t>
      </w:r>
      <w:r>
        <w:tab/>
      </w:r>
      <w:r w:rsidRPr="00550087">
        <w:t>Department of Defence</w:t>
      </w:r>
    </w:p>
    <w:p w:rsidR="005B665C" w:rsidRDefault="00C9683E" w:rsidP="002A6F3A">
      <w:pPr>
        <w:pStyle w:val="Abbreviation"/>
      </w:pPr>
      <w:r>
        <w:t>D</w:t>
      </w:r>
      <w:r w:rsidR="005B665C">
        <w:t>FAT</w:t>
      </w:r>
      <w:r w:rsidR="005B665C">
        <w:tab/>
        <w:t>Department of Foreign Affairs and Trade</w:t>
      </w:r>
    </w:p>
    <w:p w:rsidR="002A6F3A" w:rsidRDefault="002A6F3A" w:rsidP="002A6F3A">
      <w:pPr>
        <w:pStyle w:val="Abbreviation"/>
      </w:pPr>
      <w:r>
        <w:t>DIRD</w:t>
      </w:r>
      <w:r>
        <w:tab/>
        <w:t>Department of Industry, Innovation and Regional Development</w:t>
      </w:r>
    </w:p>
    <w:p w:rsidR="002A6F3A" w:rsidRDefault="002A6F3A">
      <w:pPr>
        <w:pStyle w:val="Abbreviation"/>
      </w:pPr>
      <w:r>
        <w:t>DIS</w:t>
      </w:r>
      <w:r>
        <w:tab/>
      </w:r>
      <w:r w:rsidRPr="002A6F3A">
        <w:t>Department of Industry and Science</w:t>
      </w:r>
    </w:p>
    <w:p w:rsidR="002A6F3A" w:rsidRDefault="008E1BFD">
      <w:pPr>
        <w:pStyle w:val="Abbreviation"/>
      </w:pPr>
      <w:r>
        <w:t>DMTC</w:t>
      </w:r>
      <w:r>
        <w:tab/>
      </w:r>
      <w:r w:rsidRPr="008E1BFD">
        <w:t>Defence Materials Technology Centre</w:t>
      </w:r>
    </w:p>
    <w:p w:rsidR="002A6F3A" w:rsidRDefault="005B665C">
      <w:pPr>
        <w:pStyle w:val="Abbreviation"/>
      </w:pPr>
      <w:r>
        <w:t>EFIC</w:t>
      </w:r>
      <w:r>
        <w:tab/>
        <w:t>Export Finance Insurance Corporation</w:t>
      </w:r>
    </w:p>
    <w:p w:rsidR="002A6F3A" w:rsidRDefault="00735FEA">
      <w:pPr>
        <w:pStyle w:val="Abbreviation"/>
      </w:pPr>
      <w:r>
        <w:t>PC</w:t>
      </w:r>
      <w:r>
        <w:tab/>
        <w:t>Productivity Commission</w:t>
      </w:r>
    </w:p>
    <w:sectPr w:rsidR="002A6F3A" w:rsidSect="00585B3F">
      <w:headerReference w:type="even" r:id="rId15"/>
      <w:headerReference w:type="default" r:id="rId16"/>
      <w:footerReference w:type="even" r:id="rId17"/>
      <w:footerReference w:type="default" r:id="rId18"/>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71E" w:rsidRDefault="00A7271E">
      <w:r>
        <w:separator/>
      </w:r>
    </w:p>
    <w:p w:rsidR="00A7271E" w:rsidRDefault="00A7271E"/>
    <w:p w:rsidR="00A7271E" w:rsidRDefault="00A7271E"/>
  </w:endnote>
  <w:endnote w:type="continuationSeparator" w:id="0">
    <w:p w:rsidR="00A7271E" w:rsidRDefault="00A7271E">
      <w:r>
        <w:continuationSeparator/>
      </w:r>
    </w:p>
    <w:p w:rsidR="00A7271E" w:rsidRDefault="00A7271E"/>
    <w:p w:rsidR="00A7271E" w:rsidRDefault="00A7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A49C9">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B0E2B">
            <w:rPr>
              <w:rFonts w:cs="Arial"/>
            </w:rPr>
            <w:t>Report title</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1347F8" w:rsidRPr="001347F8">
            <w:rPr>
              <w:bCs/>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347F8">
            <w:rPr>
              <w:rStyle w:val="PageNumber"/>
              <w:caps w:val="0"/>
              <w:noProof/>
            </w:rPr>
            <w:t>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347F8">
            <w:rPr>
              <w:rStyle w:val="PageNumber"/>
              <w:caps w:val="0"/>
              <w:noProof/>
            </w:rPr>
            <w:t>iv</w:t>
          </w:r>
          <w:r w:rsidRPr="007448F7">
            <w:rPr>
              <w:rStyle w:val="PageNumber"/>
              <w:caps w:val="0"/>
            </w:rPr>
            <w:fldChar w:fldCharType="end"/>
          </w:r>
        </w:p>
      </w:tc>
      <w:tc>
        <w:tcPr>
          <w:tcW w:w="7767" w:type="dxa"/>
        </w:tcPr>
        <w:p w:rsidR="007448F7" w:rsidRPr="0013739A" w:rsidRDefault="005C0E88" w:rsidP="00271B0C">
          <w:pPr>
            <w:pStyle w:val="Footer"/>
            <w:rPr>
              <w:rFonts w:cs="Arial"/>
            </w:rPr>
          </w:pPr>
          <w:r w:rsidRPr="005C0E88">
            <w:rPr>
              <w:rFonts w:cs="Arial"/>
            </w:rPr>
            <w:t>TRADE &amp; ASSISTANCE REVIEW 2013-14 METHODOLOGICAL ANNEX</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8A49C9" w:rsidRPr="008A49C9">
            <w:rPr>
              <w:bCs/>
              <w:noProof/>
              <w:lang w:val="en-US"/>
            </w:rPr>
            <w:t>Abbreviations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A49C9">
            <w:rPr>
              <w:rStyle w:val="PageNumber"/>
              <w:caps w:val="0"/>
              <w:noProof/>
            </w:rPr>
            <w:t>v</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71E" w:rsidRDefault="00A7271E">
      <w:r>
        <w:separator/>
      </w:r>
    </w:p>
    <w:p w:rsidR="00A7271E" w:rsidRDefault="00A7271E"/>
    <w:p w:rsidR="00A7271E" w:rsidRDefault="00A7271E"/>
  </w:footnote>
  <w:footnote w:type="continuationSeparator" w:id="0">
    <w:p w:rsidR="00A7271E" w:rsidRDefault="00A7271E">
      <w:r>
        <w:continuationSeparator/>
      </w:r>
    </w:p>
    <w:p w:rsidR="00A7271E" w:rsidRDefault="00A7271E"/>
    <w:p w:rsidR="00A7271E" w:rsidRDefault="00A727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71E"/>
    <w:rsid w:val="00017AFC"/>
    <w:rsid w:val="000227A4"/>
    <w:rsid w:val="00025878"/>
    <w:rsid w:val="00026B38"/>
    <w:rsid w:val="000502D3"/>
    <w:rsid w:val="00052CB2"/>
    <w:rsid w:val="000623BF"/>
    <w:rsid w:val="000779EB"/>
    <w:rsid w:val="00095DCF"/>
    <w:rsid w:val="00095EEA"/>
    <w:rsid w:val="00097C15"/>
    <w:rsid w:val="000A0A0E"/>
    <w:rsid w:val="000A5E12"/>
    <w:rsid w:val="000B416E"/>
    <w:rsid w:val="000F185F"/>
    <w:rsid w:val="000F2F5F"/>
    <w:rsid w:val="00106041"/>
    <w:rsid w:val="0010611E"/>
    <w:rsid w:val="00122FE9"/>
    <w:rsid w:val="00131572"/>
    <w:rsid w:val="00131D4F"/>
    <w:rsid w:val="0013399B"/>
    <w:rsid w:val="001347F8"/>
    <w:rsid w:val="00180515"/>
    <w:rsid w:val="00181F4B"/>
    <w:rsid w:val="00183529"/>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A6F3A"/>
    <w:rsid w:val="002B0E2B"/>
    <w:rsid w:val="002B636E"/>
    <w:rsid w:val="002B64D6"/>
    <w:rsid w:val="002C12F5"/>
    <w:rsid w:val="002D6FCE"/>
    <w:rsid w:val="00340511"/>
    <w:rsid w:val="0038647D"/>
    <w:rsid w:val="00393A49"/>
    <w:rsid w:val="003946C7"/>
    <w:rsid w:val="003B41E0"/>
    <w:rsid w:val="003C3D73"/>
    <w:rsid w:val="003D624D"/>
    <w:rsid w:val="003E7802"/>
    <w:rsid w:val="0042007A"/>
    <w:rsid w:val="00433C81"/>
    <w:rsid w:val="00446D6B"/>
    <w:rsid w:val="00457B3F"/>
    <w:rsid w:val="00463022"/>
    <w:rsid w:val="00463625"/>
    <w:rsid w:val="00481CF0"/>
    <w:rsid w:val="004A7732"/>
    <w:rsid w:val="004B492A"/>
    <w:rsid w:val="004C0B0C"/>
    <w:rsid w:val="004D3F58"/>
    <w:rsid w:val="004D5F46"/>
    <w:rsid w:val="004E52E2"/>
    <w:rsid w:val="004E6BB4"/>
    <w:rsid w:val="004E7D3C"/>
    <w:rsid w:val="00500025"/>
    <w:rsid w:val="00515D43"/>
    <w:rsid w:val="0052544D"/>
    <w:rsid w:val="00526B19"/>
    <w:rsid w:val="00550087"/>
    <w:rsid w:val="00551FB8"/>
    <w:rsid w:val="005537F6"/>
    <w:rsid w:val="00560F43"/>
    <w:rsid w:val="005654D0"/>
    <w:rsid w:val="00585B3F"/>
    <w:rsid w:val="005B17AB"/>
    <w:rsid w:val="005B665C"/>
    <w:rsid w:val="005C0E88"/>
    <w:rsid w:val="005C68FE"/>
    <w:rsid w:val="005F7D30"/>
    <w:rsid w:val="00602523"/>
    <w:rsid w:val="006040CB"/>
    <w:rsid w:val="00604351"/>
    <w:rsid w:val="00607D8A"/>
    <w:rsid w:val="0061590F"/>
    <w:rsid w:val="006300D2"/>
    <w:rsid w:val="0063192B"/>
    <w:rsid w:val="00636497"/>
    <w:rsid w:val="00641AE2"/>
    <w:rsid w:val="0064456A"/>
    <w:rsid w:val="00650DDA"/>
    <w:rsid w:val="0065126A"/>
    <w:rsid w:val="00653FA6"/>
    <w:rsid w:val="0067557D"/>
    <w:rsid w:val="006802D4"/>
    <w:rsid w:val="00683849"/>
    <w:rsid w:val="00691AB5"/>
    <w:rsid w:val="006A7C18"/>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5748A"/>
    <w:rsid w:val="00860D09"/>
    <w:rsid w:val="00862044"/>
    <w:rsid w:val="00880BF7"/>
    <w:rsid w:val="0089269F"/>
    <w:rsid w:val="008A2133"/>
    <w:rsid w:val="008A3857"/>
    <w:rsid w:val="008A49C9"/>
    <w:rsid w:val="008B2205"/>
    <w:rsid w:val="008C08EF"/>
    <w:rsid w:val="008C305F"/>
    <w:rsid w:val="008C3AD2"/>
    <w:rsid w:val="008C7C3D"/>
    <w:rsid w:val="008D6F66"/>
    <w:rsid w:val="008E1BEA"/>
    <w:rsid w:val="008E1BFD"/>
    <w:rsid w:val="008E242D"/>
    <w:rsid w:val="008E43D2"/>
    <w:rsid w:val="008E5248"/>
    <w:rsid w:val="008F04C9"/>
    <w:rsid w:val="008F7C50"/>
    <w:rsid w:val="008F7DB7"/>
    <w:rsid w:val="009064D3"/>
    <w:rsid w:val="00915300"/>
    <w:rsid w:val="00933B0C"/>
    <w:rsid w:val="00935676"/>
    <w:rsid w:val="00941A29"/>
    <w:rsid w:val="0098401D"/>
    <w:rsid w:val="009A789F"/>
    <w:rsid w:val="009A7C36"/>
    <w:rsid w:val="009B12EF"/>
    <w:rsid w:val="009B48F7"/>
    <w:rsid w:val="009B6185"/>
    <w:rsid w:val="009C6C6D"/>
    <w:rsid w:val="009E1E78"/>
    <w:rsid w:val="00A1597D"/>
    <w:rsid w:val="00A46989"/>
    <w:rsid w:val="00A469AA"/>
    <w:rsid w:val="00A71CE9"/>
    <w:rsid w:val="00A7271E"/>
    <w:rsid w:val="00A72A19"/>
    <w:rsid w:val="00A75A30"/>
    <w:rsid w:val="00A93C82"/>
    <w:rsid w:val="00AA525F"/>
    <w:rsid w:val="00AB2A48"/>
    <w:rsid w:val="00AC3236"/>
    <w:rsid w:val="00AD4874"/>
    <w:rsid w:val="00AE0C2F"/>
    <w:rsid w:val="00AE1F8A"/>
    <w:rsid w:val="00B036B2"/>
    <w:rsid w:val="00B04D19"/>
    <w:rsid w:val="00B153C3"/>
    <w:rsid w:val="00B22087"/>
    <w:rsid w:val="00B722F2"/>
    <w:rsid w:val="00B80355"/>
    <w:rsid w:val="00B90958"/>
    <w:rsid w:val="00B9402C"/>
    <w:rsid w:val="00B95339"/>
    <w:rsid w:val="00B97B56"/>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9683E"/>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43669"/>
    <w:rsid w:val="00E6632E"/>
    <w:rsid w:val="00E90CF2"/>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180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A7271E"/>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A7271E"/>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42823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0169E07-9D78-4FBB-A034-FF519844A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18</TotalTime>
  <Pages>4</Pages>
  <Words>593</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8</cp:revision>
  <cp:lastPrinted>2015-10-14T22:41:00Z</cp:lastPrinted>
  <dcterms:created xsi:type="dcterms:W3CDTF">2015-10-20T02:48:00Z</dcterms:created>
  <dcterms:modified xsi:type="dcterms:W3CDTF">2015-11-16T03:50:00Z</dcterms:modified>
</cp:coreProperties>
</file>